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1A26A" w14:textId="50615409" w:rsidR="00776A1F" w:rsidRDefault="00EE722F" w:rsidP="00EE722F">
      <w:pPr>
        <w:pStyle w:val="Pagedecouverture"/>
        <w:rPr>
          <w:noProof/>
        </w:rPr>
      </w:pPr>
      <w:bookmarkStart w:id="0" w:name="LW_BM_COVERPAGE"/>
      <w:r>
        <w:rPr>
          <w:noProof/>
        </w:rPr>
        <w:pict w14:anchorId="54107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637091A2-ACEF-49E6-A4D3-CCD8DD57969A" style="width:455.25pt;height:410.25pt">
            <v:imagedata r:id="rId11" o:title=""/>
          </v:shape>
        </w:pict>
      </w:r>
    </w:p>
    <w:bookmarkEnd w:id="0"/>
    <w:p w14:paraId="0B51AFC5" w14:textId="77777777" w:rsidR="00776A1F" w:rsidRDefault="00776A1F">
      <w:pPr>
        <w:rPr>
          <w:noProof/>
        </w:rPr>
        <w:sectPr w:rsidR="00776A1F" w:rsidSect="00EE722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D5F6175" w14:textId="7FBE6D50" w:rsidR="00776A1F" w:rsidRDefault="00D8574B">
      <w:pPr>
        <w:pStyle w:val="P68B1DB1-Normal1"/>
        <w:jc w:val="center"/>
        <w:rPr>
          <w:noProof/>
        </w:rPr>
      </w:pPr>
      <w:bookmarkStart w:id="1" w:name="_GoBack"/>
      <w:bookmarkEnd w:id="1"/>
      <w:r>
        <w:rPr>
          <w:noProof/>
        </w:rPr>
        <w:lastRenderedPageBreak/>
        <w:t>PIELIKUM</w:t>
      </w:r>
      <w:r w:rsidR="00EC6A5B">
        <w:rPr>
          <w:noProof/>
        </w:rPr>
        <w:t>S</w:t>
      </w:r>
    </w:p>
    <w:p w14:paraId="57574ED9" w14:textId="78CF222F" w:rsidR="00776A1F" w:rsidRDefault="00D8574B">
      <w:pPr>
        <w:pStyle w:val="P68B1DB1-Normal2"/>
        <w:keepNext/>
        <w:tabs>
          <w:tab w:val="num" w:pos="850"/>
        </w:tabs>
        <w:spacing w:before="360" w:after="0" w:line="259" w:lineRule="auto"/>
        <w:ind w:left="850" w:hanging="850"/>
        <w:jc w:val="both"/>
        <w:outlineLvl w:val="0"/>
        <w:rPr>
          <w:rFonts w:eastAsiaTheme="majorEastAsia" w:cs="Times New Roman"/>
          <w:noProof/>
        </w:rPr>
      </w:pPr>
      <w:r>
        <w:rPr>
          <w:noProof/>
        </w:rPr>
        <w:t>1. IEDAĻA. REFORMAS UN INVESTĪCIJAS SASKAŅĀ AR ATVESEĻOŠANAS UN NOTURĪBAS PLĀNU</w:t>
      </w:r>
    </w:p>
    <w:p w14:paraId="4B78C2C2"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2D463D7"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 xml:space="preserve">1. Reformu un investīciju apraksts </w:t>
      </w:r>
    </w:p>
    <w:p w14:paraId="5907275D" w14:textId="77777777" w:rsidR="00776A1F" w:rsidRDefault="00776A1F">
      <w:pPr>
        <w:keepNext/>
        <w:spacing w:before="40" w:after="0" w:line="259" w:lineRule="auto"/>
        <w:jc w:val="both"/>
        <w:rPr>
          <w:rFonts w:ascii="Times New Roman" w:eastAsiaTheme="minorEastAsia" w:hAnsi="Times New Roman" w:cs="Times New Roman"/>
          <w:i/>
          <w:noProof/>
          <w:sz w:val="24"/>
        </w:rPr>
      </w:pPr>
    </w:p>
    <w:p w14:paraId="027E0929"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A. 1. SASTĀVDAĻA: Valsts veselības dienests</w:t>
      </w:r>
    </w:p>
    <w:p w14:paraId="38320C5D" w14:textId="409087CF" w:rsidR="00776A1F" w:rsidRDefault="00D8574B">
      <w:pPr>
        <w:pStyle w:val="P68B1DB1-Normal4"/>
        <w:keepNext/>
        <w:spacing w:before="40" w:after="0" w:line="259" w:lineRule="auto"/>
        <w:jc w:val="both"/>
        <w:rPr>
          <w:rFonts w:eastAsiaTheme="minorEastAsia" w:cs="Times New Roman"/>
          <w:noProof/>
        </w:rPr>
      </w:pPr>
      <w:r>
        <w:rPr>
          <w:noProof/>
        </w:rPr>
        <w:t>Šis Portugāles atveseļošanas un noturības plāna komponents risina vairākas problēmas, ar kurām Portugāles veselības sistēma pašlaik saskaras saistībā ar pašreizējām un mainīgajām veselības aprūpes vajadzībām un saistītajām izmaksām. Pirmkārt, Portugāles nelabvēlīgās demogrāfiskās tendences, ko raksturo straujāka novecošana un tai sekojošas ilgtermiņa aprūpes vajadzības, sakrīt ar mainīgajiem slimību modeļiem, arvien lielāku hronisku un deģeneratīvu slimību slogu, kā arī multimorbiditāti pakāpeniski pieaug. Otrkārt, Portugālē joprojām ir ievērojama mirstība, no kuras iespējams izvairīties, un salīdzinoši neliels skaits veselīgas dzīves gadu 65 gadu vecumā. Treškārt, ir iespējams pievērst lielāku uzmanību veselības veicināšanai un slimību profilaksei, vienlaikus novēršot veselības aprūpes pakalpojumu sadrumstalotību un nepilnības piekļuvē veselības aprūpei. Ceturtkārt, personīgie maksājumi par veselības aprūpi ir vieni no augstākajiem ES, un ziņotais medicīniskās aprūpes finansiālais slogs ir salīdzinoši liels. Visbeidzot, Portugāles Nacionālais veselības dienests vairākus gadus ir saskāries ar sarežģītu finansiālo situāciju. Konkrēti, Portugāle ir guvusi panākumus saistībā ar valsts slimnīcu atkārtotu glābšanu, ko veic valdība, kurai neizdevās izvairīties no slimnīcu parādsaistību sistemātiska cikla, kas negatīvi ietekmēja piegādes ķēdes attiecības.</w:t>
      </w:r>
    </w:p>
    <w:p w14:paraId="7311148A" w14:textId="0249E23A" w:rsidR="00776A1F" w:rsidRDefault="00D8574B">
      <w:pPr>
        <w:pStyle w:val="P68B1DB1-Normal4"/>
        <w:keepNext/>
        <w:spacing w:before="40" w:after="0" w:line="259" w:lineRule="auto"/>
        <w:jc w:val="both"/>
        <w:rPr>
          <w:rFonts w:eastAsia="Times New Roman" w:cs="Times New Roman"/>
          <w:noProof/>
        </w:rPr>
      </w:pPr>
      <w:r>
        <w:rPr>
          <w:noProof/>
        </w:rPr>
        <w:t>Komponenta galvenais mērķis ir stiprināt Portugāles Valsts veselības dienesta reaģēšanas spējas, lai reaģētu uz demogrāfiskajām un epidemioloģiskajām pārmaiņām valstī, uz terapeitisko un tehnoloģisko inovāciju, kā arī uz pieaugošo pieprasījumu pēc veselības aprūpes un saistītajām izmaksām. Šajā nolūkā komponenta mērķis ir stiprināt primārās veselības aprūpes pakalpojumu galveno lomu valsts veselības dienesta vispārējā arhitektūrā, paplašināt ilgtermiņa un garīgās veselības aprūpes pakalpojumus un palielināt efektivitāti, pabeidzot publisko slimnīcu pārvaldības modeļa reformu un virzot uz priekšu veselības aprūpes pakalpojumu digitalizāciju.</w:t>
      </w:r>
    </w:p>
    <w:p w14:paraId="714DF149" w14:textId="77777777" w:rsidR="00776A1F" w:rsidRDefault="00D8574B">
      <w:pPr>
        <w:pStyle w:val="P68B1DB1-Normal4"/>
        <w:spacing w:before="40" w:after="120" w:line="259" w:lineRule="auto"/>
        <w:jc w:val="both"/>
        <w:rPr>
          <w:rFonts w:eastAsiaTheme="minorEastAsia" w:cs="Times New Roman"/>
          <w:noProof/>
        </w:rPr>
      </w:pPr>
      <w:r>
        <w:rPr>
          <w:noProof/>
        </w:rPr>
        <w:t>Komponents atbalsta to, ka tiek īstenots konkrētai valstij adresētais ieteikums par vispārējo izdevumu kontroles, izmaksu efektivitātes un pienācīgas budžeta plānošanas stiprināšanu, galveno uzmanību pievēršot ilgstošai kavēto maksājumu samazināšanai slimnīcās (konkrētais ieteikums Nr. 1 2019), kā arī konkrētai valstij adresētais ieteikums par veselības aprūpes sistēmas noturības stiprināšanu un vienlīdzīgas piekļuves nodrošināšanu kvalitatīvai veselības aprūpei un ilgtermiņa aprūpei (konkrētais valsts ieteikums Nr. 1 2020). Komponents arī palīdz īstenot konkrētai valstij adresēto ieteikumu koncentrēt investīcijas uz zaļo un digitālo pārkārtošanos (valsts īpašais ieteikums Nr. 3 2020).</w:t>
      </w:r>
    </w:p>
    <w:p w14:paraId="562E60CC" w14:textId="5277BFA7" w:rsidR="00776A1F" w:rsidRDefault="00D8574B">
      <w:pPr>
        <w:pStyle w:val="P68B1DB1-Normal4"/>
        <w:keepNext/>
        <w:spacing w:before="40" w:after="120" w:line="259" w:lineRule="auto"/>
        <w:jc w:val="both"/>
        <w:rPr>
          <w:rFonts w:eastAsiaTheme="minorEastAsia" w:cs="Times New Roman"/>
          <w:b/>
          <w:noProof/>
          <w:u w:val="single"/>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4C4465E0" w14:textId="77777777" w:rsidR="00776A1F" w:rsidRDefault="00D8574B">
      <w:pPr>
        <w:pStyle w:val="P68B1DB1-Normal3"/>
        <w:keepNext/>
        <w:spacing w:before="40" w:after="120" w:line="259" w:lineRule="auto"/>
        <w:ind w:left="130" w:firstLine="720"/>
        <w:jc w:val="both"/>
        <w:outlineLvl w:val="1"/>
        <w:rPr>
          <w:rFonts w:eastAsiaTheme="minorEastAsia" w:cs="Times New Roman"/>
          <w:noProof/>
        </w:rPr>
      </w:pPr>
      <w:r>
        <w:rPr>
          <w:noProof/>
        </w:rPr>
        <w:t>A.1. Neatmaksājamam finansiālajam atbalstam pieteikto reformu un investīciju apraksts</w:t>
      </w:r>
    </w:p>
    <w:p w14:paraId="77050E33"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Reforma RE-r01: Primārās veselības aprūpes reforma</w:t>
      </w:r>
    </w:p>
    <w:p w14:paraId="17FEB3D7" w14:textId="77777777" w:rsidR="00776A1F" w:rsidRDefault="00D8574B">
      <w:pPr>
        <w:pStyle w:val="P68B1DB1-Normal4"/>
        <w:keepNext/>
        <w:spacing w:before="40" w:after="0" w:line="259" w:lineRule="auto"/>
        <w:jc w:val="both"/>
        <w:rPr>
          <w:rFonts w:eastAsiaTheme="minorEastAsia" w:cs="Times New Roman"/>
          <w:noProof/>
          <w:u w:val="single"/>
        </w:rPr>
      </w:pPr>
      <w:r>
        <w:rPr>
          <w:noProof/>
        </w:rPr>
        <w:t>Reformas vispārējais mērķis ir stiprināt primārās veselības aprūpes pakalpojumu galveno nozīmi, reaģējot uz iedzīvotāju veselības vajadzībām valsts veselības dienesta vispārējā struktūrā. Šajā nolūkā reformas mērķis ir pievērsties sešām prioritātēm: I) padziļināt skrīninga un agrīnas diagnostikas spējas, proti, biežāko patoloģiju; stiprināt primārās aprūpes reaģēšanas spējas, izveidojot proaktīvākus veselības centrus ar paplašinātu pakalpojumu portfeli un intervences jomām, kā arī vairāk integrējot tos citos aprūpes līmeņos, pielāgojot procesus katra lietotāja individuālajām iezīmēm un ar to saistītajam dzīves ceļam, samazinot klīniskās prakses lielo mainīgumu (tostarp attiecībā uz ambulatoro zāļu izrakstīšanu), uzlabojot klīnisko nosūtīšanu starp dažādiem veselības aprūpes līmeņiem un cenšoties panākt efektivitātes pieaugumu, ierobežojot pakalpojumu dublēšanos vai neefektīvas, neatbilstīgas vai zemas vērtības aprūpes sniegšanu; koriģēt reģionālo un vietējo asimetriju attiecībā uz primārās veselības aprūpes pakalpojumiem pieejamo aprīkojumu un aprīkojumu; atbalstīt kopienā balstītus reaģēšanas pasākumus un izstrādāt atbalsta programmas lietotājiem un viņu ģimenēm, labāk iesaistot iedzīvotājus un kopienas, tostarp pabeidzot veselības aprūpes pienākumu nodošanu no centrālajām pašvaldībām; veselības aprūpes darbaspēka prasmju uzlabošana, daudzdisciplīnu komandas darba pastiprināšana un speciālistu, tostarp speciālistu, skaita palielināšana; un vi) īstenot Valsts veselības dienesta digitālo pārkārtošanos un izmantot tā potenciālu modernizēt un vienkāršot veselības aprūpes pakalpojumu izmantošanu. To darot, šī reforma nodrošina uzlabotus pamatnosacījumus saistītajiem ieguldījumiem primārajos veselības aprūpes pakalpojumos.</w:t>
      </w:r>
    </w:p>
    <w:p w14:paraId="2145F595" w14:textId="182C1721" w:rsidR="00776A1F" w:rsidRDefault="00D8574B">
      <w:pPr>
        <w:pStyle w:val="P68B1DB1-Normal4"/>
        <w:keepNext/>
        <w:spacing w:before="40" w:after="0" w:line="259" w:lineRule="auto"/>
        <w:jc w:val="both"/>
        <w:rPr>
          <w:rFonts w:eastAsiaTheme="minorEastAsia" w:cs="Times New Roman"/>
          <w:noProof/>
        </w:rPr>
      </w:pPr>
      <w:r>
        <w:rPr>
          <w:noProof/>
        </w:rPr>
        <w:t>Reforma ietver vairāku leģislatīvu un regulatīvu pasākumu īstenošanu, lai: veselības centru grupu atbildības un darbības jomas paplašināšana, kā arī to funkcionālo vienību tipoloģija, kuras tās veido; pārskatīt funkcionālo vienību organizācijas un darbības tiesisko režīmu, kā arī to stimulu shēmu, kas piešķirami elementiem, kuri tās veido; riska stratifikācijas instrumenta izstrāde, lai atbalstītu klīnisko pārvaldību veselības centru grupu funkcionālajās vienībās; un iv) pabeigt pienākumu nodošanu veselības aizsardzības jomā no centrālās pārvaldes uz pašvaldībām.</w:t>
      </w:r>
    </w:p>
    <w:p w14:paraId="13EB0AA1" w14:textId="77777777" w:rsidR="00776A1F" w:rsidRDefault="00D8574B">
      <w:pPr>
        <w:pStyle w:val="P68B1DB1-Normal4"/>
        <w:keepNext/>
        <w:spacing w:before="40" w:after="0" w:line="259" w:lineRule="auto"/>
        <w:jc w:val="both"/>
        <w:rPr>
          <w:rFonts w:eastAsiaTheme="minorEastAsia" w:cs="Times New Roman"/>
          <w:noProof/>
        </w:rPr>
      </w:pPr>
      <w:r>
        <w:rPr>
          <w:noProof/>
        </w:rPr>
        <w:t>Atskaites punktus un mērķrādītājus, kas saistīti ar reformas īstenošanu, pabeidz līdz 2023. gada 31. decembrim.</w:t>
      </w:r>
    </w:p>
    <w:p w14:paraId="3B03907D"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Reforma RE-r02: Garīgās veselības reforma</w:t>
      </w:r>
    </w:p>
    <w:p w14:paraId="12CAE8A0" w14:textId="77777777" w:rsidR="00776A1F" w:rsidRDefault="00D8574B">
      <w:pPr>
        <w:pStyle w:val="P68B1DB1-Normal4"/>
        <w:keepNext/>
        <w:spacing w:before="40" w:after="0" w:line="259" w:lineRule="auto"/>
        <w:jc w:val="both"/>
        <w:rPr>
          <w:rFonts w:eastAsiaTheme="minorEastAsia" w:cs="Times New Roman"/>
          <w:noProof/>
        </w:rPr>
      </w:pPr>
      <w:r>
        <w:rPr>
          <w:noProof/>
        </w:rPr>
        <w:t>Šīs reformas vispārējais mērķis ir uzlabot garīgo veselību Portugālē. Šajā nolūkā reforma ir strukturēta piecos intervences virzienos: deinstitucionalizējot pacientus, kas dzīvo psihiatriskajās slimnīcās vai sociālās nozares iestādēs; pabeigt vietējo garīgās veselības pakalpojumu valsts segumu stacionārās, ambulatorās un sabiedriskās aprūpes jomā; paplašināt integrētas nepārtrauktas aprūpes valsts tīklu, galveno uzmanību pievēršot garīgajai veselībai; reorganizēt kriminālistikas psihiatriskos pakalpojumus; un v) īstenot reģionālos veselības plānus demences jomā.</w:t>
      </w:r>
    </w:p>
    <w:p w14:paraId="0D4AF41B" w14:textId="77777777" w:rsidR="00776A1F" w:rsidRDefault="00D8574B">
      <w:pPr>
        <w:pStyle w:val="P68B1DB1-Normal4"/>
        <w:keepNext/>
        <w:spacing w:before="40" w:after="0" w:line="259" w:lineRule="auto"/>
        <w:jc w:val="both"/>
        <w:rPr>
          <w:rFonts w:eastAsiaTheme="minorEastAsia" w:cs="Times New Roman"/>
          <w:noProof/>
        </w:rPr>
      </w:pPr>
      <w:r>
        <w:rPr>
          <w:noProof/>
        </w:rPr>
        <w:t>Konkrētāk, reforma ietver spēkā esošā Psihiskās veselības likuma pārskatīšanu, ar ko nosaka garīgās veselības politikas vispārējos principus Portugālē un reglamentē personu ar psihiskiem traucējumiem obligātu stažēšanos, un Dekrētlikumu par garīgo veselību, kurā ir noteikti pamatprincipi garīgās veselības pakalpojumu organizēšanai, pārvaldībai un novērtēšanai. Šajās tiesību normās cita starpā ievieš šādas izmaiņas: iekļaut tiesību aktos Apvienoto Nāciju Organizācijas Konvencijas par personu ar invaliditāti tiesībām principus; un ii) vietējo garīgās veselības pakalpojumu autonomijas un pareizas pārvaldības palielināšana, izveidojot integrētus atbildības centrus. To darot, šī reforma nodrošina uzlabotus pamatnosacījumus saistītajiem ieguldījumiem garīgās veselības aprūpes pakalpojumos.</w:t>
      </w:r>
    </w:p>
    <w:p w14:paraId="10338A6D" w14:textId="77777777" w:rsidR="00776A1F" w:rsidRDefault="00D8574B">
      <w:pPr>
        <w:pStyle w:val="P68B1DB1-Normal4"/>
        <w:keepNext/>
        <w:spacing w:before="40" w:after="0" w:line="259" w:lineRule="auto"/>
        <w:jc w:val="both"/>
        <w:rPr>
          <w:rFonts w:eastAsiaTheme="minorEastAsia" w:cs="Times New Roman"/>
          <w:noProof/>
        </w:rPr>
        <w:sectPr w:rsidR="00776A1F" w:rsidSect="00787826">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r>
        <w:rPr>
          <w:noProof/>
        </w:rPr>
        <w:t>Atskaites punktus, kas saistīti ar reformas īstenošanu, pabeidz līdz 2023. gada 31. martam.</w:t>
      </w:r>
    </w:p>
    <w:p w14:paraId="3F67CEFA"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Reforma RE-r03: Publisko slimnīcu pārvaldības modeļa reformas pabeigšana</w:t>
      </w:r>
    </w:p>
    <w:p w14:paraId="0C7C138E" w14:textId="77777777" w:rsidR="00776A1F" w:rsidRDefault="00D8574B">
      <w:pPr>
        <w:pStyle w:val="P68B1DB1-Normal4"/>
        <w:keepNext/>
        <w:spacing w:before="40" w:after="0" w:line="259" w:lineRule="auto"/>
        <w:jc w:val="both"/>
        <w:rPr>
          <w:rFonts w:eastAsiaTheme="minorEastAsia" w:cs="Times New Roman"/>
          <w:noProof/>
        </w:rPr>
      </w:pPr>
      <w:r>
        <w:rPr>
          <w:noProof/>
        </w:rPr>
        <w:t>Reformas vispārējais mērķis ir palielināt Valsts veselības dienesta slimnīcu efektivitāti. Šajā nolūkā tās mērķis ir: valsts slimnīcu organizācijas un iekšējās pārvaldības reforma; pārkonfigurēt slimnīcu tīklu atbilstoši jaudas plānošanai attiecībā uz pakalpojumu pieprasījumu un cilvēkresursu un infrastruktūras piedāvājumu; III) uzlabot saikni ar citiem Valsts veselības dienesta elementiem, proti, ar primārās un garīgās veselības aprūpes pakalpojumiem, kā arī ar paliatīvās un integrētās nepārtrauktās aprūpes tīkliem; veselības aprūpes speciālistu un starpniekstruktūru iesaistīšana valsts slimnīcu pārvaldībā; un v) koncentrēšanos uz iedzīvotāju reālajām veselības un labklājības vajadzībām.</w:t>
      </w:r>
    </w:p>
    <w:p w14:paraId="0F06F40C" w14:textId="77777777" w:rsidR="00776A1F" w:rsidRDefault="00D8574B">
      <w:pPr>
        <w:pStyle w:val="P68B1DB1-Normal4"/>
        <w:keepNext/>
        <w:spacing w:before="40" w:after="0" w:line="259" w:lineRule="auto"/>
        <w:jc w:val="both"/>
        <w:rPr>
          <w:rFonts w:eastAsiaTheme="minorEastAsia" w:cs="Times New Roman"/>
          <w:noProof/>
        </w:rPr>
      </w:pPr>
      <w:r>
        <w:rPr>
          <w:noProof/>
        </w:rPr>
        <w:t>Pārvaldības līgumos iekļauj objektīvus rādītājus slimnīcu vadītāju darbības novērtēšanai, novērtējot gan pakalpojumu kvalitāti, gan valsts slimnīcu finansiālo stāvokli. Tas palīdzēs nodrošināt atbilstību valdības veselības politikas prioritātēm un paredzamāku slimnīcu resursu pārvaldību, apvienojot autonomiju ar pastiprinātu uzraudzību un pārskatatbildību. Uzlaboto pārvaldības līgumu īstenošana notiek pakāpeniski, un to nosaka par prioritāti atbilstoši publisko slimnīcu efektivitātes līmenim, dimensijai un ģeogrāfiskajam sadalījumam. Turklāt jāstiprina Veselības ministriju un finanšu ministriju uzraudzības loma, lai nodrošinātu integrētu un saskaņotu pieeju slimnīcu darbības rezultātu novērtēšanai un savlaicīgi koriģētu novirzes no apstiprinātajiem budžetiem.</w:t>
      </w:r>
    </w:p>
    <w:p w14:paraId="18CD3273" w14:textId="77777777" w:rsidR="00776A1F" w:rsidRDefault="00D8574B">
      <w:pPr>
        <w:pStyle w:val="P68B1DB1-Normal4"/>
        <w:keepNext/>
        <w:spacing w:before="40" w:after="0" w:line="259" w:lineRule="auto"/>
        <w:jc w:val="both"/>
        <w:rPr>
          <w:rFonts w:eastAsiaTheme="minorEastAsia" w:cs="Times New Roman"/>
          <w:noProof/>
        </w:rPr>
      </w:pPr>
      <w:r>
        <w:rPr>
          <w:noProof/>
        </w:rPr>
        <w:t>Turklāt tiek stiprināts centralizēts iepirkums, lai vēl vairāk ietaupītu efektivitāti, jo īpaši ņemot vērā nesen veiktā neatkarīgā novērtējumā sniegtos ieteikumus. Jo īpaši centralizētie iepirkumi ir jāattiecina arī uz medicīnas iekārtām un ierīcēm. Turklāt ir plānots uzlabot valsts slimnīcu iekšējo pārvaldību, jo īpaši izveidojot integrētus atbildības centrus un īstenojot uz darbības rezultātiem balstītus atalgojuma režīmus, kas piemērojami ar šādiem centriem saistītām vienībām. Saistībā ar to stājas spēkā režīms, kas pilnībā atvēlēts Valsts veselības dienestam veselības aprūpes speciālistiem.</w:t>
      </w:r>
    </w:p>
    <w:p w14:paraId="13152133" w14:textId="77777777" w:rsidR="00776A1F" w:rsidRDefault="00D8574B">
      <w:pPr>
        <w:pStyle w:val="P68B1DB1-Normal4"/>
        <w:keepNext/>
        <w:spacing w:before="40" w:after="0" w:line="259" w:lineRule="auto"/>
        <w:jc w:val="both"/>
        <w:rPr>
          <w:rFonts w:eastAsiaTheme="minorEastAsia" w:cs="Times New Roman"/>
          <w:noProof/>
        </w:rPr>
      </w:pPr>
      <w:r>
        <w:rPr>
          <w:noProof/>
        </w:rPr>
        <w:t>Turklāt pasākums ietver iniciatīvas slimnīcu tīkla pārveidošanai, lai nodrošinātu labāku saikni starp pakalpojumiem. Jo īpaši jāturpina izstrādāt mājās pieejamas hospitalizācijas reakcijas, lai nodrošinātu slimnīcas līmeņa aprūpi pacienta mājās, cieši sasaistot to ar primārās veselības aprūpes pakalpojumiem, valsts integrētu nepārtrauktas aprūpes pakalpojumu tīklu, sociālo sektoru un vietējām kopienām. Turklāt tiek stiprināta Nacionālā veselības dienesta laboratoriju spēja diagnosticēt infekcijas slimības un palielināt tā intensīvās medicīniskās aprūpes kapacitāti.</w:t>
      </w:r>
    </w:p>
    <w:p w14:paraId="2CA75694"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2025. gada 31. decembrim.</w:t>
      </w:r>
    </w:p>
    <w:p w14:paraId="2AB13652"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RE-C01–i01: Primārās veselības aprūpes pakalpojumi ar vairāk atbilžu</w:t>
      </w:r>
    </w:p>
    <w:p w14:paraId="6B7DB75C" w14:textId="77777777" w:rsidR="00776A1F" w:rsidRDefault="00D8574B">
      <w:pPr>
        <w:pStyle w:val="P68B1DB1-Normal4"/>
        <w:keepNext/>
        <w:spacing w:before="40" w:after="0" w:line="259" w:lineRule="auto"/>
        <w:jc w:val="both"/>
        <w:rPr>
          <w:rFonts w:eastAsia="Times New Roman" w:cs="Times New Roman"/>
          <w:noProof/>
        </w:rPr>
      </w:pPr>
      <w:r>
        <w:rPr>
          <w:noProof/>
        </w:rPr>
        <w:t>Šā ieguldījuma mērķis ir paplašināt primārās veselības aprūpes pakalpojumus un stiprināt primārās veselības aprūpes pakalpojumu galveno nozīmi, reaģējot uz iedzīvotāju veselības vajadzībām valsts veselības dienesta vispārējā struktūrā. Ieguldījumu pamatā ir primārās veselības aprūpes pakalpojumu reforma.</w:t>
      </w:r>
    </w:p>
    <w:p w14:paraId="50F040E1" w14:textId="77777777" w:rsidR="00776A1F" w:rsidRDefault="00D8574B">
      <w:pPr>
        <w:pStyle w:val="P68B1DB1-Normal4"/>
        <w:keepNext/>
        <w:spacing w:before="40" w:after="0" w:line="259" w:lineRule="auto"/>
        <w:jc w:val="both"/>
        <w:rPr>
          <w:rFonts w:eastAsia="Times New Roman" w:cs="Times New Roman"/>
          <w:noProof/>
        </w:rPr>
      </w:pPr>
      <w:r>
        <w:rPr>
          <w:noProof/>
        </w:rPr>
        <w:t>Ieguldījums ietver šādas iniciatīvas:</w:t>
      </w:r>
    </w:p>
    <w:p w14:paraId="2BF5C657" w14:textId="77777777" w:rsidR="00776A1F" w:rsidRDefault="00D8574B">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Pirmkārt, vairāki apakšieguldījumi uzlabo piekļuvi primārās veselības aprūpes pakalpojumiem, to kvalitāti un efektivitāti, tādējādi palīdzot pabeigt skrīninga programmu tvērumu valstī un stiprinot agrīnās diagnostikas spējas. Tie iekļauj: vēža skrīninga paplašināšana visos veselības centros, tostarp kolorektālā un dzemdes kakla vēža gadījumā; paplašināt diabētiskās retinopātijas skrīningu, attiecinot to uz visiem veselības aprūpes centriem; nodrošināt visiem veselības centriem spēju izmērīt C-reaģējošu proteīnu; veselības centru grupu aprīkošana ar spirometriem astmas, hroniskas obstruktīvas plaušu slimības un smēķēšanas agrīnai diagnosticēšanai, uzraudzībai un ārstēšanai; veselības aprūpes vienību nodrošināšana ar Holtera aprīkojumu un ambulatorā asinsspiediena uzraudzību; VI) paplašināt konsultācijas ar diabētiskajām kājām, aptverot visas veselības centru grupas; VII) pieņemt individuālos aprūpes plānus sarežģītiem un multimorbidāliem pacientiem; VIII) noteikt nosūtīšanas protokolus visvairāk meklētajās aprūpes jomās, proti, oftalmoloģijā, otorhinolaryngoloģijā, ortopēdijā un uroloģijā; un ix) pabeigt integrēto informācijas sistēmu, kas atvieglo pacientu nosūtīšanu no viena veselības aprūpes līmeņa uz citu.</w:t>
      </w:r>
    </w:p>
    <w:p w14:paraId="0EC6BFD7" w14:textId="77777777" w:rsidR="00776A1F" w:rsidRDefault="00D8574B">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Otrkārt, citi apakšieguldījumi ir vērsti uz veselības centru grupu intervences jomu paplašināšanu, tādējādi palielinot šā veselības aprūpes līmeņa reaģēšanas spējas un stiprinot medicīnas specialitāšu piedāvājumu, stiprinot specializēto un komandas darbu veselības aprūpes vienībās. Konkrēti, tie ietver: zobārstniecības biroju ierīkošana veselības centros; izveidot integrētus diagnostikas centrus (tostarp vismaz rentgena un klīniskās analīzes) veselības centru grupās; rehabilitācijas pakalpojumu izveide veselības aprūpes centros (pietiekamas fiziskās telpas un rehabilitācija, daudzdisciplīnu un starpdisciplīnu komandas); nodrošināt visiem veselības aprūpes centriem aprīkojumu (ārkārtas maisu, defibrilatoru un vitāli svarīgu pazīmju monitoru) kvalificētai reaģēšanai ārkārtas situācijās (galvenais dzīvības atbalsts); un v) stimulēt programmu, lai samazinātu neatliekamās medicīniskās aprūpes pakalpojumu neatbilstīgu un/vai novēršamu izmantošanu.</w:t>
      </w:r>
    </w:p>
    <w:p w14:paraId="79BA5279" w14:textId="43FCD498" w:rsidR="00776A1F" w:rsidRDefault="00D8574B">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Treškārt, papildu apakšieguldījumi nodrošina veselības centru iekārtu un aprīkojuma modernizāciju, energoefektivitātes palielināšanu, pieejamības, kvalitātes, komforta un drošības apstākļu nodrošināšanu pacientiem un speciālistiem un to pielāgošanu jauniem veselības aprūpes sniegšanas modeļiem. Konkrētāk, tie cita starpā ietver: izveidot 124 jaunus veselības aprūpes centrus; II) 347 veselības aprūpes iestāžu atjaunošana vai pielāgošana, lai palielinātu energoefektivitāti, ievērotu ārkārtas rīcības plānus un nodrošinātu pieejamību, sanitāro drošību un komfortu; un iii) veselības aprūpes aprīkojuma modernizāciju.</w:t>
      </w:r>
    </w:p>
    <w:p w14:paraId="7BFAF513" w14:textId="77777777" w:rsidR="00776A1F" w:rsidRDefault="00D8574B">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Ceturtkārt, papildu apakšieguldījumi ir vērsti uz to, lai uzlabotu tuvuma reakciju, galveno uzmanību pievēršot aprūpei mājās un kopienā, iejaucoties visvairāk apdraudētajās iedzīvotāju grupās un veicinot deinstitucionalizāciju un ambulatoro aprūpi. Konkrēti, tie ietver: veselības aprūpes centru nodrošināšana ar elektriskajiem transportlīdzekļiem, lai atbalstītu aprūpes sniegšanu mājās; mobilo vienību skaita paplašināšana, lai aptvertu mazapdzīvotus reģionus; nodrošināt veselības aprūpes centriem tehniskus apstākļus telekonsultāciju veikšanai un hronisku slimību, piemēram, sirds mazspējas, teleuzraudzībai; stiprināt kopienas aprūpes vienības un integrētas nepārtrauktas aprūpes grupas; izveidot kopienas komandas, lai atbalstītu paliatīvo aprūpi veselības centru grupās; un vi) izveidot psihosociālās intervences programmas attiecībā uz izplatītām garīgām slimībām (depresiju un trauksmi) veselības aprūpes centru grupās.</w:t>
      </w:r>
    </w:p>
    <w:p w14:paraId="6598C353" w14:textId="351C8CDE" w:rsidR="00776A1F" w:rsidRDefault="00D8574B">
      <w:pPr>
        <w:pStyle w:val="P68B1DB1-Normal4"/>
        <w:keepNext/>
        <w:tabs>
          <w:tab w:val="left" w:pos="426"/>
        </w:tabs>
        <w:spacing w:before="40" w:after="0" w:line="259" w:lineRule="auto"/>
        <w:jc w:val="both"/>
        <w:rPr>
          <w:rFonts w:eastAsiaTheme="minorEastAsia" w:cs="Times New Roman"/>
          <w:noProof/>
        </w:rPr>
      </w:pPr>
      <w:r>
        <w:rPr>
          <w:noProof/>
        </w:rPr>
        <w:t>Ieguldījumu īstenošanu pabeidz līdz 2026. gada 30. jūnijam.</w:t>
      </w:r>
    </w:p>
    <w:p w14:paraId="2354E762" w14:textId="0B3D6010" w:rsidR="00776A1F" w:rsidRDefault="00776A1F">
      <w:pPr>
        <w:keepNext/>
        <w:tabs>
          <w:tab w:val="left" w:pos="426"/>
        </w:tabs>
        <w:spacing w:before="40" w:after="0" w:line="259" w:lineRule="auto"/>
        <w:jc w:val="both"/>
        <w:rPr>
          <w:rFonts w:ascii="Times New Roman" w:eastAsiaTheme="minorEastAsia" w:hAnsi="Times New Roman" w:cs="Times New Roman"/>
          <w:noProof/>
          <w:sz w:val="24"/>
        </w:rPr>
      </w:pPr>
    </w:p>
    <w:p w14:paraId="4C9B07E6" w14:textId="77777777" w:rsidR="00776A1F" w:rsidRDefault="00776A1F">
      <w:pPr>
        <w:keepNext/>
        <w:tabs>
          <w:tab w:val="left" w:pos="426"/>
        </w:tabs>
        <w:spacing w:before="40" w:after="0" w:line="259" w:lineRule="auto"/>
        <w:jc w:val="both"/>
        <w:rPr>
          <w:rFonts w:ascii="Times New Roman" w:eastAsia="Times New Roman" w:hAnsi="Times New Roman" w:cs="Times New Roman"/>
          <w:noProof/>
          <w:sz w:val="24"/>
        </w:rPr>
      </w:pPr>
    </w:p>
    <w:p w14:paraId="308A36DF"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RE-C01–02: Integrētas nepārtrauktas aprūpes valsts tīkls un valsts tīkls paliatīvās aprūpes jomā</w:t>
      </w:r>
    </w:p>
    <w:p w14:paraId="4167DC2F" w14:textId="77777777" w:rsidR="00776A1F" w:rsidRDefault="00D8574B">
      <w:pPr>
        <w:pStyle w:val="P68B1DB1-Normal4"/>
        <w:keepNext/>
        <w:spacing w:before="40" w:after="0" w:line="259" w:lineRule="auto"/>
        <w:jc w:val="both"/>
        <w:rPr>
          <w:rFonts w:eastAsia="Times New Roman" w:cs="Times New Roman"/>
          <w:noProof/>
        </w:rPr>
      </w:pPr>
      <w:r>
        <w:rPr>
          <w:noProof/>
        </w:rPr>
        <w:t>Ieguldījumu mērķis ir paplašināt paliatīvās un integrētās nepārtrauktās aprūpes valsts tīklus gan attiecībā uz stacionāro, gan ambulatoro aprūpi, kā arī aprūpi mājās. Ieguldījumu pamatā ir valsts stratēģijas personu ar invaliditāti iekļaušanai reforma, kas izklāstīta 3. komponentā par sociālo reakciju, un tas ir daļa no Portugāles deinstitucionalizācijas stratēģijas un vispārējiem centieniem risināt nelabvēlīgās demogrāfiskās tendences, ar kurām saskaras valsts.</w:t>
      </w:r>
    </w:p>
    <w:p w14:paraId="4876C261" w14:textId="5574ACD9" w:rsidR="00776A1F" w:rsidRDefault="00D8574B">
      <w:pPr>
        <w:pStyle w:val="P68B1DB1-Normal4"/>
        <w:keepNext/>
        <w:spacing w:before="40" w:after="0" w:line="259" w:lineRule="auto"/>
        <w:jc w:val="both"/>
        <w:rPr>
          <w:rFonts w:eastAsia="Times New Roman" w:cs="Times New Roman"/>
          <w:noProof/>
        </w:rPr>
      </w:pPr>
      <w:r>
        <w:rPr>
          <w:noProof/>
        </w:rPr>
        <w:t>Ieguldījumu veido strukturēta un pakāpeniska programma, kuras mērķis ir sniegt finansiālu atbalstu publiskā, sociālā vai privātā sektora virzītājiem, lai: paplašināt integrētas nepārtrauktas aprūpes valsts tīklu par 5500 gultām (pašreizējās vai jaunās vienībās); izveidot 20 dienas vienības autonomijas veicināšanai, lai uzraudzītu 500 ambulatoros pacientus; izveidot 50 mājās integrētas nepārtrauktas aprūpes vienības, lai reaģētu uz 1000 pacientiem mājās (tostarp iekārtām un elektriskajiem transportlīdzekļiem); paplašināt integrētu garīgās veselības aprūpes reakciju 1000 vietās, 50 dzīvesvietās un sociāli profesionālajās vienībās (atbalsts jaunu atbildes reakciju izstrādei vai esošo atbildes pasākumu paplašināšanai); izveidot līdz 100 vietām 10 mājas garīgās veselības atbalsta grupās (atbalsts vienību darbībai nepieciešamo materiālo resursu un elektrotransportlīdzekļu iegādei); VI) paplašināt valsts paliatīvās aprūpes tīklu ar 20 paliatīvās aprūpes mazkompleksām stacionārām vienībām, lai reaģētu uz 400 pacientiem; un vii) izveidot līdz 100 vietām 10 kopienu paliatīvās aprūpes komandās (atbalsts nepieciešamo materiālo resursu un elektrisko transportlīdzekļu iegādei komandu darbībai).</w:t>
      </w:r>
    </w:p>
    <w:p w14:paraId="0F0BCBC6" w14:textId="77777777"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2025. gada 31. decembrim.</w:t>
      </w:r>
    </w:p>
    <w:p w14:paraId="529517D0"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RE-C01–i03: Garīgās veselības reformas pabeigšana un demences stratēģijas īstenošana</w:t>
      </w:r>
    </w:p>
    <w:p w14:paraId="3CBF58D6" w14:textId="77777777" w:rsidR="00776A1F" w:rsidRDefault="00D8574B">
      <w:pPr>
        <w:pStyle w:val="P68B1DB1-Normal4"/>
        <w:keepNext/>
        <w:spacing w:before="40" w:after="0" w:line="259" w:lineRule="auto"/>
        <w:jc w:val="both"/>
        <w:rPr>
          <w:rFonts w:eastAsia="Times New Roman" w:cs="Times New Roman"/>
          <w:noProof/>
        </w:rPr>
      </w:pPr>
      <w:r>
        <w:rPr>
          <w:noProof/>
        </w:rPr>
        <w:t>Ieguldījuma mērķis ir atbalstīt garīgās veselības aprūpes pakalpojumu reformas īstenošanu, tādējādi palīdzot paplašināt un stiprināt Valsts veselības dienesta reaģēšanas spējas garīgās veselības jomā.</w:t>
      </w:r>
    </w:p>
    <w:p w14:paraId="13BFCE28" w14:textId="77777777" w:rsidR="00776A1F" w:rsidRDefault="00D8574B">
      <w:pPr>
        <w:pStyle w:val="P68B1DB1-Normal4"/>
        <w:keepNext/>
        <w:spacing w:before="40" w:after="0" w:line="259" w:lineRule="auto"/>
        <w:jc w:val="both"/>
        <w:rPr>
          <w:rFonts w:eastAsia="Times New Roman" w:cs="Times New Roman"/>
          <w:noProof/>
        </w:rPr>
      </w:pPr>
      <w:r>
        <w:rPr>
          <w:noProof/>
        </w:rPr>
        <w:t>Ieguldījums sastāv no papildu apakšieguldījumiem objektos, struktūrās un cilvēkresursos, proti: izveidot kopienā dzīvojamos pakalpojumus, kas ļauj deinstitucionalizēt pacientus, kuri dzīvo psihiatriskajās slimnīcās vai sociālajā sektorā un kuri negūst labumu no valsts integrētas nepārtrauktas aprūpes tīkla piedāvājuma, tostarp par 500 vietām garīgās veselības aprūpei valsts integrētas nepārtrauktas aprūpes tīklā garīgās veselības aprūpes jomā; četru stacionāro nodaļu būvniecība vispārējās slimnīcās, likvidējot akūtas izmitināšanas vietas psihiatriskajās slimnīcās; izveidot 15 integrētus atbildības centrus, lai pārvarētu šķēršļus, kas traucē sniegt ambulatoro aprūpi, nodrošinot lielāku autonomiju un pārskatatbildību; renovēt 20 esošos vietējos garīgās veselības aprūpes pakalpojumus; V) veidojot 40 kopienas garīgās veselības komandas; tiesu ekspertīzes psihiatrijas pakalpojumu pārplānošana, paplašināšana un atjaunošana; un vii) izstrādāt izpratnes veicināšanas un apmācības pasākumus “pacientu ceļu veidošanai” demences kontekstā.</w:t>
      </w:r>
    </w:p>
    <w:p w14:paraId="405481CA" w14:textId="728AE455"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2025. gada 31. decembrim.</w:t>
      </w:r>
    </w:p>
    <w:p w14:paraId="556692A7" w14:textId="5B150195" w:rsidR="00776A1F" w:rsidRDefault="00776A1F">
      <w:pPr>
        <w:keepNext/>
        <w:spacing w:before="40" w:after="0" w:line="259" w:lineRule="auto"/>
        <w:jc w:val="both"/>
        <w:rPr>
          <w:rFonts w:ascii="Times New Roman" w:eastAsia="Times New Roman" w:hAnsi="Times New Roman" w:cs="Times New Roman"/>
          <w:noProof/>
          <w:sz w:val="24"/>
        </w:rPr>
      </w:pPr>
    </w:p>
    <w:p w14:paraId="4FEAA711" w14:textId="77777777" w:rsidR="00776A1F" w:rsidRDefault="00776A1F">
      <w:pPr>
        <w:keepNext/>
        <w:spacing w:before="40" w:after="0" w:line="259" w:lineRule="auto"/>
        <w:jc w:val="both"/>
        <w:rPr>
          <w:rFonts w:ascii="Times New Roman" w:eastAsia="Times New Roman" w:hAnsi="Times New Roman" w:cs="Times New Roman"/>
          <w:noProof/>
          <w:sz w:val="24"/>
        </w:rPr>
      </w:pPr>
    </w:p>
    <w:p w14:paraId="0503F123" w14:textId="15B27731"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RE-C01–04: Austrumslimnīcas būvniecība un slimnīcu aprīkojuma būvniecība Lisabonā un Vale do Tejo</w:t>
      </w:r>
    </w:p>
    <w:p w14:paraId="03467B86" w14:textId="790B987B" w:rsidR="00776A1F" w:rsidRDefault="00D8574B">
      <w:pPr>
        <w:pStyle w:val="P68B1DB1-Normal4"/>
        <w:keepNext/>
        <w:spacing w:before="40" w:after="0" w:line="259" w:lineRule="auto"/>
        <w:jc w:val="both"/>
        <w:rPr>
          <w:rFonts w:eastAsia="Times New Roman" w:cs="Times New Roman"/>
          <w:noProof/>
        </w:rPr>
      </w:pPr>
      <w:r>
        <w:rPr>
          <w:noProof/>
        </w:rPr>
        <w:t>Ieguldījuma mērķis ir pabeigt daļas plānoto Austrumslimnīcas būvniecību un aprīkot slimnīcas Lisabonā un Vale do Tejo, tādējādi stiprinot slimnīcu tīklu un stacionārās aprūpes piedāvājumu blīvi apdzīvotā reģionā, kur pieprasījums pēc veselības aprūpes pakalpojumiem ir ievērojams. Tā mērķis ir nodrošināt lielāku piekļuvi veselības aprūpei ievērojamai iedzīvotāju daļai un veicināt nevienlīdzības mazināšanu un sociālo kohēziju reģionā.</w:t>
      </w:r>
    </w:p>
    <w:p w14:paraId="119C3D2D" w14:textId="68C14379" w:rsidR="00776A1F" w:rsidRDefault="00D8574B">
      <w:pPr>
        <w:pStyle w:val="P68B1DB1-Normal4"/>
        <w:keepNext/>
        <w:spacing w:before="40" w:after="0" w:line="259" w:lineRule="auto"/>
        <w:jc w:val="both"/>
        <w:rPr>
          <w:rFonts w:eastAsia="Times New Roman" w:cs="Times New Roman"/>
          <w:noProof/>
        </w:rPr>
      </w:pPr>
      <w:r>
        <w:rPr>
          <w:noProof/>
        </w:rPr>
        <w:t>Ieguldījumu veido:</w:t>
      </w:r>
    </w:p>
    <w:p w14:paraId="25F5E9CC" w14:textId="7585701E" w:rsidR="00776A1F" w:rsidRDefault="00D8574B">
      <w:pPr>
        <w:pStyle w:val="ListParagraph"/>
        <w:numPr>
          <w:ilvl w:val="0"/>
          <w:numId w:val="72"/>
        </w:numPr>
        <w:spacing w:before="40" w:after="0"/>
        <w:rPr>
          <w:rFonts w:eastAsia="Times New Roman"/>
          <w:noProof/>
        </w:rPr>
      </w:pPr>
      <w:r>
        <w:rPr>
          <w:noProof/>
        </w:rPr>
        <w:t xml:space="preserve"> Lisabonas Austrumslimnīcas daļas būvniecība, proti, i) Poente Tower, kas ir viens no pieciem slimnīcas galvenās ēkas torņiem, ii) būvniecība zemesgabalā B, kas cita starpā paredzēta administratīvām teritorijām, garīgā veselība, fiziskā un rehabilitācijas medicīna, un iii) būvniecība C laukumā, kas cita starpā paredzēta pētniecībai un izglītībai, </w:t>
      </w:r>
    </w:p>
    <w:p w14:paraId="7C5B0F72" w14:textId="2D36EDF8" w:rsidR="00776A1F" w:rsidRDefault="00D8574B">
      <w:pPr>
        <w:pStyle w:val="ListParagraph"/>
        <w:numPr>
          <w:ilvl w:val="0"/>
          <w:numId w:val="72"/>
        </w:numPr>
        <w:spacing w:before="40" w:after="0"/>
        <w:rPr>
          <w:rFonts w:eastAsia="Times New Roman"/>
          <w:noProof/>
        </w:rPr>
      </w:pPr>
      <w:r>
        <w:rPr>
          <w:noProof/>
        </w:rPr>
        <w:t xml:space="preserve">aprīkojuma iegādi, ko paredzēts uzstādīt Austrumslimnīcā un jaunajā Sintra slimnīcā, un </w:t>
      </w:r>
    </w:p>
    <w:p w14:paraId="4C6CEAA9" w14:textId="7DDA0E9B" w:rsidR="00776A1F" w:rsidRDefault="00D8574B">
      <w:pPr>
        <w:pStyle w:val="ListParagraph"/>
        <w:numPr>
          <w:ilvl w:val="0"/>
          <w:numId w:val="72"/>
        </w:numPr>
        <w:spacing w:before="40" w:after="0"/>
        <w:rPr>
          <w:rFonts w:eastAsia="Times New Roman"/>
          <w:noProof/>
        </w:rPr>
      </w:pPr>
      <w:r>
        <w:rPr>
          <w:noProof/>
        </w:rPr>
        <w:t>smagā medicīniskā aprīkojuma iegāde, kas jāuzstāda slimnīcās Lisabonā un Vale do Tejo reģionā.</w:t>
      </w:r>
    </w:p>
    <w:p w14:paraId="41FD72CF" w14:textId="14FAD427" w:rsidR="00776A1F" w:rsidRDefault="00D8574B">
      <w:pPr>
        <w:pStyle w:val="P68B1DB1-Normal4"/>
        <w:spacing w:before="40" w:after="0"/>
        <w:ind w:left="420"/>
        <w:rPr>
          <w:rFonts w:eastAsia="Times New Roman" w:cs="Times New Roman"/>
          <w:noProof/>
        </w:rPr>
      </w:pPr>
      <w:r>
        <w:rPr>
          <w:noProof/>
        </w:rPr>
        <w:t>Austrumslimnīcā un jaunajā Sintra slimnīcā uzstādāmās iekārtas ietver: I) klīniskās, medicīniskās un augsto tehnoloģiju iekārtas; II) vispārējais aprīkojums, tostarp speciālās mēbeles; un iii) datoriekārtām.</w:t>
      </w:r>
    </w:p>
    <w:p w14:paraId="6CDC5B0F" w14:textId="21852E7C" w:rsidR="00776A1F" w:rsidRDefault="00D8574B">
      <w:pPr>
        <w:pStyle w:val="P68B1DB1-Normal4"/>
        <w:spacing w:before="40" w:after="0"/>
        <w:ind w:left="420"/>
        <w:rPr>
          <w:rFonts w:eastAsia="Times New Roman" w:cs="Times New Roman"/>
          <w:noProof/>
        </w:rPr>
        <w:sectPr w:rsidR="00776A1F" w:rsidSect="00787826">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567" w:footer="567" w:gutter="0"/>
          <w:cols w:space="720"/>
          <w:docGrid w:linePitch="360"/>
        </w:sectPr>
      </w:pPr>
      <w:r>
        <w:rPr>
          <w:noProof/>
        </w:rPr>
        <w:t>Ieguldījumu īstenošanu pabeidz līdz 2026. gada 30. jūnijam.</w:t>
      </w:r>
    </w:p>
    <w:p w14:paraId="5E298467" w14:textId="77777777" w:rsidR="00776A1F" w:rsidRDefault="00776A1F">
      <w:pPr>
        <w:spacing w:before="40" w:after="0"/>
        <w:ind w:left="420"/>
        <w:rPr>
          <w:rFonts w:ascii="Times New Roman" w:eastAsia="Times New Roman" w:hAnsi="Times New Roman" w:cs="Times New Roman"/>
          <w:noProof/>
          <w:sz w:val="24"/>
        </w:rPr>
      </w:pPr>
    </w:p>
    <w:p w14:paraId="65A51627" w14:textId="77777777" w:rsidR="00776A1F" w:rsidRDefault="00776A1F">
      <w:pPr>
        <w:spacing w:before="40" w:after="0"/>
        <w:ind w:left="420"/>
        <w:rPr>
          <w:rFonts w:ascii="Times New Roman" w:eastAsia="Times New Roman" w:hAnsi="Times New Roman" w:cs="Times New Roman"/>
          <w:noProof/>
          <w:sz w:val="24"/>
        </w:rPr>
      </w:pPr>
    </w:p>
    <w:p w14:paraId="222CB904" w14:textId="77777777" w:rsidR="00776A1F" w:rsidRDefault="00776A1F">
      <w:pPr>
        <w:spacing w:before="40" w:after="0"/>
        <w:ind w:left="420"/>
        <w:rPr>
          <w:rFonts w:ascii="Times New Roman" w:eastAsia="Times New Roman" w:hAnsi="Times New Roman" w:cs="Times New Roman"/>
          <w:noProof/>
          <w:sz w:val="24"/>
        </w:rPr>
      </w:pPr>
    </w:p>
    <w:p w14:paraId="79B3BC9F"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RE-C01-i05-RAM: Madeiras reģionālā veselības dienesta stiprināšana</w:t>
      </w:r>
    </w:p>
    <w:p w14:paraId="7F581BEA" w14:textId="77777777" w:rsidR="00776A1F" w:rsidRDefault="00D8574B">
      <w:pPr>
        <w:pStyle w:val="P68B1DB1-Normal4"/>
        <w:keepNext/>
        <w:spacing w:before="40" w:after="0" w:line="259" w:lineRule="auto"/>
        <w:jc w:val="both"/>
        <w:rPr>
          <w:rFonts w:eastAsia="Times New Roman" w:cs="Times New Roman"/>
          <w:noProof/>
        </w:rPr>
      </w:pPr>
      <w:r>
        <w:rPr>
          <w:noProof/>
        </w:rPr>
        <w:t>Šā ieguldījuma mērķis ir īstenot Madeiras autonomā reģiona reģionālās veselības sistēmas stratēģisko plānu un reģionālo stratēģiju garīgās veselības veicināšanai.</w:t>
      </w:r>
    </w:p>
    <w:p w14:paraId="7233DF75" w14:textId="75A994D0" w:rsidR="00776A1F" w:rsidRDefault="00D8574B">
      <w:pPr>
        <w:pStyle w:val="P68B1DB1-Normal4"/>
        <w:keepNext/>
        <w:spacing w:before="40" w:after="0" w:line="259" w:lineRule="auto"/>
        <w:jc w:val="both"/>
        <w:rPr>
          <w:rFonts w:eastAsia="Times New Roman" w:cs="Times New Roman"/>
          <w:noProof/>
        </w:rPr>
      </w:pPr>
      <w:r>
        <w:rPr>
          <w:noProof/>
        </w:rPr>
        <w:t>Ieguldījums sastāv no diviem apakšieguldījumiem. Pirmkārt, tas ietver apakšinvestīcijas, lai paplašinātu, attīstītu un uzlabotu integrētas nepārtrauktas aprūpes reģionālo tīklu, tostarp atjaunojot un paplašinot vietu skaitu visās to tipoloģijās saskaņā ar deinstitucionalizācijas principu, sadarbībā ar privāto un sociālo sektoru un teritorijās, kurām raksturīga akūtāka demogrāfiskā novecošana un/vai mazāk uzstādītā jauda. Otrkārt, tas ietver arī apakšinvestīciju, lai stiprinātu reaģēšanas spējas garīgās veselības un demences jomā, kas saistītas ar novecošanu, tostarp infrastruktūras un aprīkojuma modernizēšanu slimnīcās un primārās aprūpes iestādēs, jaunu vietu nodrošināšanu slimnīcām mājās un dienas slimnīcu pakalpojumiem, kā arī kopienu garīgās veselības grupu izveidi.</w:t>
      </w:r>
    </w:p>
    <w:p w14:paraId="4B108AA8" w14:textId="77777777"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2026. gada 30. jūnijam.</w:t>
      </w:r>
    </w:p>
    <w:p w14:paraId="54A4324F"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RE-C01–06: Pāreja uz digitālo veselību</w:t>
      </w:r>
    </w:p>
    <w:p w14:paraId="3A2AF464" w14:textId="77777777" w:rsidR="00776A1F" w:rsidRDefault="00D8574B">
      <w:pPr>
        <w:pStyle w:val="P68B1DB1-Normal4"/>
        <w:keepNext/>
        <w:spacing w:before="40" w:after="0" w:line="259" w:lineRule="auto"/>
        <w:jc w:val="both"/>
        <w:rPr>
          <w:rFonts w:eastAsia="Times New Roman" w:cs="Times New Roman"/>
          <w:noProof/>
        </w:rPr>
      </w:pPr>
      <w:r>
        <w:rPr>
          <w:noProof/>
        </w:rPr>
        <w:t>Šis ieguldījuma mērķis ir novērst trūkumus, kas kavē digitālo pārkārtošanos Valsts veselības dienestā, tostarp veselības aprūpes darbinieku rīcībā esošas piemērotas aparatūras un programmatūras trūkumu, stiprināt Valsts veselības dienesta informācijas sistēmu standartizāciju un uzlabot lietotāju pieredzi un piekļuvi datiem.</w:t>
      </w:r>
    </w:p>
    <w:p w14:paraId="1CEE6531" w14:textId="77777777" w:rsidR="00776A1F" w:rsidRDefault="00D8574B">
      <w:pPr>
        <w:pStyle w:val="P68B1DB1-Normal4"/>
        <w:keepNext/>
        <w:spacing w:before="40" w:after="0" w:line="259" w:lineRule="auto"/>
        <w:jc w:val="both"/>
        <w:rPr>
          <w:rFonts w:eastAsia="Times New Roman" w:cs="Times New Roman"/>
          <w:noProof/>
        </w:rPr>
      </w:pPr>
      <w:r>
        <w:rPr>
          <w:noProof/>
        </w:rPr>
        <w:t>Ieguldījums sastāv no četriem apakšieguldījumiem. Pirmkārt, uzlabo veselības datu tīklu, lai uzlabotu Valsts veselības dienestā pieejamo datorsistēmu pakalpojumu kvalitāti un noturību, atvieglojot datu izmantošanu lēmumu pieņemšanas atbalsta sistēmās, nodrošinot sadarbspēju starp dažādām informācijas sistēmām un atbilstību attiecīgiem drošības principiem. Otrkārt, saziņu starp iedzīvotājiem un veselības aizsardzības vienībām vienkāršo, standartizē un digitalizē, izmantojot elektroniskus rīkus, piemēram, uz iedzīvotājiem vērstu platformu un tālveselības rīkus, lai uzlabotu piekļuvi veselības aprūpei. Treškārt, modernizēti un sadarbspējīgi rīki, kas pieejami veselības aprūpes speciālistiem (piemēram, teleuzraudzības un telerehabilitācijas platformas, kā arī sistēmas, kas uzlabo datu pārnesamību starp primāro aprūpi, slimnīcām un integrētām nepārtrauktas aprūpes iestādēm), un attiecīga apmācība par digitālajām prasmēm. Ceturtkārt, tiek veicināta klīniskās dokumentācijas digitalizācija, lai veiktu darbības Nacionālā veselības dienesta darbības uzraudzībai.</w:t>
      </w:r>
    </w:p>
    <w:p w14:paraId="00ACB982" w14:textId="05BED5B2"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2025. gada 30. jūnijam.</w:t>
      </w:r>
    </w:p>
    <w:p w14:paraId="7D55663F"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RE-C01-i07-RAM: Madeiras Reģionālā veselības dienesta digitalizācija</w:t>
      </w:r>
    </w:p>
    <w:p w14:paraId="50407DAA" w14:textId="6CE36D09" w:rsidR="00776A1F" w:rsidRDefault="00D8574B">
      <w:pPr>
        <w:pStyle w:val="P68B1DB1-Normal4"/>
        <w:keepNext/>
        <w:spacing w:before="40" w:after="0" w:line="259" w:lineRule="auto"/>
        <w:jc w:val="both"/>
        <w:rPr>
          <w:rFonts w:eastAsia="Times New Roman" w:cs="Times New Roman"/>
          <w:noProof/>
        </w:rPr>
      </w:pPr>
      <w:r>
        <w:rPr>
          <w:noProof/>
        </w:rPr>
        <w:t>Šā ieguldījuma mērķis ir veicināt Madeiras reģionālā veselības dienesta digitalizāciju, ieviešot digitālās tehnoloģijas, lai atbalstītu veselības aprūpes pakalpojumu kvalitāti un efektivitāti un nodrošinātu iespējas veselības aprūpes speciālistiem un iedzīvotājiem.</w:t>
      </w:r>
    </w:p>
    <w:p w14:paraId="5521D506" w14:textId="0518B0F6" w:rsidR="00776A1F" w:rsidRDefault="00D8574B">
      <w:pPr>
        <w:pStyle w:val="P68B1DB1-Normal4"/>
        <w:keepNext/>
        <w:spacing w:before="40" w:after="0" w:line="259" w:lineRule="auto"/>
        <w:jc w:val="both"/>
        <w:rPr>
          <w:rFonts w:eastAsia="Times New Roman" w:cs="Times New Roman"/>
          <w:noProof/>
        </w:rPr>
      </w:pPr>
      <w:r>
        <w:rPr>
          <w:noProof/>
        </w:rPr>
        <w:t>Ieguldījumu veido vairāki projekti, tostarp: digitālo tehnoloģiju ieviešana, lai atbalstītu pacientu uzraudzību, pastiprinātu tālveselības apmeklējumus un iedzīvotāju veselības stāvokļa teleuzraudzību; digitālo tehnoloģiju un mākslīgā intelekta stiprināšana epidemioloģiskās uzraudzības vajadzībām; palielināt veselības digitalizāciju un uzlabot informācijas sistēmu sadarbspēju; uzlabot iedzīvotāju piekļuvi informācijai un pakalpojumiem veselības jomā, izmantojot digitālos līdzekļus; un v) apmācīt iedzīvotājus un ieinteresētās personas izmantot digitālos veselības resursus veselības jomā.</w:t>
      </w:r>
    </w:p>
    <w:p w14:paraId="4184B02B" w14:textId="548FE233"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2024. gada 31. decembrim.</w:t>
      </w:r>
    </w:p>
    <w:p w14:paraId="36606E5C"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RE-C01-i08-RAA: Digitālā slimnīca Azoru salās</w:t>
      </w:r>
    </w:p>
    <w:p w14:paraId="2C7694B1" w14:textId="77777777" w:rsidR="00776A1F" w:rsidRDefault="00D8574B">
      <w:pPr>
        <w:pStyle w:val="P68B1DB1-Normal4"/>
        <w:keepNext/>
        <w:spacing w:before="40" w:after="0" w:line="259" w:lineRule="auto"/>
        <w:jc w:val="both"/>
        <w:rPr>
          <w:rFonts w:eastAsia="Times New Roman" w:cs="Times New Roman"/>
          <w:noProof/>
        </w:rPr>
      </w:pPr>
      <w:r>
        <w:rPr>
          <w:noProof/>
        </w:rPr>
        <w:t>Ieguldījumu mērķis ir palielināt veselības aprūpes piedāvājumu un nodrošināt labāku piekļuvi veselības aprūpei Azoru salās, digitalizējot reģionālos veselības pakalpojumus.</w:t>
      </w:r>
    </w:p>
    <w:p w14:paraId="5C3318E6" w14:textId="77777777" w:rsidR="00776A1F" w:rsidRDefault="00D8574B">
      <w:pPr>
        <w:pStyle w:val="P68B1DB1-Normal4"/>
        <w:keepNext/>
        <w:spacing w:before="40" w:after="0" w:line="259" w:lineRule="auto"/>
        <w:jc w:val="both"/>
        <w:rPr>
          <w:rFonts w:eastAsia="Times New Roman" w:cs="Times New Roman"/>
          <w:noProof/>
        </w:rPr>
      </w:pPr>
      <w:r>
        <w:rPr>
          <w:noProof/>
        </w:rPr>
        <w:t>Ieguldījums ietver elektroniskas veselības kartes izveidi katram iedzīvotājam, informācijas sistēmu sadarbspējas palielināšanu, lai veselības aprūpes speciālisti varētu apmainīties ar klīnisko informāciju, uzlabot veselības aprūpes pieejamību visattālākajās salās bez slimnīcas, veicot telemedicīnas konsultācijas, un nodrošinot nepieciešamo aparatūru, programmatūru un informācijas sistēmas.</w:t>
      </w:r>
    </w:p>
    <w:p w14:paraId="2F4F1E26" w14:textId="77777777" w:rsidR="00776A1F" w:rsidRDefault="00D8574B">
      <w:pPr>
        <w:pStyle w:val="P68B1DB1-Normal4"/>
        <w:keepNext/>
        <w:spacing w:before="40" w:after="0" w:line="259" w:lineRule="auto"/>
        <w:jc w:val="both"/>
        <w:rPr>
          <w:rFonts w:eastAsia="Times New Roman" w:cs="Times New Roman"/>
          <w:noProof/>
        </w:rPr>
      </w:pPr>
      <w:r>
        <w:rPr>
          <w:noProof/>
        </w:rPr>
        <w:t>Investīciju īstenošanu pabeidz līdz 2025. gada 30. septembrim.</w:t>
      </w:r>
    </w:p>
    <w:p w14:paraId="0944758B"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RE-C01–i09: Vispārējā aktīvas dzīves atbalsta sistēma</w:t>
      </w:r>
    </w:p>
    <w:p w14:paraId="225E11E4" w14:textId="77777777" w:rsidR="00776A1F" w:rsidRDefault="00D8574B">
      <w:pPr>
        <w:pStyle w:val="P68B1DB1-Normal4"/>
        <w:keepNext/>
        <w:spacing w:before="40" w:after="0" w:line="259" w:lineRule="auto"/>
        <w:jc w:val="both"/>
        <w:rPr>
          <w:rFonts w:eastAsia="Times New Roman" w:cs="Times New Roman"/>
          <w:noProof/>
        </w:rPr>
      </w:pPr>
      <w:r>
        <w:rPr>
          <w:noProof/>
        </w:rPr>
        <w:t>Ieguldījuma mērķis ir veicināt fizisko un emocionālo labbūtību Portugālē, palielinot fizisko aktivitāšu zemo līmeni valstī un veicinot slimību labāku profilaksi un nepārnēsājamu slimību sloga pārvaldību.</w:t>
      </w:r>
    </w:p>
    <w:p w14:paraId="0DE11ABE" w14:textId="77777777" w:rsidR="00776A1F" w:rsidRDefault="00D8574B">
      <w:pPr>
        <w:pStyle w:val="P68B1DB1-Normal4"/>
        <w:keepNext/>
        <w:spacing w:before="40" w:after="0" w:line="259" w:lineRule="auto"/>
        <w:jc w:val="both"/>
        <w:rPr>
          <w:rFonts w:eastAsia="Times New Roman" w:cs="Times New Roman"/>
          <w:noProof/>
        </w:rPr>
      </w:pPr>
      <w:r>
        <w:rPr>
          <w:noProof/>
        </w:rPr>
        <w:t>Ieguldījumu veido: valsts mēroga kampaņa un tehnoloģiska platforma fizisko aktivitāšu veicināšanai, palielinot iedzīvotāju zināšanas par priekšrocībām, ko sniedz regulāras fiziskās aktivitātes visos vecumos, nosakot vingrinājumus atbilstoši viņu spējām un mudinot pieņemt veselīgāku dzīvesveidu; skolu sporta paplašināšana līdz kopienai, veicinot aktīvu mobilitāti, sākot ar jaunāko vecumu un visu mūžu, un sportu ģimenes kontekstā, lai veicinātu studentu panākumus un veselīgāku dzīvesveidu; un iii) veicināt fizisko aktivitāti darbavietā, veicināt pasākumu un programmu īstenošanu, kā arī nodrošināt telpas un aprīkojumu fizisko aktivitāšu praktizēšanai.</w:t>
      </w:r>
    </w:p>
    <w:p w14:paraId="0FCBA65F" w14:textId="77777777" w:rsidR="00776A1F" w:rsidRDefault="00D8574B">
      <w:pPr>
        <w:pStyle w:val="P68B1DB1-Normal4"/>
        <w:keepNext/>
        <w:spacing w:before="40" w:after="0" w:line="259" w:lineRule="auto"/>
        <w:jc w:val="both"/>
        <w:rPr>
          <w:rFonts w:eastAsia="Times New Roman" w:cs="Times New Roman"/>
          <w:noProof/>
        </w:rPr>
      </w:pPr>
      <w:r>
        <w:rPr>
          <w:noProof/>
        </w:rPr>
        <w:t>Investīciju īstenošanu pabeidz līdz 2025. gada 30. septembrim.</w:t>
      </w:r>
    </w:p>
    <w:p w14:paraId="7D908420" w14:textId="0634E12D" w:rsidR="00776A1F" w:rsidRDefault="00D8574B">
      <w:pPr>
        <w:pStyle w:val="P68B1DB1-Normal5"/>
        <w:keepNext/>
        <w:spacing w:before="240" w:after="0" w:line="259" w:lineRule="auto"/>
        <w:ind w:left="851"/>
        <w:jc w:val="both"/>
        <w:outlineLvl w:val="2"/>
        <w:rPr>
          <w:rFonts w:eastAsia="Times New Roman" w:cs="Times New Roman"/>
          <w:noProof/>
        </w:rPr>
      </w:pPr>
      <w:bookmarkStart w:id="2" w:name="_Toc137472436"/>
      <w:r>
        <w:rPr>
          <w:noProof/>
        </w:rPr>
        <w:t xml:space="preserve">Ieguldījums RE-C01-i10: NHS tehnoloģiju modernizācijas </w:t>
      </w:r>
      <w:bookmarkEnd w:id="2"/>
      <w:r>
        <w:rPr>
          <w:noProof/>
        </w:rPr>
        <w:t>programma</w:t>
      </w:r>
    </w:p>
    <w:p w14:paraId="2C29C380" w14:textId="183EDF89" w:rsidR="00776A1F" w:rsidRDefault="00D8574B">
      <w:pPr>
        <w:pStyle w:val="P68B1DB1-Normal4"/>
        <w:keepNext/>
        <w:spacing w:before="40" w:after="0" w:line="259" w:lineRule="auto"/>
        <w:jc w:val="both"/>
        <w:rPr>
          <w:rFonts w:eastAsia="Times New Roman" w:cs="Times New Roman"/>
          <w:noProof/>
        </w:rPr>
      </w:pPr>
      <w:r>
        <w:rPr>
          <w:noProof/>
        </w:rPr>
        <w:t>Šā ieguldījuma mērķis ir uzlabot valsts veselības dienesta (NHS) tehnoloģiju parku, kas veicina veselības aprūpes pakalpojumu uzlabošanu.</w:t>
      </w:r>
    </w:p>
    <w:p w14:paraId="593DD359" w14:textId="13C9F938" w:rsidR="00776A1F" w:rsidRDefault="00D8574B">
      <w:pPr>
        <w:pStyle w:val="P68B1DB1-Normal4"/>
        <w:keepNext/>
        <w:spacing w:before="40" w:after="0" w:line="259" w:lineRule="auto"/>
        <w:jc w:val="both"/>
        <w:rPr>
          <w:rFonts w:eastAsia="Times New Roman" w:cs="Times New Roman"/>
          <w:noProof/>
        </w:rPr>
      </w:pPr>
      <w:r>
        <w:rPr>
          <w:noProof/>
        </w:rPr>
        <w:t xml:space="preserve">Šis ieguldījums nodrošina smagā medicīniskā aprīkojuma iegādi NHS slimnīcām, pamatojoties uz Veselības ministrijas apstiprinātu ziņojumu, kurā norādītas šo slimnīcu aprīkojuma vajadzības šādās kategorijās: angiogrāfijas sistēmas, atsevišķu fotonu emisiju datortomogrāfijas skeneri, positronu emisijas tomogrāfijas skeneri, magnētiskās rezonanses attēlveidošanas sistēmas, datortomogrāfijas skeneri, lineārie paātrinātāji un ķirurģiskie roboti. </w:t>
      </w:r>
    </w:p>
    <w:p w14:paraId="7E32F4AC" w14:textId="77777777" w:rsidR="00776A1F" w:rsidRDefault="00D8574B">
      <w:pPr>
        <w:pStyle w:val="P68B1DB1-Normal4"/>
        <w:keepNext/>
        <w:spacing w:before="40" w:after="0" w:line="259" w:lineRule="auto"/>
        <w:jc w:val="both"/>
        <w:rPr>
          <w:rFonts w:eastAsia="Times New Roman" w:cs="Times New Roman"/>
          <w:noProof/>
        </w:rPr>
      </w:pPr>
      <w:r>
        <w:rPr>
          <w:noProof/>
        </w:rPr>
        <w:t>No šiem ieguldījumiem izslēdz NHS un NHS primārās veselības aprūpes struktūrvienību slimnīcas, kas saņem finansējumu attiecīgi ieguldījumu RE-C01-i04 un RE-C01-i01 ietvaros.</w:t>
      </w:r>
    </w:p>
    <w:p w14:paraId="03E16FDC" w14:textId="77777777"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2026. gada 30. jūnijam.</w:t>
      </w:r>
    </w:p>
    <w:p w14:paraId="3F70E244" w14:textId="77777777" w:rsidR="00776A1F" w:rsidRDefault="00776A1F">
      <w:pPr>
        <w:keepNext/>
        <w:spacing w:before="40" w:after="0" w:line="259" w:lineRule="auto"/>
        <w:jc w:val="both"/>
        <w:rPr>
          <w:rFonts w:ascii="Times New Roman" w:eastAsia="Times New Roman" w:hAnsi="Times New Roman" w:cs="Times New Roman"/>
          <w:noProof/>
          <w:sz w:val="24"/>
        </w:rPr>
      </w:pPr>
    </w:p>
    <w:p w14:paraId="6B39DFAD"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3A4E8AF1" w14:textId="512DF5C1" w:rsidR="00776A1F" w:rsidRDefault="00776A1F">
      <w:pPr>
        <w:keepNext/>
        <w:spacing w:before="40" w:after="0" w:line="259" w:lineRule="auto"/>
        <w:jc w:val="both"/>
        <w:rPr>
          <w:rFonts w:ascii="Times New Roman" w:eastAsiaTheme="minorEastAsia" w:hAnsi="Times New Roman" w:cs="Times New Roman"/>
          <w:noProof/>
          <w:sz w:val="24"/>
        </w:rPr>
        <w:sectPr w:rsidR="00776A1F" w:rsidSect="00CA5ACC">
          <w:headerReference w:type="even" r:id="rId30"/>
          <w:headerReference w:type="default" r:id="rId31"/>
          <w:footerReference w:type="even" r:id="rId32"/>
          <w:footerReference w:type="default" r:id="rId33"/>
          <w:headerReference w:type="first" r:id="rId34"/>
          <w:footerReference w:type="first" r:id="rId35"/>
          <w:type w:val="continuous"/>
          <w:pgSz w:w="11907" w:h="16839"/>
          <w:pgMar w:top="1134" w:right="1134" w:bottom="1134" w:left="1134" w:header="567" w:footer="567" w:gutter="0"/>
          <w:cols w:space="720"/>
          <w:docGrid w:linePitch="360"/>
        </w:sectPr>
      </w:pPr>
    </w:p>
    <w:p w14:paraId="723522AE"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B8052F6" w14:textId="4383A929"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A.2. Atskaites punkti, mērķrādītāji, citi rādītāji un neatmaksājamā finansiālā atbalsta uzraudzības un īstenošanas grafiks</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992"/>
        <w:gridCol w:w="1843"/>
        <w:gridCol w:w="1418"/>
        <w:gridCol w:w="1164"/>
        <w:gridCol w:w="962"/>
        <w:gridCol w:w="805"/>
        <w:gridCol w:w="9"/>
        <w:gridCol w:w="824"/>
        <w:gridCol w:w="901"/>
        <w:gridCol w:w="3981"/>
      </w:tblGrid>
      <w:tr w:rsidR="00776A1F" w14:paraId="7B628CE4" w14:textId="77777777">
        <w:trPr>
          <w:trHeight w:val="910"/>
          <w:tblHeader/>
        </w:trPr>
        <w:tc>
          <w:tcPr>
            <w:tcW w:w="1135" w:type="dxa"/>
            <w:vMerge w:val="restart"/>
            <w:shd w:val="clear" w:color="auto" w:fill="BDD6EE"/>
            <w:noWrap/>
            <w:vAlign w:val="center"/>
            <w:hideMark/>
          </w:tcPr>
          <w:p w14:paraId="43757383"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noWrap/>
            <w:vAlign w:val="center"/>
            <w:hideMark/>
          </w:tcPr>
          <w:p w14:paraId="0BDD4AC0"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992" w:type="dxa"/>
            <w:vMerge w:val="restart"/>
            <w:shd w:val="clear" w:color="auto" w:fill="BDD6EE"/>
            <w:noWrap/>
            <w:vAlign w:val="center"/>
            <w:hideMark/>
          </w:tcPr>
          <w:p w14:paraId="43895947" w14:textId="12E1DEA9"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843" w:type="dxa"/>
            <w:vMerge w:val="restart"/>
            <w:shd w:val="clear" w:color="auto" w:fill="BDD6EE"/>
            <w:noWrap/>
            <w:vAlign w:val="center"/>
            <w:hideMark/>
          </w:tcPr>
          <w:p w14:paraId="0732D51C"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418" w:type="dxa"/>
            <w:vMerge w:val="restart"/>
            <w:shd w:val="clear" w:color="auto" w:fill="BDD6EE"/>
            <w:noWrap/>
            <w:vAlign w:val="center"/>
            <w:hideMark/>
          </w:tcPr>
          <w:p w14:paraId="44263E41"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940" w:type="dxa"/>
            <w:gridSpan w:val="4"/>
            <w:shd w:val="clear" w:color="auto" w:fill="BDD6EE"/>
            <w:noWrap/>
            <w:vAlign w:val="center"/>
            <w:hideMark/>
          </w:tcPr>
          <w:p w14:paraId="0A2F2E77"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725" w:type="dxa"/>
            <w:gridSpan w:val="2"/>
            <w:shd w:val="clear" w:color="auto" w:fill="BDD6EE"/>
            <w:noWrap/>
            <w:vAlign w:val="center"/>
            <w:hideMark/>
          </w:tcPr>
          <w:p w14:paraId="4F163F74"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81" w:type="dxa"/>
            <w:vMerge w:val="restart"/>
            <w:shd w:val="clear" w:color="auto" w:fill="BDD6EE"/>
            <w:noWrap/>
            <w:vAlign w:val="center"/>
            <w:hideMark/>
          </w:tcPr>
          <w:p w14:paraId="238D3622"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775EA2A6" w14:textId="77777777">
        <w:trPr>
          <w:trHeight w:val="300"/>
          <w:tblHeader/>
        </w:trPr>
        <w:tc>
          <w:tcPr>
            <w:tcW w:w="1135" w:type="dxa"/>
            <w:vMerge/>
            <w:vAlign w:val="center"/>
            <w:hideMark/>
          </w:tcPr>
          <w:p w14:paraId="0EC3FF2B"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1020BD4F" w14:textId="77777777" w:rsidR="00776A1F" w:rsidRDefault="00776A1F">
            <w:pPr>
              <w:spacing w:after="0" w:line="240" w:lineRule="auto"/>
              <w:rPr>
                <w:rFonts w:ascii="Times New Roman" w:eastAsia="Times New Roman" w:hAnsi="Times New Roman" w:cs="Times New Roman"/>
                <w:b/>
                <w:noProof/>
                <w:sz w:val="18"/>
              </w:rPr>
            </w:pPr>
          </w:p>
        </w:tc>
        <w:tc>
          <w:tcPr>
            <w:tcW w:w="992" w:type="dxa"/>
            <w:vMerge/>
            <w:noWrap/>
            <w:vAlign w:val="center"/>
            <w:hideMark/>
          </w:tcPr>
          <w:p w14:paraId="530B4B60" w14:textId="4C0DADAB" w:rsidR="00776A1F" w:rsidRDefault="00776A1F">
            <w:pPr>
              <w:spacing w:after="0" w:line="240" w:lineRule="auto"/>
              <w:jc w:val="center"/>
              <w:rPr>
                <w:rFonts w:ascii="Times New Roman" w:eastAsia="Times New Roman" w:hAnsi="Times New Roman" w:cs="Times New Roman"/>
                <w:b/>
                <w:noProof/>
                <w:sz w:val="18"/>
              </w:rPr>
            </w:pPr>
          </w:p>
        </w:tc>
        <w:tc>
          <w:tcPr>
            <w:tcW w:w="1843" w:type="dxa"/>
            <w:vMerge/>
            <w:vAlign w:val="center"/>
            <w:hideMark/>
          </w:tcPr>
          <w:p w14:paraId="73578D3F" w14:textId="77777777" w:rsidR="00776A1F" w:rsidRDefault="00776A1F">
            <w:pPr>
              <w:spacing w:after="0" w:line="240" w:lineRule="auto"/>
              <w:rPr>
                <w:rFonts w:ascii="Times New Roman" w:eastAsia="Times New Roman" w:hAnsi="Times New Roman" w:cs="Times New Roman"/>
                <w:b/>
                <w:noProof/>
                <w:sz w:val="18"/>
              </w:rPr>
            </w:pPr>
          </w:p>
        </w:tc>
        <w:tc>
          <w:tcPr>
            <w:tcW w:w="1418" w:type="dxa"/>
            <w:vMerge/>
            <w:vAlign w:val="center"/>
            <w:hideMark/>
          </w:tcPr>
          <w:p w14:paraId="00D28EE5" w14:textId="77777777" w:rsidR="00776A1F" w:rsidRDefault="00776A1F">
            <w:pPr>
              <w:spacing w:after="0" w:line="240" w:lineRule="auto"/>
              <w:rPr>
                <w:rFonts w:ascii="Times New Roman" w:eastAsia="Times New Roman" w:hAnsi="Times New Roman" w:cs="Times New Roman"/>
                <w:b/>
                <w:noProof/>
                <w:sz w:val="18"/>
              </w:rPr>
            </w:pPr>
          </w:p>
        </w:tc>
        <w:tc>
          <w:tcPr>
            <w:tcW w:w="1164" w:type="dxa"/>
            <w:shd w:val="clear" w:color="auto" w:fill="BDD6EE"/>
            <w:noWrap/>
            <w:vAlign w:val="center"/>
            <w:hideMark/>
          </w:tcPr>
          <w:p w14:paraId="28C094F9"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62" w:type="dxa"/>
            <w:shd w:val="clear" w:color="auto" w:fill="BDD6EE"/>
            <w:noWrap/>
            <w:vAlign w:val="center"/>
            <w:hideMark/>
          </w:tcPr>
          <w:p w14:paraId="7F1FED9F"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805" w:type="dxa"/>
            <w:shd w:val="clear" w:color="auto" w:fill="BDD6EE"/>
            <w:noWrap/>
            <w:vAlign w:val="center"/>
            <w:hideMark/>
          </w:tcPr>
          <w:p w14:paraId="06EBD7F3"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833" w:type="dxa"/>
            <w:gridSpan w:val="2"/>
            <w:shd w:val="clear" w:color="auto" w:fill="BDD6EE"/>
            <w:noWrap/>
            <w:vAlign w:val="center"/>
            <w:hideMark/>
          </w:tcPr>
          <w:p w14:paraId="20C845CB" w14:textId="77777777" w:rsidR="00776A1F" w:rsidRDefault="00D8574B">
            <w:pPr>
              <w:pStyle w:val="P68B1DB1-Normal6"/>
              <w:spacing w:after="0" w:line="240" w:lineRule="auto"/>
              <w:jc w:val="center"/>
              <w:rPr>
                <w:rFonts w:eastAsia="Times New Roman" w:cs="Times New Roman"/>
                <w:noProof/>
              </w:rPr>
            </w:pPr>
            <w:r>
              <w:rPr>
                <w:noProof/>
              </w:rPr>
              <w:t>Q</w:t>
            </w:r>
          </w:p>
        </w:tc>
        <w:tc>
          <w:tcPr>
            <w:tcW w:w="901" w:type="dxa"/>
            <w:shd w:val="clear" w:color="auto" w:fill="BDD6EE"/>
            <w:noWrap/>
            <w:vAlign w:val="center"/>
            <w:hideMark/>
          </w:tcPr>
          <w:p w14:paraId="3E2A3F48"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81" w:type="dxa"/>
            <w:vMerge/>
            <w:vAlign w:val="center"/>
            <w:hideMark/>
          </w:tcPr>
          <w:p w14:paraId="75CA9262" w14:textId="77777777" w:rsidR="00776A1F" w:rsidRDefault="00776A1F">
            <w:pPr>
              <w:spacing w:after="0" w:line="240" w:lineRule="auto"/>
              <w:rPr>
                <w:rFonts w:ascii="Times New Roman" w:eastAsia="Times New Roman" w:hAnsi="Times New Roman" w:cs="Times New Roman"/>
                <w:b/>
                <w:noProof/>
                <w:sz w:val="18"/>
              </w:rPr>
            </w:pPr>
          </w:p>
        </w:tc>
      </w:tr>
      <w:tr w:rsidR="00776A1F" w14:paraId="121D32D4" w14:textId="77777777">
        <w:trPr>
          <w:trHeight w:val="1270"/>
        </w:trPr>
        <w:tc>
          <w:tcPr>
            <w:tcW w:w="1135" w:type="dxa"/>
            <w:shd w:val="clear" w:color="auto" w:fill="C4EFCE"/>
            <w:noWrap/>
            <w:vAlign w:val="center"/>
            <w:hideMark/>
          </w:tcPr>
          <w:p w14:paraId="0492ADA0" w14:textId="77777777" w:rsidR="00776A1F" w:rsidRDefault="00D8574B">
            <w:pPr>
              <w:pStyle w:val="P68B1DB1-Normal7"/>
              <w:spacing w:after="0" w:line="240" w:lineRule="auto"/>
              <w:jc w:val="center"/>
              <w:rPr>
                <w:rFonts w:eastAsia="Times New Roman" w:cs="Calibri"/>
                <w:noProof/>
              </w:rPr>
            </w:pPr>
            <w:r>
              <w:rPr>
                <w:noProof/>
              </w:rPr>
              <w:t>1.1</w:t>
            </w:r>
          </w:p>
        </w:tc>
        <w:tc>
          <w:tcPr>
            <w:tcW w:w="1276" w:type="dxa"/>
            <w:shd w:val="clear" w:color="auto" w:fill="C4EFCE"/>
            <w:noWrap/>
            <w:vAlign w:val="center"/>
            <w:hideMark/>
          </w:tcPr>
          <w:p w14:paraId="0A1B7539" w14:textId="77777777" w:rsidR="00776A1F" w:rsidRDefault="00D8574B">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5A6CB19F"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6E6F728" w14:textId="77777777" w:rsidR="00776A1F" w:rsidRDefault="00D8574B">
            <w:pPr>
              <w:pStyle w:val="P68B1DB1-Normal8"/>
              <w:spacing w:after="0" w:line="240" w:lineRule="auto"/>
              <w:jc w:val="center"/>
              <w:rPr>
                <w:rFonts w:eastAsia="Times New Roman" w:cs="Calibri"/>
                <w:noProof/>
              </w:rPr>
            </w:pPr>
            <w:r>
              <w:rPr>
                <w:noProof/>
              </w:rPr>
              <w:t>Tiesību aktu stāšanās spēkā primārās veselības aprūpes jomā</w:t>
            </w:r>
          </w:p>
        </w:tc>
        <w:tc>
          <w:tcPr>
            <w:tcW w:w="1418" w:type="dxa"/>
            <w:shd w:val="clear" w:color="auto" w:fill="C4EFCE"/>
            <w:noWrap/>
            <w:vAlign w:val="center"/>
            <w:hideMark/>
          </w:tcPr>
          <w:p w14:paraId="35A47D91" w14:textId="77777777" w:rsidR="00776A1F" w:rsidRDefault="00D8574B">
            <w:pPr>
              <w:pStyle w:val="P68B1DB1-Normal8"/>
              <w:spacing w:after="0" w:line="240" w:lineRule="auto"/>
              <w:jc w:val="center"/>
              <w:rPr>
                <w:rFonts w:eastAsia="Times New Roman" w:cs="Calibri"/>
                <w:noProof/>
              </w:rPr>
            </w:pPr>
            <w:r>
              <w:rPr>
                <w:noProof/>
              </w:rPr>
              <w:t>Pārskatīto tiesību aktu stāšanās spēkā</w:t>
            </w:r>
          </w:p>
        </w:tc>
        <w:tc>
          <w:tcPr>
            <w:tcW w:w="1164" w:type="dxa"/>
            <w:shd w:val="clear" w:color="auto" w:fill="C4EFCE"/>
            <w:noWrap/>
            <w:vAlign w:val="center"/>
            <w:hideMark/>
          </w:tcPr>
          <w:p w14:paraId="0271FAD2"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69B00747"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1142975"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D871EE2"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63B8927A" w14:textId="77777777" w:rsidR="00776A1F" w:rsidRDefault="00D8574B">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AD82C03" w14:textId="77777777" w:rsidR="00776A1F" w:rsidRDefault="00D8574B">
            <w:pPr>
              <w:pStyle w:val="P68B1DB1-Normal8"/>
              <w:spacing w:after="0" w:line="240" w:lineRule="auto"/>
              <w:jc w:val="both"/>
              <w:rPr>
                <w:rFonts w:eastAsia="Times New Roman" w:cs="Calibri"/>
                <w:noProof/>
              </w:rPr>
            </w:pPr>
            <w:r>
              <w:rPr>
                <w:noProof/>
              </w:rPr>
              <w:t>Tiesību aktu pārskatīšana primārās veselības aprūpes jomā, proti: I) primārās veselības aprūpes centru funkcionālo vienību pamatā esošie tiesību akti (tostarp Dekrētlikums Nr. 73/2017 par B parauga ģimenes veselības vienībām, Valdības rīkojums Nr. 1368/2007, B parauga ģimenes veselības nodaļu noteikumi un atalgojuma modelis un ar to saistītais tiesību akts, kā arī tiesību akti, kas ir citu primārās veselības aprūpes vienību darbības pamatā); un ii) veselības aprūpes centru grupu pamatā esošie tiesību akti (tostarp tiesību akti, kas ir veselības aprūpes centru grupu pamatā, proti, Dekrētlikums Nr. 28/2008).</w:t>
            </w:r>
          </w:p>
        </w:tc>
      </w:tr>
      <w:tr w:rsidR="00776A1F" w14:paraId="50205165" w14:textId="77777777">
        <w:trPr>
          <w:trHeight w:val="1270"/>
        </w:trPr>
        <w:tc>
          <w:tcPr>
            <w:tcW w:w="1135" w:type="dxa"/>
            <w:shd w:val="clear" w:color="auto" w:fill="C4EFCE"/>
            <w:noWrap/>
            <w:vAlign w:val="center"/>
            <w:hideMark/>
          </w:tcPr>
          <w:p w14:paraId="0533AA4A" w14:textId="77777777" w:rsidR="00776A1F" w:rsidRDefault="00D8574B">
            <w:pPr>
              <w:pStyle w:val="P68B1DB1-Normal7"/>
              <w:spacing w:after="0" w:line="240" w:lineRule="auto"/>
              <w:jc w:val="center"/>
              <w:rPr>
                <w:rFonts w:eastAsia="Times New Roman" w:cs="Calibri"/>
                <w:noProof/>
              </w:rPr>
            </w:pPr>
            <w:r>
              <w:rPr>
                <w:noProof/>
              </w:rPr>
              <w:t>1.2</w:t>
            </w:r>
          </w:p>
        </w:tc>
        <w:tc>
          <w:tcPr>
            <w:tcW w:w="1276" w:type="dxa"/>
            <w:shd w:val="clear" w:color="auto" w:fill="C4EFCE"/>
            <w:noWrap/>
            <w:vAlign w:val="center"/>
            <w:hideMark/>
          </w:tcPr>
          <w:p w14:paraId="2A187FFF" w14:textId="77777777" w:rsidR="00776A1F" w:rsidRDefault="00D8574B">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08F32C70"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3FC6D25" w14:textId="77777777" w:rsidR="00776A1F" w:rsidRDefault="00D8574B">
            <w:pPr>
              <w:pStyle w:val="P68B1DB1-Normal8"/>
              <w:spacing w:after="0" w:line="240" w:lineRule="auto"/>
              <w:jc w:val="center"/>
              <w:rPr>
                <w:rFonts w:eastAsia="Times New Roman" w:cs="Calibri"/>
                <w:noProof/>
              </w:rPr>
            </w:pPr>
            <w:r>
              <w:rPr>
                <w:noProof/>
              </w:rPr>
              <w:t>Piekļuves nodrošināšana riska stratifikācijas instrumentam, lai atbalstītu klīnisko pārvaldību veselības centru grupu funkcionālajās vienībās</w:t>
            </w:r>
          </w:p>
        </w:tc>
        <w:tc>
          <w:tcPr>
            <w:tcW w:w="1418" w:type="dxa"/>
            <w:shd w:val="clear" w:color="auto" w:fill="C4EFCE"/>
            <w:noWrap/>
            <w:vAlign w:val="center"/>
            <w:hideMark/>
          </w:tcPr>
          <w:p w14:paraId="35F427F1"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2AD19FF"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75CB367B"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FF60DCA" w14:textId="77777777" w:rsidR="00776A1F" w:rsidRDefault="00D8574B">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D7BB0A8"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3D3518AA" w14:textId="77777777" w:rsidR="00776A1F" w:rsidRDefault="00D8574B">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9000082" w14:textId="77777777" w:rsidR="00776A1F" w:rsidRDefault="00D8574B">
            <w:pPr>
              <w:pStyle w:val="P68B1DB1-Normal8"/>
              <w:spacing w:after="0" w:line="240" w:lineRule="auto"/>
              <w:jc w:val="both"/>
              <w:rPr>
                <w:rFonts w:eastAsia="Times New Roman" w:cs="Calibri"/>
                <w:noProof/>
              </w:rPr>
            </w:pPr>
            <w:r>
              <w:rPr>
                <w:noProof/>
              </w:rPr>
              <w:t>To veselības centru funkcionālo vienību skaits, kurām ir piekļuve informācijai no riska stratifikācijas instrumenta, kas aptver reģistrētos lietotājus. Riska stratifikācijas instruments ļauj proaktīvi iejaukties populācijās ar augstāku klīnisko risku un sociālo neaizsargātību, nodrošinot uz iedzīvotājiem balstītas skrīninga un agrīnas diagnostikas programmas visā valstī, kā arī savlaicīgu ārstēšanu un pienācīgu uzraudzību lietotājiem, kuri cieš no visbiežāk sastopamajām slimībām (sirds un asinsvadu, diabēts, vēzis, elpceļi, garīgais un osteoartikulārais).</w:t>
            </w:r>
          </w:p>
        </w:tc>
      </w:tr>
      <w:tr w:rsidR="00776A1F" w14:paraId="10D6008A" w14:textId="77777777">
        <w:trPr>
          <w:trHeight w:val="1123"/>
        </w:trPr>
        <w:tc>
          <w:tcPr>
            <w:tcW w:w="1135" w:type="dxa"/>
            <w:shd w:val="clear" w:color="auto" w:fill="C4EFCE"/>
            <w:noWrap/>
            <w:vAlign w:val="center"/>
            <w:hideMark/>
          </w:tcPr>
          <w:p w14:paraId="02DF6530" w14:textId="77777777" w:rsidR="00776A1F" w:rsidRDefault="00D8574B">
            <w:pPr>
              <w:pStyle w:val="P68B1DB1-Normal7"/>
              <w:spacing w:after="0" w:line="240" w:lineRule="auto"/>
              <w:jc w:val="center"/>
              <w:rPr>
                <w:rFonts w:eastAsia="Times New Roman" w:cs="Calibri"/>
                <w:noProof/>
              </w:rPr>
            </w:pPr>
            <w:r>
              <w:rPr>
                <w:noProof/>
              </w:rPr>
              <w:t>1.3</w:t>
            </w:r>
          </w:p>
        </w:tc>
        <w:tc>
          <w:tcPr>
            <w:tcW w:w="1276" w:type="dxa"/>
            <w:shd w:val="clear" w:color="auto" w:fill="C4EFCE"/>
            <w:noWrap/>
            <w:vAlign w:val="center"/>
            <w:hideMark/>
          </w:tcPr>
          <w:p w14:paraId="4F399F94" w14:textId="77777777" w:rsidR="00776A1F" w:rsidRDefault="00D8574B">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70ABD2FF"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ACA7681" w14:textId="77777777" w:rsidR="00776A1F" w:rsidRDefault="00D8574B">
            <w:pPr>
              <w:pStyle w:val="P68B1DB1-Normal8"/>
              <w:spacing w:after="0" w:line="240" w:lineRule="auto"/>
              <w:jc w:val="center"/>
              <w:rPr>
                <w:rFonts w:eastAsia="Times New Roman" w:cs="Calibri"/>
                <w:noProof/>
              </w:rPr>
            </w:pPr>
            <w:r>
              <w:rPr>
                <w:noProof/>
              </w:rPr>
              <w:t>Atbildības decentralizācijas procesa pabeigšana veselības aprūpes jomā pašvaldībās</w:t>
            </w:r>
          </w:p>
        </w:tc>
        <w:tc>
          <w:tcPr>
            <w:tcW w:w="1418" w:type="dxa"/>
            <w:shd w:val="clear" w:color="auto" w:fill="C4EFCE"/>
            <w:noWrap/>
            <w:vAlign w:val="center"/>
            <w:hideMark/>
          </w:tcPr>
          <w:p w14:paraId="1430DBB4"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1693BA5"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2D21E5B6"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8763683" w14:textId="77777777" w:rsidR="00776A1F" w:rsidRDefault="00D8574B">
            <w:pPr>
              <w:pStyle w:val="P68B1DB1-Normal8"/>
              <w:spacing w:after="0" w:line="240" w:lineRule="auto"/>
              <w:jc w:val="center"/>
              <w:rPr>
                <w:rFonts w:eastAsia="Times New Roman" w:cs="Calibri"/>
                <w:noProof/>
              </w:rPr>
            </w:pPr>
            <w:r>
              <w:rPr>
                <w:noProof/>
              </w:rPr>
              <w:t>201</w:t>
            </w:r>
          </w:p>
        </w:tc>
        <w:tc>
          <w:tcPr>
            <w:tcW w:w="833" w:type="dxa"/>
            <w:gridSpan w:val="2"/>
            <w:shd w:val="clear" w:color="auto" w:fill="C4EFCE"/>
            <w:noWrap/>
            <w:vAlign w:val="center"/>
            <w:hideMark/>
          </w:tcPr>
          <w:p w14:paraId="3A15E654"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7531FAD5"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970A0D0" w14:textId="5F4E6DC1" w:rsidR="00776A1F" w:rsidRDefault="00D8574B">
            <w:pPr>
              <w:pStyle w:val="P68B1DB1-Normal8"/>
              <w:spacing w:after="0" w:line="240" w:lineRule="auto"/>
              <w:jc w:val="both"/>
              <w:rPr>
                <w:rFonts w:eastAsia="Times New Roman" w:cs="Calibri"/>
                <w:noProof/>
              </w:rPr>
            </w:pPr>
            <w:r>
              <w:rPr>
                <w:noProof/>
              </w:rPr>
              <w:t xml:space="preserve">To jauno pašvaldību skaits, kurās saskaņā ar 30. janvāra Dekrētlikumu Nr. 23/2019 ir pabeigts pienākumu decentralizācijas process veselības jomā, Veselības ministrijai, reģionālajām veselības pārvaldes iestādēm un pašvaldībām parakstot paziņojumu par pārcelšanu. Atbildības nodošana attiecas uz: pašvaldību līdzdalību primārās veselības aprūpes vienību plānošanas, pārvaldības un investīciju lēmumu pieņemšanā un intervences nodaļās atkarību izraisošas uzvedības un atkarības gadījumos, jo īpaši to būvniecībā, aprīkojumā un uzturēšanā; cita aprīkojuma, kas saistīts ar primāro veselības aprūpi, pārvaldība, uzturēšana un saglabāšana; veselības aprūpes darbinieku pārvaldība veselības centru grupu funkcionālo vienību operacionālo asistentu kategorijā un intervences nodaļās atkarību izraisošas uzvedības un atkarības jautājumos, kas integrē Nacionālo veselības dienestu; IV) veselības centru grupu loģistikas atbalsta pakalpojumu pārvaldība. </w:t>
            </w:r>
          </w:p>
        </w:tc>
      </w:tr>
      <w:tr w:rsidR="00776A1F" w14:paraId="52519A96" w14:textId="77777777">
        <w:trPr>
          <w:trHeight w:val="640"/>
        </w:trPr>
        <w:tc>
          <w:tcPr>
            <w:tcW w:w="1135" w:type="dxa"/>
            <w:shd w:val="clear" w:color="auto" w:fill="C4EFCE"/>
            <w:noWrap/>
            <w:vAlign w:val="center"/>
            <w:hideMark/>
          </w:tcPr>
          <w:p w14:paraId="7CDF71B7" w14:textId="77777777" w:rsidR="00776A1F" w:rsidRDefault="00D8574B">
            <w:pPr>
              <w:pStyle w:val="P68B1DB1-Normal7"/>
              <w:spacing w:after="0" w:line="240" w:lineRule="auto"/>
              <w:jc w:val="center"/>
              <w:rPr>
                <w:rFonts w:eastAsia="Times New Roman" w:cs="Calibri"/>
                <w:noProof/>
              </w:rPr>
            </w:pPr>
            <w:r>
              <w:rPr>
                <w:noProof/>
              </w:rPr>
              <w:t>1.4</w:t>
            </w:r>
          </w:p>
        </w:tc>
        <w:tc>
          <w:tcPr>
            <w:tcW w:w="1276" w:type="dxa"/>
            <w:shd w:val="clear" w:color="auto" w:fill="C4EFCE"/>
            <w:noWrap/>
            <w:vAlign w:val="center"/>
            <w:hideMark/>
          </w:tcPr>
          <w:p w14:paraId="231A738A" w14:textId="77777777" w:rsidR="00776A1F" w:rsidRDefault="00D8574B">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48CF4AED"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37A3F1D" w14:textId="77777777" w:rsidR="00776A1F" w:rsidRDefault="00D8574B">
            <w:pPr>
              <w:pStyle w:val="P68B1DB1-Normal8"/>
              <w:spacing w:after="0" w:line="240" w:lineRule="auto"/>
              <w:jc w:val="center"/>
              <w:rPr>
                <w:rFonts w:eastAsia="Times New Roman" w:cs="Calibri"/>
                <w:noProof/>
              </w:rPr>
            </w:pPr>
            <w:r>
              <w:rPr>
                <w:noProof/>
              </w:rPr>
              <w:t>Stājas spēkā jaunais Dekrētlikums par garīgo veselību, kurā ir noteikti principi garīgās veselības aprūpes pakalpojumu organizēšanai</w:t>
            </w:r>
          </w:p>
        </w:tc>
        <w:tc>
          <w:tcPr>
            <w:tcW w:w="1418" w:type="dxa"/>
            <w:shd w:val="clear" w:color="auto" w:fill="C4EFCE"/>
            <w:noWrap/>
            <w:vAlign w:val="center"/>
            <w:hideMark/>
          </w:tcPr>
          <w:p w14:paraId="13D40D49" w14:textId="77777777" w:rsidR="00776A1F" w:rsidRDefault="00D8574B">
            <w:pPr>
              <w:pStyle w:val="P68B1DB1-Normal8"/>
              <w:spacing w:after="0" w:line="240" w:lineRule="auto"/>
              <w:jc w:val="center"/>
              <w:rPr>
                <w:rFonts w:eastAsia="Times New Roman" w:cs="Calibri"/>
                <w:noProof/>
              </w:rPr>
            </w:pPr>
            <w:r>
              <w:rPr>
                <w:noProof/>
              </w:rPr>
              <w:t>Jaunā dekrētlikuma par garīgo veselību stāšanās spēkā</w:t>
            </w:r>
          </w:p>
        </w:tc>
        <w:tc>
          <w:tcPr>
            <w:tcW w:w="1164" w:type="dxa"/>
            <w:shd w:val="clear" w:color="auto" w:fill="C4EFCE"/>
            <w:noWrap/>
            <w:vAlign w:val="center"/>
            <w:hideMark/>
          </w:tcPr>
          <w:p w14:paraId="490E6384"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80C890F"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F2D094"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35388639"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548204FC" w14:textId="77777777" w:rsidR="00776A1F" w:rsidRDefault="00D8574B">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1B060DF1" w14:textId="77777777" w:rsidR="00776A1F" w:rsidRDefault="00D8574B">
            <w:pPr>
              <w:pStyle w:val="P68B1DB1-Normal8"/>
              <w:spacing w:after="0" w:line="240" w:lineRule="auto"/>
              <w:jc w:val="both"/>
              <w:rPr>
                <w:rFonts w:eastAsia="Times New Roman" w:cs="Calibri"/>
                <w:noProof/>
              </w:rPr>
            </w:pPr>
            <w:r>
              <w:rPr>
                <w:noProof/>
              </w:rPr>
              <w:t>Jaunajā dekrētlikumā atspoguļo grozījumu priekšlikumus, ko iesniegusi darba grupa, kura izveidota ar Valdības 15. jūnija rīkojumu Nr. 6324/2020, kas grozīts ar Valdības 20. novembra Rīkojumu Nr. 11485/2020, lai noteiktu principus garīgās veselības aprūpes pakalpojumu organizēšanai.</w:t>
            </w:r>
          </w:p>
        </w:tc>
      </w:tr>
      <w:tr w:rsidR="00776A1F" w14:paraId="5A9C21C0" w14:textId="77777777">
        <w:trPr>
          <w:trHeight w:val="1966"/>
        </w:trPr>
        <w:tc>
          <w:tcPr>
            <w:tcW w:w="1135" w:type="dxa"/>
            <w:shd w:val="clear" w:color="auto" w:fill="C4EFCE"/>
            <w:noWrap/>
            <w:vAlign w:val="center"/>
            <w:hideMark/>
          </w:tcPr>
          <w:p w14:paraId="1FA443A3" w14:textId="77777777" w:rsidR="00776A1F" w:rsidRDefault="00D8574B">
            <w:pPr>
              <w:pStyle w:val="P68B1DB1-Normal7"/>
              <w:spacing w:after="0" w:line="240" w:lineRule="auto"/>
              <w:jc w:val="center"/>
              <w:rPr>
                <w:rFonts w:eastAsia="Times New Roman" w:cs="Calibri"/>
                <w:noProof/>
              </w:rPr>
            </w:pPr>
            <w:r>
              <w:rPr>
                <w:noProof/>
              </w:rPr>
              <w:t>1.5</w:t>
            </w:r>
          </w:p>
        </w:tc>
        <w:tc>
          <w:tcPr>
            <w:tcW w:w="1276" w:type="dxa"/>
            <w:shd w:val="clear" w:color="auto" w:fill="C4EFCE"/>
            <w:noWrap/>
            <w:vAlign w:val="center"/>
            <w:hideMark/>
          </w:tcPr>
          <w:p w14:paraId="7BC38134" w14:textId="77777777" w:rsidR="00776A1F" w:rsidRDefault="00D8574B">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1640A28D"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8A8BC09" w14:textId="77777777" w:rsidR="00776A1F" w:rsidRDefault="00D8574B">
            <w:pPr>
              <w:pStyle w:val="P68B1DB1-Normal8"/>
              <w:spacing w:after="0" w:line="240" w:lineRule="auto"/>
              <w:jc w:val="center"/>
              <w:rPr>
                <w:rFonts w:eastAsia="Times New Roman" w:cs="Calibri"/>
                <w:noProof/>
              </w:rPr>
            </w:pPr>
            <w:r>
              <w:rPr>
                <w:noProof/>
              </w:rPr>
              <w:t>Stājas spēkā jaunais tiesību akts par garīgo veselību, kas nosaka principus attiecībā uz personu ar garīgām slimībām tiesībām un reglamentē obligātu hospitalizāciju vai ārstēšanu.</w:t>
            </w:r>
          </w:p>
        </w:tc>
        <w:tc>
          <w:tcPr>
            <w:tcW w:w="1418" w:type="dxa"/>
            <w:shd w:val="clear" w:color="auto" w:fill="C4EFCE"/>
            <w:noWrap/>
            <w:vAlign w:val="center"/>
            <w:hideMark/>
          </w:tcPr>
          <w:p w14:paraId="0C4283AF" w14:textId="77777777" w:rsidR="00776A1F" w:rsidRDefault="00D8574B">
            <w:pPr>
              <w:pStyle w:val="P68B1DB1-Normal8"/>
              <w:spacing w:after="0" w:line="240" w:lineRule="auto"/>
              <w:jc w:val="center"/>
              <w:rPr>
                <w:rFonts w:eastAsia="Times New Roman" w:cs="Calibri"/>
                <w:noProof/>
              </w:rPr>
            </w:pPr>
            <w:r>
              <w:rPr>
                <w:noProof/>
              </w:rPr>
              <w:t>Jaunā garīgās veselības tiesību akta stāšanās spēkā</w:t>
            </w:r>
          </w:p>
        </w:tc>
        <w:tc>
          <w:tcPr>
            <w:tcW w:w="1164" w:type="dxa"/>
            <w:shd w:val="clear" w:color="auto" w:fill="C4EFCE"/>
            <w:noWrap/>
            <w:vAlign w:val="center"/>
            <w:hideMark/>
          </w:tcPr>
          <w:p w14:paraId="6EC27EF4"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68D4131"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40AB3AA"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99B69D0" w14:textId="77777777" w:rsidR="00776A1F" w:rsidRDefault="00D8574B">
            <w:pPr>
              <w:pStyle w:val="P68B1DB1-Normal8"/>
              <w:spacing w:after="0" w:line="240" w:lineRule="auto"/>
              <w:jc w:val="center"/>
              <w:rPr>
                <w:rFonts w:eastAsia="Times New Roman" w:cs="Calibri"/>
                <w:noProof/>
              </w:rPr>
            </w:pPr>
            <w:r>
              <w:rPr>
                <w:noProof/>
              </w:rPr>
              <w:t>1. CET.</w:t>
            </w:r>
          </w:p>
        </w:tc>
        <w:tc>
          <w:tcPr>
            <w:tcW w:w="901" w:type="dxa"/>
            <w:shd w:val="clear" w:color="auto" w:fill="C4EFCE"/>
            <w:noWrap/>
            <w:vAlign w:val="center"/>
            <w:hideMark/>
          </w:tcPr>
          <w:p w14:paraId="2A36F701" w14:textId="77777777" w:rsidR="00776A1F" w:rsidRDefault="00D8574B">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19AE9BCF" w14:textId="77777777" w:rsidR="00776A1F" w:rsidRDefault="00D8574B">
            <w:pPr>
              <w:pStyle w:val="P68B1DB1-Normal8"/>
              <w:spacing w:after="0" w:line="240" w:lineRule="auto"/>
              <w:jc w:val="both"/>
              <w:rPr>
                <w:rFonts w:eastAsia="Times New Roman" w:cs="Calibri"/>
                <w:noProof/>
              </w:rPr>
            </w:pPr>
            <w:r>
              <w:rPr>
                <w:noProof/>
              </w:rPr>
              <w:t>Jaunais Garīgās veselības likums atspoguļo grozījumu priekšlikumus, ko iesniegusi darba grupa, kura izveidota ar Valdības 15. jūnija Rīkojumu Nr. 6324/2020, kas grozīts ar Valdības 20. novembra rīkojumu Nr. 11485/2020, lai noteiktu principus attiecībā uz personu ar garīgām slimībām tiesībām un reglamentētu obligātu hospitalizāciju vai ārstēšanu.</w:t>
            </w:r>
          </w:p>
        </w:tc>
      </w:tr>
      <w:tr w:rsidR="00776A1F" w14:paraId="30477D5B" w14:textId="77777777">
        <w:trPr>
          <w:trHeight w:val="850"/>
        </w:trPr>
        <w:tc>
          <w:tcPr>
            <w:tcW w:w="1135" w:type="dxa"/>
            <w:shd w:val="clear" w:color="auto" w:fill="C4EFCE"/>
            <w:noWrap/>
            <w:vAlign w:val="center"/>
            <w:hideMark/>
          </w:tcPr>
          <w:p w14:paraId="32C79C84" w14:textId="77777777" w:rsidR="00776A1F" w:rsidRDefault="00D8574B">
            <w:pPr>
              <w:pStyle w:val="P68B1DB1-Normal7"/>
              <w:spacing w:after="0" w:line="240" w:lineRule="auto"/>
              <w:jc w:val="center"/>
              <w:rPr>
                <w:rFonts w:eastAsia="Times New Roman" w:cs="Calibri"/>
                <w:noProof/>
              </w:rPr>
            </w:pPr>
            <w:r>
              <w:rPr>
                <w:noProof/>
              </w:rPr>
              <w:t>1.6</w:t>
            </w:r>
          </w:p>
        </w:tc>
        <w:tc>
          <w:tcPr>
            <w:tcW w:w="1276" w:type="dxa"/>
            <w:shd w:val="clear" w:color="auto" w:fill="C4EFCE"/>
            <w:noWrap/>
            <w:vAlign w:val="center"/>
            <w:hideMark/>
          </w:tcPr>
          <w:p w14:paraId="2ECC3EA8"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6C8C908A"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791F258" w14:textId="77777777" w:rsidR="00776A1F" w:rsidRDefault="00D8574B">
            <w:pPr>
              <w:pStyle w:val="P68B1DB1-Normal8"/>
              <w:spacing w:after="0" w:line="240" w:lineRule="auto"/>
              <w:jc w:val="center"/>
              <w:rPr>
                <w:rFonts w:eastAsia="Times New Roman" w:cs="Calibri"/>
                <w:noProof/>
              </w:rPr>
            </w:pPr>
            <w:r>
              <w:rPr>
                <w:noProof/>
              </w:rPr>
              <w:t xml:space="preserve">Jaunās pārvaldības līguma veidnes stāšanās spēkā </w:t>
            </w:r>
          </w:p>
        </w:tc>
        <w:tc>
          <w:tcPr>
            <w:tcW w:w="1418" w:type="dxa"/>
            <w:shd w:val="clear" w:color="auto" w:fill="C4EFCE"/>
            <w:noWrap/>
            <w:vAlign w:val="center"/>
            <w:hideMark/>
          </w:tcPr>
          <w:p w14:paraId="650B0FAE" w14:textId="77777777" w:rsidR="00776A1F" w:rsidRDefault="00D8574B">
            <w:pPr>
              <w:pStyle w:val="P68B1DB1-Normal8"/>
              <w:spacing w:after="0" w:line="240" w:lineRule="auto"/>
              <w:jc w:val="center"/>
              <w:rPr>
                <w:rFonts w:eastAsia="Times New Roman" w:cs="Calibri"/>
                <w:noProof/>
              </w:rPr>
            </w:pPr>
            <w:r>
              <w:rPr>
                <w:noProof/>
              </w:rPr>
              <w:t>Jaunās pārvaldības līguma veidnes stāšanās spēkā</w:t>
            </w:r>
          </w:p>
        </w:tc>
        <w:tc>
          <w:tcPr>
            <w:tcW w:w="1164" w:type="dxa"/>
            <w:shd w:val="clear" w:color="auto" w:fill="C4EFCE"/>
            <w:noWrap/>
            <w:vAlign w:val="center"/>
            <w:hideMark/>
          </w:tcPr>
          <w:p w14:paraId="74656DC2"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230ACBA"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05F4225"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17978E7"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5C203299"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5A41FB03" w14:textId="77777777" w:rsidR="00776A1F" w:rsidRDefault="00D8574B">
            <w:pPr>
              <w:pStyle w:val="P68B1DB1-Normal8"/>
              <w:spacing w:after="0" w:line="240" w:lineRule="auto"/>
              <w:jc w:val="both"/>
              <w:rPr>
                <w:rFonts w:eastAsia="Times New Roman" w:cs="Calibri"/>
                <w:noProof/>
              </w:rPr>
            </w:pPr>
            <w:r>
              <w:rPr>
                <w:noProof/>
              </w:rPr>
              <w:t>Ar Veselības un finanšu ministriju kopīgu apstiprinājumu stājas spēkā jaunais pārvaldības līguma paraugs. Jauno veidni ievēro visos turpmākajos pārvaldības līgumos, kas jāparaksta visiem valsts uzņēmumu valsts vadītājiem veselības aprūpes sistēmā, lai stiprinātu pārskatatbildību un veicinātu uz darbības rezultātiem balstītu pārvaldības praksi.</w:t>
            </w:r>
          </w:p>
        </w:tc>
      </w:tr>
      <w:tr w:rsidR="00776A1F" w14:paraId="62CE5DDB" w14:textId="77777777">
        <w:trPr>
          <w:trHeight w:val="556"/>
        </w:trPr>
        <w:tc>
          <w:tcPr>
            <w:tcW w:w="1135" w:type="dxa"/>
            <w:shd w:val="clear" w:color="auto" w:fill="C4EFCE"/>
            <w:noWrap/>
            <w:vAlign w:val="center"/>
            <w:hideMark/>
          </w:tcPr>
          <w:p w14:paraId="41A0C8AD" w14:textId="77777777" w:rsidR="00776A1F" w:rsidRDefault="00D8574B">
            <w:pPr>
              <w:pStyle w:val="P68B1DB1-Normal7"/>
              <w:spacing w:after="0" w:line="240" w:lineRule="auto"/>
              <w:jc w:val="center"/>
              <w:rPr>
                <w:rFonts w:eastAsia="Times New Roman" w:cs="Calibri"/>
                <w:noProof/>
              </w:rPr>
            </w:pPr>
            <w:r>
              <w:rPr>
                <w:noProof/>
              </w:rPr>
              <w:t>1.7</w:t>
            </w:r>
          </w:p>
        </w:tc>
        <w:tc>
          <w:tcPr>
            <w:tcW w:w="1276" w:type="dxa"/>
            <w:shd w:val="clear" w:color="auto" w:fill="C4EFCE"/>
            <w:noWrap/>
            <w:vAlign w:val="center"/>
            <w:hideMark/>
          </w:tcPr>
          <w:p w14:paraId="503F6CAA"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C388B1A"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03D3A04" w14:textId="77777777" w:rsidR="00776A1F" w:rsidRDefault="00D8574B">
            <w:pPr>
              <w:pStyle w:val="P68B1DB1-Normal8"/>
              <w:spacing w:after="0" w:line="240" w:lineRule="auto"/>
              <w:jc w:val="center"/>
              <w:rPr>
                <w:rFonts w:eastAsia="Times New Roman" w:cs="Calibri"/>
                <w:noProof/>
              </w:rPr>
            </w:pPr>
            <w:r>
              <w:rPr>
                <w:noProof/>
              </w:rPr>
              <w:t>Valsts veselības dienesta jaunā vadības grāmatvedības plāna stāšanās spēkā</w:t>
            </w:r>
          </w:p>
        </w:tc>
        <w:tc>
          <w:tcPr>
            <w:tcW w:w="1418" w:type="dxa"/>
            <w:shd w:val="clear" w:color="auto" w:fill="C4EFCE"/>
            <w:noWrap/>
            <w:vAlign w:val="center"/>
            <w:hideMark/>
          </w:tcPr>
          <w:p w14:paraId="17E76F91" w14:textId="77777777" w:rsidR="00776A1F" w:rsidRDefault="00D8574B">
            <w:pPr>
              <w:pStyle w:val="P68B1DB1-Normal8"/>
              <w:spacing w:after="0" w:line="240" w:lineRule="auto"/>
              <w:jc w:val="center"/>
              <w:rPr>
                <w:rFonts w:eastAsia="Times New Roman" w:cs="Calibri"/>
                <w:noProof/>
              </w:rPr>
            </w:pPr>
            <w:r>
              <w:rPr>
                <w:noProof/>
              </w:rPr>
              <w:t>Jaunā vadības grāmatvedības plāna stāšanās spēkā</w:t>
            </w:r>
          </w:p>
        </w:tc>
        <w:tc>
          <w:tcPr>
            <w:tcW w:w="1164" w:type="dxa"/>
            <w:shd w:val="clear" w:color="auto" w:fill="C4EFCE"/>
            <w:noWrap/>
            <w:vAlign w:val="center"/>
            <w:hideMark/>
          </w:tcPr>
          <w:p w14:paraId="24AFC56D"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06359F79"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2339343"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FA554EC" w14:textId="77777777" w:rsidR="00776A1F" w:rsidRDefault="00D8574B">
            <w:pPr>
              <w:pStyle w:val="P68B1DB1-Normal8"/>
              <w:spacing w:after="0" w:line="240" w:lineRule="auto"/>
              <w:jc w:val="center"/>
              <w:rPr>
                <w:rFonts w:eastAsia="Times New Roman" w:cs="Calibri"/>
                <w:noProof/>
              </w:rPr>
            </w:pPr>
            <w:r>
              <w:rPr>
                <w:noProof/>
              </w:rPr>
              <w:t>1. CET.</w:t>
            </w:r>
          </w:p>
        </w:tc>
        <w:tc>
          <w:tcPr>
            <w:tcW w:w="901" w:type="dxa"/>
            <w:shd w:val="clear" w:color="auto" w:fill="C4EFCE"/>
            <w:noWrap/>
            <w:vAlign w:val="center"/>
            <w:hideMark/>
          </w:tcPr>
          <w:p w14:paraId="24B7A493" w14:textId="77777777" w:rsidR="00776A1F" w:rsidRDefault="00D8574B">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4314FC7" w14:textId="77777777" w:rsidR="00776A1F" w:rsidRDefault="00D8574B">
            <w:pPr>
              <w:pStyle w:val="P68B1DB1-Normal8"/>
              <w:spacing w:after="0" w:line="240" w:lineRule="auto"/>
              <w:jc w:val="both"/>
              <w:rPr>
                <w:rFonts w:eastAsia="Times New Roman" w:cs="Calibri"/>
                <w:noProof/>
              </w:rPr>
            </w:pPr>
            <w:r>
              <w:rPr>
                <w:noProof/>
              </w:rPr>
              <w:t>Izstrādāt Valsts veselības dienesta vadības uzskaites plānu, lai valsts līmenī apkopotu informāciju par slimnīcu pakalpojumu izmaksām, ienākumiem un rezultātiem, tādējādi uzlabojot resursu sadali Valsts veselības dienestā, veicot salīdzinošo novērtēšanu un nosakot jomas, kurās jāuzlabo veselības aprūpes struktūru darbības efektivitāte. Veselības sistēmas centrālā administrācija izplata jauno vadības uzskaites plānu, izmantojot normatīvo apkārtrakstu.</w:t>
            </w:r>
          </w:p>
        </w:tc>
      </w:tr>
      <w:tr w:rsidR="00776A1F" w14:paraId="32CD0FC0" w14:textId="77777777">
        <w:trPr>
          <w:trHeight w:val="509"/>
        </w:trPr>
        <w:tc>
          <w:tcPr>
            <w:tcW w:w="1135" w:type="dxa"/>
            <w:shd w:val="clear" w:color="auto" w:fill="C4EFCE"/>
            <w:noWrap/>
            <w:vAlign w:val="center"/>
            <w:hideMark/>
          </w:tcPr>
          <w:p w14:paraId="21F38F39" w14:textId="77777777" w:rsidR="00776A1F" w:rsidRDefault="00D8574B">
            <w:pPr>
              <w:pStyle w:val="P68B1DB1-Normal7"/>
              <w:spacing w:after="0" w:line="240" w:lineRule="auto"/>
              <w:jc w:val="center"/>
              <w:rPr>
                <w:rFonts w:eastAsia="Times New Roman" w:cs="Calibri"/>
                <w:noProof/>
              </w:rPr>
            </w:pPr>
            <w:r>
              <w:rPr>
                <w:noProof/>
              </w:rPr>
              <w:t>1.8</w:t>
            </w:r>
          </w:p>
        </w:tc>
        <w:tc>
          <w:tcPr>
            <w:tcW w:w="1276" w:type="dxa"/>
            <w:shd w:val="clear" w:color="auto" w:fill="C4EFCE"/>
            <w:noWrap/>
            <w:vAlign w:val="center"/>
            <w:hideMark/>
          </w:tcPr>
          <w:p w14:paraId="17CA506E"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77C53D1"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7A85A30" w14:textId="77777777" w:rsidR="00776A1F" w:rsidRDefault="00D8574B">
            <w:pPr>
              <w:pStyle w:val="P68B1DB1-Normal8"/>
              <w:spacing w:after="0" w:line="240" w:lineRule="auto"/>
              <w:jc w:val="center"/>
              <w:rPr>
                <w:rFonts w:eastAsia="Times New Roman" w:cs="Calibri"/>
                <w:noProof/>
              </w:rPr>
            </w:pPr>
            <w:r>
              <w:rPr>
                <w:noProof/>
              </w:rPr>
              <w:t>Jaunu integrētu atbildības centru izveide Valsts veselības dienesta slimnīcās</w:t>
            </w:r>
          </w:p>
        </w:tc>
        <w:tc>
          <w:tcPr>
            <w:tcW w:w="1418" w:type="dxa"/>
            <w:shd w:val="clear" w:color="auto" w:fill="C4EFCE"/>
            <w:noWrap/>
            <w:vAlign w:val="center"/>
            <w:hideMark/>
          </w:tcPr>
          <w:p w14:paraId="60988E12"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8F2FF0"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2B2EFD81"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4C0063E" w14:textId="77777777" w:rsidR="00776A1F" w:rsidRDefault="00D8574B">
            <w:pPr>
              <w:pStyle w:val="P68B1DB1-Normal8"/>
              <w:spacing w:after="0" w:line="240" w:lineRule="auto"/>
              <w:jc w:val="center"/>
              <w:rPr>
                <w:rFonts w:eastAsia="Times New Roman" w:cs="Calibri"/>
                <w:noProof/>
              </w:rPr>
            </w:pPr>
            <w:r>
              <w:rPr>
                <w:noProof/>
              </w:rPr>
              <w:t>10</w:t>
            </w:r>
          </w:p>
        </w:tc>
        <w:tc>
          <w:tcPr>
            <w:tcW w:w="833" w:type="dxa"/>
            <w:gridSpan w:val="2"/>
            <w:shd w:val="clear" w:color="auto" w:fill="C4EFCE"/>
            <w:noWrap/>
            <w:vAlign w:val="center"/>
            <w:hideMark/>
          </w:tcPr>
          <w:p w14:paraId="15BC6433"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775CACAD"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95952DF" w14:textId="77777777" w:rsidR="00776A1F" w:rsidRDefault="00D8574B">
            <w:pPr>
              <w:pStyle w:val="P68B1DB1-Normal8"/>
              <w:spacing w:after="0" w:line="240" w:lineRule="auto"/>
              <w:jc w:val="both"/>
              <w:rPr>
                <w:rFonts w:eastAsia="Times New Roman" w:cs="Calibri"/>
                <w:noProof/>
              </w:rPr>
            </w:pPr>
            <w:r>
              <w:rPr>
                <w:noProof/>
              </w:rPr>
              <w:t>Jaunu integrētu atbildības centru izveide Valsts veselības dienesta slimnīcās, lai: uzlabot veselības aprūpes pakalpojumu pieejamību, kvalitāti un efektivitāti; stiprināt veselības aprūpes pakalpojumu klīnisko pārvaldību, autonomiju un pārskatatbildību; III) mudināt veselības aprūpes speciālistus turpināt strādāt valsts slimnīcās; sadalīt riskus un ieguvumus starp veselības aprūpes dienestiem un slimnīcām; V) novērtē katra veselības aprūpes dienesta un slimnīcas uzdevumu Valsts veselības dienesta reģionālajā un valsts kontekstā.</w:t>
            </w:r>
          </w:p>
        </w:tc>
      </w:tr>
      <w:tr w:rsidR="00776A1F" w14:paraId="1939BFC6" w14:textId="77777777">
        <w:trPr>
          <w:trHeight w:val="1270"/>
        </w:trPr>
        <w:tc>
          <w:tcPr>
            <w:tcW w:w="1135" w:type="dxa"/>
            <w:shd w:val="clear" w:color="auto" w:fill="C4EFCE"/>
            <w:noWrap/>
            <w:vAlign w:val="center"/>
            <w:hideMark/>
          </w:tcPr>
          <w:p w14:paraId="3C32EC3C" w14:textId="77777777" w:rsidR="00776A1F" w:rsidRDefault="00D8574B">
            <w:pPr>
              <w:pStyle w:val="P68B1DB1-Normal7"/>
              <w:spacing w:after="0" w:line="240" w:lineRule="auto"/>
              <w:jc w:val="center"/>
              <w:rPr>
                <w:rFonts w:eastAsia="Times New Roman" w:cs="Calibri"/>
                <w:noProof/>
              </w:rPr>
            </w:pPr>
            <w:r>
              <w:rPr>
                <w:noProof/>
              </w:rPr>
              <w:t>1.9</w:t>
            </w:r>
          </w:p>
        </w:tc>
        <w:tc>
          <w:tcPr>
            <w:tcW w:w="1276" w:type="dxa"/>
            <w:shd w:val="clear" w:color="auto" w:fill="C4EFCE"/>
            <w:noWrap/>
            <w:vAlign w:val="center"/>
            <w:hideMark/>
          </w:tcPr>
          <w:p w14:paraId="089D7CDD"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CCBCD34"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18C1018" w14:textId="77777777" w:rsidR="00776A1F" w:rsidRDefault="00D8574B">
            <w:pPr>
              <w:pStyle w:val="P68B1DB1-Normal8"/>
              <w:spacing w:after="0" w:line="240" w:lineRule="auto"/>
              <w:jc w:val="center"/>
              <w:rPr>
                <w:rFonts w:eastAsia="Times New Roman" w:cs="Calibri"/>
                <w:noProof/>
              </w:rPr>
            </w:pPr>
            <w:r>
              <w:rPr>
                <w:noProof/>
              </w:rPr>
              <w:t>Jaunu integrētu atbildības centru izveide Valsts veselības dienesta slimnīcās</w:t>
            </w:r>
          </w:p>
        </w:tc>
        <w:tc>
          <w:tcPr>
            <w:tcW w:w="1418" w:type="dxa"/>
            <w:shd w:val="clear" w:color="auto" w:fill="C4EFCE"/>
            <w:noWrap/>
            <w:vAlign w:val="center"/>
            <w:hideMark/>
          </w:tcPr>
          <w:p w14:paraId="05523826"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E40AB99"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5203E359" w14:textId="77777777" w:rsidR="00776A1F" w:rsidRDefault="00D8574B">
            <w:pPr>
              <w:pStyle w:val="P68B1DB1-Normal8"/>
              <w:spacing w:after="0" w:line="240" w:lineRule="auto"/>
              <w:jc w:val="center"/>
              <w:rPr>
                <w:rFonts w:eastAsia="Times New Roman" w:cs="Calibri"/>
                <w:noProof/>
              </w:rPr>
            </w:pPr>
            <w:r>
              <w:rPr>
                <w:noProof/>
              </w:rPr>
              <w:t>10</w:t>
            </w:r>
          </w:p>
        </w:tc>
        <w:tc>
          <w:tcPr>
            <w:tcW w:w="805" w:type="dxa"/>
            <w:shd w:val="clear" w:color="auto" w:fill="C4EFCE"/>
            <w:noWrap/>
            <w:vAlign w:val="center"/>
            <w:hideMark/>
          </w:tcPr>
          <w:p w14:paraId="7A35B435" w14:textId="77777777" w:rsidR="00776A1F" w:rsidRDefault="00D8574B">
            <w:pPr>
              <w:pStyle w:val="P68B1DB1-Normal8"/>
              <w:spacing w:after="0" w:line="240" w:lineRule="auto"/>
              <w:jc w:val="center"/>
              <w:rPr>
                <w:rFonts w:eastAsia="Times New Roman" w:cs="Calibri"/>
                <w:noProof/>
              </w:rPr>
            </w:pPr>
            <w:r>
              <w:rPr>
                <w:noProof/>
              </w:rPr>
              <w:t>25</w:t>
            </w:r>
          </w:p>
        </w:tc>
        <w:tc>
          <w:tcPr>
            <w:tcW w:w="833" w:type="dxa"/>
            <w:gridSpan w:val="2"/>
            <w:shd w:val="clear" w:color="auto" w:fill="C4EFCE"/>
            <w:noWrap/>
            <w:vAlign w:val="center"/>
            <w:hideMark/>
          </w:tcPr>
          <w:p w14:paraId="794F3E26"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70104365"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AF662D1" w14:textId="77777777" w:rsidR="00776A1F" w:rsidRDefault="00D8574B">
            <w:pPr>
              <w:pStyle w:val="P68B1DB1-Normal8"/>
              <w:spacing w:after="0" w:line="240" w:lineRule="auto"/>
              <w:jc w:val="both"/>
              <w:rPr>
                <w:rFonts w:eastAsia="Times New Roman" w:cs="Calibri"/>
                <w:noProof/>
              </w:rPr>
            </w:pPr>
            <w:r>
              <w:rPr>
                <w:noProof/>
              </w:rPr>
              <w:t>Jaunu integrētu atbildības centru izveide Valsts veselības dienesta slimnīcās, lai: uzlabot veselības aprūpes pakalpojumu pieejamību, kvalitāti un efektivitāti; stiprināt veselības aprūpes pakalpojumu klīnisko pārvaldību, autonomiju un pārskatatbildību; III) mudināt veselības aprūpes speciālistus turpināt strādāt valsts slimnīcās; sadalīt riskus un ieguvumus starp veselības aprūpes dienestiem un slimnīcām; V) novērtē katra veselības aprūpes dienesta un slimnīcas uzdevumu Valsts veselības dienesta reģionālajā un valsts kontekstā.</w:t>
            </w:r>
          </w:p>
        </w:tc>
      </w:tr>
      <w:tr w:rsidR="00776A1F" w14:paraId="42C580F2" w14:textId="77777777">
        <w:trPr>
          <w:trHeight w:val="1270"/>
        </w:trPr>
        <w:tc>
          <w:tcPr>
            <w:tcW w:w="1135" w:type="dxa"/>
            <w:shd w:val="clear" w:color="auto" w:fill="C4EFCE"/>
            <w:noWrap/>
            <w:vAlign w:val="center"/>
            <w:hideMark/>
          </w:tcPr>
          <w:p w14:paraId="577ECC38" w14:textId="77777777" w:rsidR="00776A1F" w:rsidRDefault="00D8574B">
            <w:pPr>
              <w:pStyle w:val="P68B1DB1-Normal7"/>
              <w:spacing w:after="0" w:line="240" w:lineRule="auto"/>
              <w:jc w:val="center"/>
              <w:rPr>
                <w:rFonts w:eastAsia="Times New Roman" w:cs="Calibri"/>
                <w:noProof/>
              </w:rPr>
            </w:pPr>
            <w:r>
              <w:rPr>
                <w:noProof/>
              </w:rPr>
              <w:t>1.10</w:t>
            </w:r>
          </w:p>
        </w:tc>
        <w:tc>
          <w:tcPr>
            <w:tcW w:w="1276" w:type="dxa"/>
            <w:shd w:val="clear" w:color="auto" w:fill="C4EFCE"/>
            <w:noWrap/>
            <w:vAlign w:val="center"/>
            <w:hideMark/>
          </w:tcPr>
          <w:p w14:paraId="366D7083"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F822836"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4D5231" w14:textId="77777777" w:rsidR="00776A1F" w:rsidRDefault="00D8574B">
            <w:pPr>
              <w:pStyle w:val="P68B1DB1-Normal8"/>
              <w:spacing w:after="0" w:line="240" w:lineRule="auto"/>
              <w:jc w:val="center"/>
              <w:rPr>
                <w:rFonts w:eastAsia="Times New Roman" w:cs="Calibri"/>
                <w:noProof/>
              </w:rPr>
            </w:pPr>
            <w:r>
              <w:rPr>
                <w:noProof/>
              </w:rPr>
              <w:t>Valsts veselības dienesta slimnīcās stiprināt hospitalizāciju mājās</w:t>
            </w:r>
          </w:p>
        </w:tc>
        <w:tc>
          <w:tcPr>
            <w:tcW w:w="1418" w:type="dxa"/>
            <w:shd w:val="clear" w:color="auto" w:fill="C4EFCE"/>
            <w:noWrap/>
            <w:vAlign w:val="center"/>
            <w:hideMark/>
          </w:tcPr>
          <w:p w14:paraId="345712F2"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B7E8C08"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10CED8A4"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A59B4DD" w14:textId="77777777" w:rsidR="00776A1F" w:rsidRDefault="00D8574B">
            <w:pPr>
              <w:pStyle w:val="P68B1DB1-Normal8"/>
              <w:spacing w:after="0" w:line="240" w:lineRule="auto"/>
              <w:jc w:val="center"/>
              <w:rPr>
                <w:rFonts w:eastAsia="Times New Roman" w:cs="Calibri"/>
                <w:noProof/>
              </w:rPr>
            </w:pPr>
            <w:r>
              <w:rPr>
                <w:noProof/>
              </w:rPr>
              <w:t>5 000</w:t>
            </w:r>
          </w:p>
        </w:tc>
        <w:tc>
          <w:tcPr>
            <w:tcW w:w="833" w:type="dxa"/>
            <w:gridSpan w:val="2"/>
            <w:shd w:val="clear" w:color="auto" w:fill="C4EFCE"/>
            <w:noWrap/>
            <w:vAlign w:val="center"/>
            <w:hideMark/>
          </w:tcPr>
          <w:p w14:paraId="0E7C5F59"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5462A3BC" w14:textId="77777777" w:rsidR="00776A1F" w:rsidRDefault="00D8574B">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7304B4C" w14:textId="77777777" w:rsidR="00776A1F" w:rsidRDefault="00D8574B">
            <w:pPr>
              <w:pStyle w:val="P68B1DB1-Normal8"/>
              <w:spacing w:after="0" w:line="240" w:lineRule="auto"/>
              <w:jc w:val="both"/>
              <w:rPr>
                <w:rFonts w:eastAsia="Times New Roman" w:cs="Calibri"/>
                <w:noProof/>
              </w:rPr>
            </w:pPr>
            <w:r>
              <w:rPr>
                <w:noProof/>
              </w:rPr>
              <w:t>Palielināt reaģēšanas spējas mājās hospitalizācijas jomā, ļaujot mājās sniegt veselības aprūpes pakalpojumus ar diferenciāciju, sarežģītību un intensitāti slimnīcas līmenī uz ierobežotu laiku ciešā saistībā ar primārās veselības aprūpes pakalpojumiem, valsts integrētas nepārtrauktas aprūpes tīklu, sociālo sektoru un plašāku sabiedrību, ko mēra pēc jaunu mājas hospitalizācijas epizožu skaita (kas definēta kā aprūpes kopums, kas sniegts laikposmā, kurā par pacientu ir atbildīga mājas hospitalizācijas nodaļa, un kas nepārtraukti no uzņemšanas dienas līdz izrakstīšanas dienai, izņemot izrakstīšanas dienu).</w:t>
            </w:r>
          </w:p>
        </w:tc>
      </w:tr>
      <w:tr w:rsidR="00776A1F" w14:paraId="1699988C" w14:textId="77777777">
        <w:trPr>
          <w:trHeight w:val="548"/>
        </w:trPr>
        <w:tc>
          <w:tcPr>
            <w:tcW w:w="1135" w:type="dxa"/>
            <w:shd w:val="clear" w:color="auto" w:fill="C4EFCE"/>
            <w:noWrap/>
            <w:vAlign w:val="center"/>
            <w:hideMark/>
          </w:tcPr>
          <w:p w14:paraId="2DF091B1" w14:textId="77777777" w:rsidR="00776A1F" w:rsidRDefault="00D8574B">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0111FB9C"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9EE4E04"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633A7BA" w14:textId="77777777" w:rsidR="00776A1F" w:rsidRDefault="00D8574B">
            <w:pPr>
              <w:pStyle w:val="P68B1DB1-Normal8"/>
              <w:spacing w:after="0" w:line="240" w:lineRule="auto"/>
              <w:jc w:val="center"/>
              <w:rPr>
                <w:rFonts w:eastAsia="Times New Roman" w:cs="Calibri"/>
                <w:noProof/>
              </w:rPr>
            </w:pPr>
            <w:r>
              <w:rPr>
                <w:noProof/>
              </w:rPr>
              <w:t>Stājas spēkā rīcības plāns zāļu centralizēto iepirkumu mehānismu stiprināšanai</w:t>
            </w:r>
          </w:p>
        </w:tc>
        <w:tc>
          <w:tcPr>
            <w:tcW w:w="1418" w:type="dxa"/>
            <w:shd w:val="clear" w:color="auto" w:fill="C4EFCE"/>
            <w:noWrap/>
            <w:vAlign w:val="center"/>
            <w:hideMark/>
          </w:tcPr>
          <w:p w14:paraId="76B6595B" w14:textId="77777777" w:rsidR="00776A1F" w:rsidRDefault="00D8574B">
            <w:pPr>
              <w:pStyle w:val="P68B1DB1-Normal8"/>
              <w:spacing w:after="0" w:line="240" w:lineRule="auto"/>
              <w:jc w:val="center"/>
              <w:rPr>
                <w:rFonts w:eastAsia="Times New Roman" w:cs="Calibri"/>
                <w:noProof/>
              </w:rPr>
            </w:pPr>
            <w:r>
              <w:rPr>
                <w:noProof/>
              </w:rPr>
              <w:t>Stājas spēkā rīcības plāns zāļu centralizēto iepirkumu mehānismu stiprināšanai</w:t>
            </w:r>
          </w:p>
        </w:tc>
        <w:tc>
          <w:tcPr>
            <w:tcW w:w="1164" w:type="dxa"/>
            <w:shd w:val="clear" w:color="auto" w:fill="C4EFCE"/>
            <w:noWrap/>
            <w:vAlign w:val="center"/>
            <w:hideMark/>
          </w:tcPr>
          <w:p w14:paraId="4C8EE4DB"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0EE7582"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71ECECB"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3F04864"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64160DE6" w14:textId="77777777" w:rsidR="00776A1F" w:rsidRDefault="00D8574B">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D202E36" w14:textId="77777777" w:rsidR="00776A1F" w:rsidRDefault="00D8574B">
            <w:pPr>
              <w:pStyle w:val="P68B1DB1-Normal8"/>
              <w:spacing w:after="0" w:line="240" w:lineRule="auto"/>
              <w:jc w:val="both"/>
              <w:rPr>
                <w:rFonts w:eastAsia="Times New Roman" w:cs="Calibri"/>
                <w:noProof/>
              </w:rPr>
            </w:pPr>
            <w:r>
              <w:rPr>
                <w:noProof/>
              </w:rPr>
              <w:t>Stājas spēkā rīcības plāns, kura mērķis ir stiprināt zāļu centralizētos iepirkuma mehānismus, īstenot ieteikumus, kas sniegti neatkarīgā novērtējumā par zāļu centralizēto iepirkumu Portugālē, ko saskaņā ar Strukturālo reformu atbalsta programmu veica Austrijas Sabiedrības veselības institūts.</w:t>
            </w:r>
          </w:p>
        </w:tc>
      </w:tr>
      <w:tr w:rsidR="00776A1F" w14:paraId="240E4FD9" w14:textId="77777777">
        <w:trPr>
          <w:trHeight w:val="430"/>
        </w:trPr>
        <w:tc>
          <w:tcPr>
            <w:tcW w:w="1135" w:type="dxa"/>
            <w:shd w:val="clear" w:color="auto" w:fill="C4EFCE"/>
            <w:noWrap/>
            <w:vAlign w:val="center"/>
            <w:hideMark/>
          </w:tcPr>
          <w:p w14:paraId="1D7DFEEA" w14:textId="77777777" w:rsidR="00776A1F" w:rsidRDefault="00D8574B">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05A91880" w14:textId="77777777" w:rsidR="00776A1F" w:rsidRDefault="00D8574B">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31D9089"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3EADC9" w14:textId="5ED57581" w:rsidR="00776A1F" w:rsidRDefault="00D8574B">
            <w:pPr>
              <w:pStyle w:val="P68B1DB1-Normal8"/>
              <w:spacing w:after="0" w:line="240" w:lineRule="auto"/>
              <w:jc w:val="center"/>
              <w:rPr>
                <w:rFonts w:eastAsia="Times New Roman" w:cs="Calibri"/>
                <w:noProof/>
              </w:rPr>
            </w:pPr>
            <w:r>
              <w:rPr>
                <w:noProof/>
              </w:rPr>
              <w:t>Jaunā pilna darba režīma stāšanās spēkā Nacionālajā veselības dienestā</w:t>
            </w:r>
          </w:p>
        </w:tc>
        <w:tc>
          <w:tcPr>
            <w:tcW w:w="1418" w:type="dxa"/>
            <w:shd w:val="clear" w:color="auto" w:fill="C4EFCE"/>
            <w:noWrap/>
            <w:vAlign w:val="center"/>
            <w:hideMark/>
          </w:tcPr>
          <w:p w14:paraId="5F9DE5F0" w14:textId="3E09C163" w:rsidR="00776A1F" w:rsidRDefault="00D8574B">
            <w:pPr>
              <w:pStyle w:val="P68B1DB1-Normal8"/>
              <w:spacing w:after="0" w:line="240" w:lineRule="auto"/>
              <w:jc w:val="center"/>
              <w:rPr>
                <w:rFonts w:eastAsia="Times New Roman" w:cs="Calibri"/>
                <w:noProof/>
              </w:rPr>
            </w:pPr>
            <w:r>
              <w:rPr>
                <w:noProof/>
              </w:rPr>
              <w:t>Jaunā darba kārtības stāšanās spēkā</w:t>
            </w:r>
          </w:p>
        </w:tc>
        <w:tc>
          <w:tcPr>
            <w:tcW w:w="1164" w:type="dxa"/>
            <w:shd w:val="clear" w:color="auto" w:fill="C4EFCE"/>
            <w:noWrap/>
            <w:vAlign w:val="center"/>
            <w:hideMark/>
          </w:tcPr>
          <w:p w14:paraId="478B13EF"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D88994E"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3C6E2B3D"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697D9E32" w14:textId="77777777" w:rsidR="00776A1F" w:rsidRDefault="00D8574B">
            <w:pPr>
              <w:pStyle w:val="P68B1DB1-Normal8"/>
              <w:spacing w:after="0" w:line="240" w:lineRule="auto"/>
              <w:jc w:val="center"/>
              <w:rPr>
                <w:rFonts w:eastAsia="Times New Roman" w:cs="Calibri"/>
                <w:noProof/>
              </w:rPr>
            </w:pPr>
            <w:r>
              <w:rPr>
                <w:noProof/>
              </w:rPr>
              <w:t>1. CET.</w:t>
            </w:r>
          </w:p>
        </w:tc>
        <w:tc>
          <w:tcPr>
            <w:tcW w:w="901" w:type="dxa"/>
            <w:shd w:val="clear" w:color="auto" w:fill="C4EFCE"/>
            <w:noWrap/>
            <w:vAlign w:val="center"/>
            <w:hideMark/>
          </w:tcPr>
          <w:p w14:paraId="132AD89B" w14:textId="77777777" w:rsidR="00776A1F" w:rsidRDefault="00D8574B">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6DC4701F" w14:textId="174CBF8B" w:rsidR="00776A1F" w:rsidRDefault="00D8574B">
            <w:pPr>
              <w:pStyle w:val="P68B1DB1-Normal8"/>
              <w:spacing w:after="0" w:line="240" w:lineRule="auto"/>
              <w:jc w:val="both"/>
              <w:rPr>
                <w:rFonts w:eastAsia="Times New Roman" w:cs="Calibri"/>
                <w:noProof/>
              </w:rPr>
            </w:pPr>
            <w:r>
              <w:rPr>
                <w:noProof/>
              </w:rPr>
              <w:t>Jauns pilntiesīgs darba režīms veselības aprūpes speciālistiem Nacionālajā veselības dienestā, ietverot piemērotus mehānismus darba laika un atalgojuma tabulu organizēšanai.</w:t>
            </w:r>
          </w:p>
        </w:tc>
      </w:tr>
      <w:tr w:rsidR="00776A1F" w14:paraId="00BADC6F" w14:textId="77777777">
        <w:trPr>
          <w:trHeight w:val="640"/>
        </w:trPr>
        <w:tc>
          <w:tcPr>
            <w:tcW w:w="1135" w:type="dxa"/>
            <w:shd w:val="clear" w:color="auto" w:fill="C4EFCE"/>
            <w:noWrap/>
            <w:vAlign w:val="center"/>
            <w:hideMark/>
          </w:tcPr>
          <w:p w14:paraId="5419F19A" w14:textId="77777777" w:rsidR="00776A1F" w:rsidRDefault="00D8574B">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02567C83"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AF35FB7"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5ABDD2D" w14:textId="77777777" w:rsidR="00776A1F" w:rsidRDefault="00D8574B">
            <w:pPr>
              <w:pStyle w:val="P68B1DB1-Normal8"/>
              <w:spacing w:after="0" w:line="240" w:lineRule="auto"/>
              <w:jc w:val="center"/>
              <w:rPr>
                <w:rFonts w:eastAsia="Times New Roman" w:cs="Calibri"/>
                <w:noProof/>
              </w:rPr>
            </w:pPr>
            <w:r>
              <w:rPr>
                <w:noProof/>
              </w:rPr>
              <w:t>Tādu neatliekamās palīdzības epizožu norādīšanas noteikumu stāšanās spēkā, kuri tiek pārbaudīti baltā, zilā vai zaļā krāsā slimnīcu neatliekamās palīdzības dienestos attiecībā uz cita veida veselības aprūpes pakalpojumiem, tostarp primārās veselības aprūpes pakalpojumiem</w:t>
            </w:r>
          </w:p>
        </w:tc>
        <w:tc>
          <w:tcPr>
            <w:tcW w:w="1418" w:type="dxa"/>
            <w:shd w:val="clear" w:color="auto" w:fill="C4EFCE"/>
            <w:noWrap/>
            <w:vAlign w:val="center"/>
            <w:hideMark/>
          </w:tcPr>
          <w:p w14:paraId="5D50F531" w14:textId="77777777" w:rsidR="00776A1F" w:rsidRDefault="00D8574B">
            <w:pPr>
              <w:pStyle w:val="P68B1DB1-Normal8"/>
              <w:spacing w:after="0" w:line="240" w:lineRule="auto"/>
              <w:jc w:val="center"/>
              <w:rPr>
                <w:rFonts w:eastAsia="Times New Roman" w:cs="Calibri"/>
                <w:noProof/>
              </w:rPr>
            </w:pPr>
            <w:r>
              <w:rPr>
                <w:noProof/>
              </w:rPr>
              <w:t xml:space="preserve">Ārkārtas epizožu pielīdzināšanas noteikumu stāšanās spēkā </w:t>
            </w:r>
          </w:p>
        </w:tc>
        <w:tc>
          <w:tcPr>
            <w:tcW w:w="1164" w:type="dxa"/>
            <w:shd w:val="clear" w:color="auto" w:fill="C4EFCE"/>
            <w:noWrap/>
            <w:vAlign w:val="center"/>
            <w:hideMark/>
          </w:tcPr>
          <w:p w14:paraId="05DB3DBC"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6DBFC1C"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0639B76"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84FB6D1" w14:textId="77777777" w:rsidR="00776A1F" w:rsidRDefault="00D8574B">
            <w:pPr>
              <w:pStyle w:val="P68B1DB1-Normal8"/>
              <w:spacing w:after="0" w:line="240" w:lineRule="auto"/>
              <w:jc w:val="center"/>
              <w:rPr>
                <w:rFonts w:eastAsia="Times New Roman" w:cs="Calibri"/>
                <w:noProof/>
              </w:rPr>
            </w:pPr>
            <w:r>
              <w:rPr>
                <w:noProof/>
              </w:rPr>
              <w:t>1. CET.</w:t>
            </w:r>
          </w:p>
        </w:tc>
        <w:tc>
          <w:tcPr>
            <w:tcW w:w="901" w:type="dxa"/>
            <w:shd w:val="clear" w:color="auto" w:fill="C4EFCE"/>
            <w:noWrap/>
            <w:vAlign w:val="center"/>
            <w:hideMark/>
          </w:tcPr>
          <w:p w14:paraId="75252533"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D11035D" w14:textId="77777777" w:rsidR="00776A1F" w:rsidRDefault="00D8574B">
            <w:pPr>
              <w:pStyle w:val="P68B1DB1-Normal8"/>
              <w:spacing w:after="0" w:line="240" w:lineRule="auto"/>
              <w:jc w:val="both"/>
              <w:rPr>
                <w:rFonts w:eastAsia="Times New Roman" w:cs="Calibri"/>
                <w:noProof/>
              </w:rPr>
            </w:pPr>
            <w:r>
              <w:rPr>
                <w:noProof/>
              </w:rPr>
              <w:t>Stājas spēkā procedūras un administratīvie noteikumi par nosūtīšanas procesu lietotājiem, kuru neatliekamās palīdzības epizodes tiek pārbaudītas baltā, zilā vai zaļā krāsā citu veidu veselības aprūpes, pakalpojumu, proti, primārās veselības aprūpes pakalpojumu jomā, ar tiešu apmeklējumu grafiku.</w:t>
            </w:r>
          </w:p>
        </w:tc>
      </w:tr>
      <w:tr w:rsidR="00776A1F" w14:paraId="38EF775A" w14:textId="77777777">
        <w:trPr>
          <w:trHeight w:val="850"/>
        </w:trPr>
        <w:tc>
          <w:tcPr>
            <w:tcW w:w="1135" w:type="dxa"/>
            <w:shd w:val="clear" w:color="auto" w:fill="C4EFCE"/>
            <w:noWrap/>
            <w:vAlign w:val="center"/>
            <w:hideMark/>
          </w:tcPr>
          <w:p w14:paraId="1BA7330B" w14:textId="77777777" w:rsidR="00776A1F" w:rsidRDefault="00D8574B">
            <w:pPr>
              <w:pStyle w:val="P68B1DB1-Normal7"/>
              <w:spacing w:after="0" w:line="240" w:lineRule="auto"/>
              <w:jc w:val="center"/>
              <w:rPr>
                <w:rFonts w:eastAsia="Times New Roman" w:cs="Calibri"/>
                <w:noProof/>
              </w:rPr>
            </w:pPr>
            <w:r>
              <w:rPr>
                <w:noProof/>
              </w:rPr>
              <w:t>1.14</w:t>
            </w:r>
          </w:p>
        </w:tc>
        <w:tc>
          <w:tcPr>
            <w:tcW w:w="1276" w:type="dxa"/>
            <w:shd w:val="clear" w:color="auto" w:fill="C4EFCE"/>
            <w:noWrap/>
            <w:vAlign w:val="center"/>
            <w:hideMark/>
          </w:tcPr>
          <w:p w14:paraId="785DE09F"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47F1EDF"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BD030D8" w14:textId="77777777" w:rsidR="00776A1F" w:rsidRDefault="00D8574B">
            <w:pPr>
              <w:pStyle w:val="P68B1DB1-Normal8"/>
              <w:spacing w:after="0" w:line="240" w:lineRule="auto"/>
              <w:jc w:val="center"/>
              <w:rPr>
                <w:rFonts w:eastAsia="Times New Roman" w:cs="Calibri"/>
                <w:noProof/>
              </w:rPr>
            </w:pPr>
            <w:r>
              <w:rPr>
                <w:noProof/>
              </w:rPr>
              <w:t>Jaunu veselības aprūpes vienību izveide</w:t>
            </w:r>
          </w:p>
        </w:tc>
        <w:tc>
          <w:tcPr>
            <w:tcW w:w="1418" w:type="dxa"/>
            <w:shd w:val="clear" w:color="auto" w:fill="C4EFCE"/>
            <w:noWrap/>
            <w:vAlign w:val="center"/>
            <w:hideMark/>
          </w:tcPr>
          <w:p w14:paraId="5CEEB485"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C903B4A"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543F7214"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21084E32" w14:textId="77777777" w:rsidR="00776A1F" w:rsidRDefault="00D8574B">
            <w:pPr>
              <w:pStyle w:val="P68B1DB1-Normal8"/>
              <w:spacing w:after="0" w:line="240" w:lineRule="auto"/>
              <w:jc w:val="center"/>
              <w:rPr>
                <w:rFonts w:eastAsia="Times New Roman" w:cs="Calibri"/>
                <w:noProof/>
              </w:rPr>
            </w:pPr>
            <w:r>
              <w:rPr>
                <w:noProof/>
              </w:rPr>
              <w:t>20</w:t>
            </w:r>
          </w:p>
        </w:tc>
        <w:tc>
          <w:tcPr>
            <w:tcW w:w="833" w:type="dxa"/>
            <w:gridSpan w:val="2"/>
            <w:shd w:val="clear" w:color="auto" w:fill="C4EFCE"/>
            <w:noWrap/>
            <w:vAlign w:val="center"/>
            <w:hideMark/>
          </w:tcPr>
          <w:p w14:paraId="56ACA157"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37B663E4" w14:textId="765D0365" w:rsidR="00776A1F" w:rsidRDefault="00D8574B">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B230122" w14:textId="695839F7" w:rsidR="00776A1F" w:rsidRDefault="00D8574B">
            <w:pPr>
              <w:pStyle w:val="P68B1DB1-Normal8"/>
              <w:spacing w:after="0" w:line="240" w:lineRule="auto"/>
              <w:jc w:val="both"/>
              <w:rPr>
                <w:rFonts w:eastAsia="Times New Roman" w:cs="Calibri"/>
                <w:noProof/>
              </w:rPr>
            </w:pPr>
            <w:r>
              <w:rPr>
                <w:noProof/>
              </w:rPr>
              <w:t>Jaunu veselības aprūpes vienību skaits, nodrošinot pieejamību, kvalitāti, komfortu un drošību lietotājiem un veselības aprūpes speciālistiem un pielāgojot tās jauniem veselības aprūpes modeļiem. Jaunās vienības būvē, lai aizstātu nepiemērotas ēkas, un jaunu ēku primārās enerģijas pieprasījums ir vismaz par 20 % zemāks nekā prasībām, kas noteiktas gandrīz nulles enerģijas ēkām.</w:t>
            </w:r>
          </w:p>
        </w:tc>
      </w:tr>
      <w:tr w:rsidR="00776A1F" w14:paraId="73A0E506" w14:textId="77777777">
        <w:trPr>
          <w:trHeight w:val="850"/>
        </w:trPr>
        <w:tc>
          <w:tcPr>
            <w:tcW w:w="1135" w:type="dxa"/>
            <w:shd w:val="clear" w:color="auto" w:fill="C4EFCE"/>
            <w:noWrap/>
            <w:vAlign w:val="center"/>
            <w:hideMark/>
          </w:tcPr>
          <w:p w14:paraId="55C2973A" w14:textId="77777777" w:rsidR="00776A1F" w:rsidRDefault="00D8574B">
            <w:pPr>
              <w:pStyle w:val="P68B1DB1-Normal7"/>
              <w:spacing w:after="0" w:line="240" w:lineRule="auto"/>
              <w:jc w:val="center"/>
              <w:rPr>
                <w:rFonts w:eastAsia="Times New Roman" w:cs="Calibri"/>
                <w:noProof/>
              </w:rPr>
            </w:pPr>
            <w:r>
              <w:rPr>
                <w:noProof/>
              </w:rPr>
              <w:t>1.15</w:t>
            </w:r>
          </w:p>
        </w:tc>
        <w:tc>
          <w:tcPr>
            <w:tcW w:w="1276" w:type="dxa"/>
            <w:shd w:val="clear" w:color="auto" w:fill="C4EFCE"/>
            <w:noWrap/>
            <w:vAlign w:val="center"/>
            <w:hideMark/>
          </w:tcPr>
          <w:p w14:paraId="25307C9D"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0296621"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3FEAAF" w14:textId="77777777" w:rsidR="00776A1F" w:rsidRDefault="00D8574B">
            <w:pPr>
              <w:pStyle w:val="P68B1DB1-Normal8"/>
              <w:spacing w:after="0" w:line="240" w:lineRule="auto"/>
              <w:jc w:val="center"/>
              <w:rPr>
                <w:rFonts w:eastAsia="Times New Roman" w:cs="Calibri"/>
                <w:noProof/>
              </w:rPr>
            </w:pPr>
            <w:r>
              <w:rPr>
                <w:noProof/>
              </w:rPr>
              <w:t>Jaunu veselības aprūpes vienību izveide</w:t>
            </w:r>
          </w:p>
        </w:tc>
        <w:tc>
          <w:tcPr>
            <w:tcW w:w="1418" w:type="dxa"/>
            <w:shd w:val="clear" w:color="auto" w:fill="C4EFCE"/>
            <w:noWrap/>
            <w:vAlign w:val="center"/>
            <w:hideMark/>
          </w:tcPr>
          <w:p w14:paraId="321B2E97"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D729BA"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74689A5C" w14:textId="77777777" w:rsidR="00776A1F" w:rsidRDefault="00D8574B">
            <w:pPr>
              <w:pStyle w:val="P68B1DB1-Normal8"/>
              <w:spacing w:after="0" w:line="240" w:lineRule="auto"/>
              <w:jc w:val="center"/>
              <w:rPr>
                <w:rFonts w:eastAsia="Times New Roman" w:cs="Calibri"/>
                <w:noProof/>
              </w:rPr>
            </w:pPr>
            <w:r>
              <w:rPr>
                <w:noProof/>
              </w:rPr>
              <w:t>20</w:t>
            </w:r>
          </w:p>
        </w:tc>
        <w:tc>
          <w:tcPr>
            <w:tcW w:w="805" w:type="dxa"/>
            <w:shd w:val="clear" w:color="auto" w:fill="C4EFCE"/>
            <w:noWrap/>
            <w:vAlign w:val="center"/>
            <w:hideMark/>
          </w:tcPr>
          <w:p w14:paraId="6BF6BACC" w14:textId="78B4B7BB" w:rsidR="00776A1F" w:rsidRDefault="00D8574B">
            <w:pPr>
              <w:pStyle w:val="P68B1DB1-Normal8"/>
              <w:spacing w:after="0" w:line="240" w:lineRule="auto"/>
              <w:jc w:val="center"/>
              <w:rPr>
                <w:rFonts w:eastAsia="Times New Roman" w:cs="Calibri"/>
                <w:noProof/>
              </w:rPr>
            </w:pPr>
            <w:r>
              <w:rPr>
                <w:noProof/>
              </w:rPr>
              <w:t>124</w:t>
            </w:r>
          </w:p>
        </w:tc>
        <w:tc>
          <w:tcPr>
            <w:tcW w:w="833" w:type="dxa"/>
            <w:gridSpan w:val="2"/>
            <w:shd w:val="clear" w:color="auto" w:fill="C4EFCE"/>
            <w:noWrap/>
            <w:vAlign w:val="center"/>
            <w:hideMark/>
          </w:tcPr>
          <w:p w14:paraId="73691C37"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226C70C7"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52F5371" w14:textId="47F97C91" w:rsidR="00776A1F" w:rsidRDefault="00D8574B">
            <w:pPr>
              <w:pStyle w:val="P68B1DB1-Normal8"/>
              <w:spacing w:after="0" w:line="240" w:lineRule="auto"/>
              <w:jc w:val="both"/>
              <w:rPr>
                <w:rFonts w:eastAsia="Times New Roman" w:cs="Calibri"/>
                <w:noProof/>
              </w:rPr>
            </w:pPr>
            <w:r>
              <w:rPr>
                <w:noProof/>
              </w:rPr>
              <w:t>Jaunu veselības aprūpes vienību skaits, nodrošinot pieejamību, kvalitāti, komfortu un drošību lietotājiem un veselības aprūpes speciālistiem un pielāgojot tās jauniem veselības aprūpes modeļiem. Jaunās vienības būvē, lai aizstātu nepiemērotas ēkas, un jaunu ēku primārās enerģijas pieprasījums ir vismaz par 20 % zemāks nekā prasībām, kas noteiktas gandrīz nulles enerģijas ēkām.</w:t>
            </w:r>
          </w:p>
        </w:tc>
      </w:tr>
      <w:tr w:rsidR="00776A1F" w14:paraId="230D0958" w14:textId="77777777">
        <w:trPr>
          <w:trHeight w:val="1060"/>
        </w:trPr>
        <w:tc>
          <w:tcPr>
            <w:tcW w:w="1135" w:type="dxa"/>
            <w:shd w:val="clear" w:color="auto" w:fill="C4EFCE"/>
            <w:noWrap/>
            <w:vAlign w:val="center"/>
            <w:hideMark/>
          </w:tcPr>
          <w:p w14:paraId="7E7F0240" w14:textId="77777777" w:rsidR="00776A1F" w:rsidRDefault="00D8574B">
            <w:pPr>
              <w:pStyle w:val="P68B1DB1-Normal7"/>
              <w:spacing w:after="0" w:line="240" w:lineRule="auto"/>
              <w:jc w:val="center"/>
              <w:rPr>
                <w:rFonts w:eastAsia="Times New Roman" w:cs="Calibri"/>
                <w:noProof/>
              </w:rPr>
            </w:pPr>
            <w:r>
              <w:rPr>
                <w:noProof/>
              </w:rPr>
              <w:t>1.16</w:t>
            </w:r>
          </w:p>
        </w:tc>
        <w:tc>
          <w:tcPr>
            <w:tcW w:w="1276" w:type="dxa"/>
            <w:shd w:val="clear" w:color="auto" w:fill="C4EFCE"/>
            <w:noWrap/>
            <w:vAlign w:val="center"/>
            <w:hideMark/>
          </w:tcPr>
          <w:p w14:paraId="698640D1"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E717D99"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2EC3118" w14:textId="77777777" w:rsidR="00776A1F" w:rsidRDefault="00D8574B">
            <w:pPr>
              <w:pStyle w:val="P68B1DB1-Normal8"/>
              <w:spacing w:after="0" w:line="240" w:lineRule="auto"/>
              <w:jc w:val="center"/>
              <w:rPr>
                <w:rFonts w:eastAsia="Times New Roman" w:cs="Calibri"/>
                <w:noProof/>
              </w:rPr>
            </w:pPr>
            <w:r>
              <w:rPr>
                <w:noProof/>
              </w:rPr>
              <w:t>Pabeigt skrīninga un agrīnas diagnostikas programmu valsts segumu primārajā veselības aprūpē</w:t>
            </w:r>
          </w:p>
        </w:tc>
        <w:tc>
          <w:tcPr>
            <w:tcW w:w="1418" w:type="dxa"/>
            <w:shd w:val="clear" w:color="auto" w:fill="C4EFCE"/>
            <w:noWrap/>
            <w:vAlign w:val="center"/>
            <w:hideMark/>
          </w:tcPr>
          <w:p w14:paraId="7A244FBD" w14:textId="77777777" w:rsidR="00776A1F" w:rsidRDefault="00D8574B">
            <w:pPr>
              <w:pStyle w:val="P68B1DB1-Normal8"/>
              <w:spacing w:after="0" w:line="240" w:lineRule="auto"/>
              <w:jc w:val="center"/>
              <w:rPr>
                <w:rFonts w:eastAsia="Times New Roman" w:cs="Calibri"/>
                <w:noProof/>
              </w:rPr>
            </w:pPr>
            <w:r>
              <w:rPr>
                <w:noProof/>
              </w:rPr>
              <w:t>Ziņojums par skrīninga un agrīnas diagnostikas programmu aptvēruma pabeigšanu primārajā veselības aprūpē</w:t>
            </w:r>
          </w:p>
        </w:tc>
        <w:tc>
          <w:tcPr>
            <w:tcW w:w="1164" w:type="dxa"/>
            <w:shd w:val="clear" w:color="auto" w:fill="C4EFCE"/>
            <w:noWrap/>
            <w:vAlign w:val="center"/>
            <w:hideMark/>
          </w:tcPr>
          <w:p w14:paraId="5E1406AF" w14:textId="77777777" w:rsidR="00776A1F" w:rsidRDefault="00D8574B">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41515FAF" w14:textId="77777777" w:rsidR="00776A1F" w:rsidRDefault="00D8574B">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69D09CEE" w14:textId="77777777" w:rsidR="00776A1F" w:rsidRDefault="00D8574B">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032146EF" w14:textId="77777777" w:rsidR="00776A1F" w:rsidRDefault="00D8574B">
            <w:pPr>
              <w:pStyle w:val="P68B1DB1-Normal8"/>
              <w:spacing w:after="0" w:line="240" w:lineRule="auto"/>
              <w:jc w:val="center"/>
              <w:rPr>
                <w:rFonts w:eastAsia="Times New Roman" w:cs="Calibri"/>
                <w:noProof/>
              </w:rPr>
            </w:pPr>
            <w:r>
              <w:rPr>
                <w:noProof/>
              </w:rPr>
              <w:t>1. CET.</w:t>
            </w:r>
          </w:p>
        </w:tc>
        <w:tc>
          <w:tcPr>
            <w:tcW w:w="901" w:type="dxa"/>
            <w:shd w:val="clear" w:color="auto" w:fill="C4EFCE"/>
            <w:noWrap/>
            <w:vAlign w:val="center"/>
            <w:hideMark/>
          </w:tcPr>
          <w:p w14:paraId="2EAAE497"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103D50" w14:textId="77777777" w:rsidR="00776A1F" w:rsidRDefault="00D8574B">
            <w:pPr>
              <w:pStyle w:val="P68B1DB1-Normal8"/>
              <w:spacing w:after="0" w:line="240" w:lineRule="auto"/>
              <w:jc w:val="both"/>
              <w:rPr>
                <w:rFonts w:eastAsia="Times New Roman" w:cs="Calibri"/>
                <w:noProof/>
              </w:rPr>
            </w:pPr>
            <w:r>
              <w:rPr>
                <w:noProof/>
              </w:rPr>
              <w:t>Šā starpposma mērķa sasniegšana ietver: dzemdes kakla skrīninga ieviešana veselības centros; kolona un taisnās zarnas skrīninga ieviešana veselības centros; III) diabētiskās retinopātijas skrīninga ieviešana 300 veselības centros; Holter eksāmenu un asinsspiediena ambulatorās uzraudzības ieviešana funkcionālajās vienībās; astmas, hroniskas obstruktīvas plaušu slimības un smēķēšanas (spirometri) diagnostikas un ārstēšanas instrumentu ieviešana veselības centros; un vi) C-reaktīvo proteīnu dozēšanas ieviešana veselības centros.</w:t>
            </w:r>
          </w:p>
        </w:tc>
      </w:tr>
      <w:tr w:rsidR="00776A1F" w14:paraId="4D2FC373" w14:textId="77777777">
        <w:trPr>
          <w:trHeight w:val="1270"/>
        </w:trPr>
        <w:tc>
          <w:tcPr>
            <w:tcW w:w="1135" w:type="dxa"/>
            <w:shd w:val="clear" w:color="auto" w:fill="C4EFCE"/>
            <w:noWrap/>
            <w:vAlign w:val="center"/>
            <w:hideMark/>
          </w:tcPr>
          <w:p w14:paraId="462C425F" w14:textId="77777777" w:rsidR="00776A1F" w:rsidRDefault="00D8574B">
            <w:pPr>
              <w:pStyle w:val="P68B1DB1-Normal7"/>
              <w:spacing w:after="0" w:line="240" w:lineRule="auto"/>
              <w:jc w:val="center"/>
              <w:rPr>
                <w:rFonts w:eastAsia="Times New Roman" w:cs="Calibri"/>
                <w:noProof/>
              </w:rPr>
            </w:pPr>
            <w:r>
              <w:rPr>
                <w:noProof/>
              </w:rPr>
              <w:t>1.17</w:t>
            </w:r>
          </w:p>
        </w:tc>
        <w:tc>
          <w:tcPr>
            <w:tcW w:w="1276" w:type="dxa"/>
            <w:shd w:val="clear" w:color="auto" w:fill="C4EFCE"/>
            <w:noWrap/>
            <w:vAlign w:val="center"/>
            <w:hideMark/>
          </w:tcPr>
          <w:p w14:paraId="2AFB0257"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7A95968C"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7BD7BFC" w14:textId="77777777" w:rsidR="00776A1F" w:rsidRDefault="00D8574B">
            <w:pPr>
              <w:pStyle w:val="P68B1DB1-Normal8"/>
              <w:spacing w:after="0" w:line="240" w:lineRule="auto"/>
              <w:jc w:val="center"/>
              <w:rPr>
                <w:rFonts w:eastAsia="Times New Roman" w:cs="Calibri"/>
                <w:noProof/>
              </w:rPr>
            </w:pPr>
            <w:r>
              <w:rPr>
                <w:noProof/>
              </w:rPr>
              <w:t>Palielināt primāro veselības aprūpes centru reaģēšanas spējas un paplašināt to intervences jomas</w:t>
            </w:r>
          </w:p>
        </w:tc>
        <w:tc>
          <w:tcPr>
            <w:tcW w:w="1418" w:type="dxa"/>
            <w:shd w:val="clear" w:color="auto" w:fill="C4EFCE"/>
            <w:noWrap/>
            <w:vAlign w:val="center"/>
            <w:hideMark/>
          </w:tcPr>
          <w:p w14:paraId="1B4A4798" w14:textId="77777777" w:rsidR="00776A1F" w:rsidRDefault="00D8574B">
            <w:pPr>
              <w:pStyle w:val="P68B1DB1-Normal8"/>
              <w:spacing w:after="0" w:line="240" w:lineRule="auto"/>
              <w:jc w:val="center"/>
              <w:rPr>
                <w:rFonts w:eastAsia="Times New Roman" w:cs="Calibri"/>
                <w:noProof/>
              </w:rPr>
            </w:pPr>
            <w:r>
              <w:rPr>
                <w:noProof/>
              </w:rPr>
              <w:t>Ziņojums par primāro veselības centru reaģēšanas spēju palielināšanu un to intervences jomu paplašināšanu</w:t>
            </w:r>
          </w:p>
        </w:tc>
        <w:tc>
          <w:tcPr>
            <w:tcW w:w="1164" w:type="dxa"/>
            <w:shd w:val="clear" w:color="auto" w:fill="C4EFCE"/>
            <w:noWrap/>
            <w:vAlign w:val="center"/>
            <w:hideMark/>
          </w:tcPr>
          <w:p w14:paraId="0BA94BEB" w14:textId="77777777" w:rsidR="00776A1F" w:rsidRDefault="00D8574B">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78D22499" w14:textId="77777777" w:rsidR="00776A1F" w:rsidRDefault="00D8574B">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30D3048F" w14:textId="77777777" w:rsidR="00776A1F" w:rsidRDefault="00D8574B">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2A62A8E8"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25F6A6A6" w14:textId="77777777" w:rsidR="00776A1F" w:rsidRDefault="00D8574B">
            <w:pPr>
              <w:pStyle w:val="P68B1DB1-Normal8"/>
              <w:spacing w:after="0" w:line="240" w:lineRule="auto"/>
              <w:jc w:val="both"/>
              <w:rPr>
                <w:rFonts w:eastAsia="Times New Roman" w:cs="Calibri"/>
                <w:noProof/>
              </w:rPr>
            </w:pPr>
            <w:r>
              <w:rPr>
                <w:noProof/>
              </w:rPr>
              <w:t>2026</w:t>
            </w:r>
          </w:p>
        </w:tc>
        <w:tc>
          <w:tcPr>
            <w:tcW w:w="3981" w:type="dxa"/>
            <w:shd w:val="clear" w:color="auto" w:fill="C4EFCE"/>
            <w:noWrap/>
            <w:vAlign w:val="center"/>
            <w:hideMark/>
          </w:tcPr>
          <w:p w14:paraId="0263E408" w14:textId="14BC938F" w:rsidR="00776A1F" w:rsidRDefault="00D8574B">
            <w:pPr>
              <w:pStyle w:val="P68B1DB1-Normal8"/>
              <w:spacing w:after="0" w:line="240" w:lineRule="auto"/>
              <w:jc w:val="both"/>
              <w:rPr>
                <w:rFonts w:eastAsia="Times New Roman" w:cs="Calibri"/>
                <w:noProof/>
              </w:rPr>
            </w:pPr>
            <w:r>
              <w:rPr>
                <w:noProof/>
              </w:rPr>
              <w:t>Šā starpposma mērķa sasniegšana ietver: diabētiskās konsultācijas kājām attiecināt arī uz veselības centru grupām; zobārstniecības biroju izveide veselības aprūpes centros; izveidot integrētus diagnostikas centrus (ar diagnostikas un terapijas, rentgena un klīniskās analīzes līdzekļiem ar zemu komplicētību) veselības centru grupās; kustības un rehabilitācijas biroju izveide veselības centru grupās; aprīkojuma (avārijas maisa, defibrilatora un vitāli svarīgu pazīmju monitora) nodrošināšana veselības aprūpes centriem kvalificētai reaģēšanai ārkārtas situācijās (pamata dzīvības atbalsts); VI) nosūtīšanas protokoli visvairāk meklētajās aprūpes jomās, proti, oftalmoloģijā, otorhinolaryngoloģijā, ortopēdijā un uroloģijā.</w:t>
            </w:r>
          </w:p>
        </w:tc>
      </w:tr>
      <w:tr w:rsidR="00776A1F" w14:paraId="38332BEC" w14:textId="77777777">
        <w:trPr>
          <w:trHeight w:val="1256"/>
        </w:trPr>
        <w:tc>
          <w:tcPr>
            <w:tcW w:w="1135" w:type="dxa"/>
            <w:shd w:val="clear" w:color="auto" w:fill="C4EFCE"/>
            <w:noWrap/>
            <w:vAlign w:val="center"/>
            <w:hideMark/>
          </w:tcPr>
          <w:p w14:paraId="3C69E3A1" w14:textId="77777777" w:rsidR="00776A1F" w:rsidRDefault="00D8574B">
            <w:pPr>
              <w:pStyle w:val="P68B1DB1-Normal7"/>
              <w:spacing w:after="0" w:line="240" w:lineRule="auto"/>
              <w:jc w:val="center"/>
              <w:rPr>
                <w:rFonts w:eastAsia="Times New Roman" w:cs="Calibri"/>
                <w:noProof/>
              </w:rPr>
            </w:pPr>
            <w:r>
              <w:rPr>
                <w:noProof/>
              </w:rPr>
              <w:t>1.18</w:t>
            </w:r>
          </w:p>
        </w:tc>
        <w:tc>
          <w:tcPr>
            <w:tcW w:w="1276" w:type="dxa"/>
            <w:shd w:val="clear" w:color="auto" w:fill="C4EFCE"/>
            <w:noWrap/>
            <w:vAlign w:val="center"/>
            <w:hideMark/>
          </w:tcPr>
          <w:p w14:paraId="454E6198"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B02D058"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5FFAEC9" w14:textId="77777777" w:rsidR="00776A1F" w:rsidRDefault="00D8574B">
            <w:pPr>
              <w:pStyle w:val="P68B1DB1-Normal8"/>
              <w:spacing w:after="0" w:line="240" w:lineRule="auto"/>
              <w:jc w:val="center"/>
              <w:rPr>
                <w:rFonts w:eastAsia="Times New Roman" w:cs="Calibri"/>
                <w:noProof/>
              </w:rPr>
            </w:pPr>
            <w:r>
              <w:rPr>
                <w:noProof/>
              </w:rPr>
              <w:t>Veselības aprūpes iestāžu un aprīkojuma atjaunošana, lai nodrošinātu piekļuvi, kvalitāti un drošības apstākļus primārajos veselības centros</w:t>
            </w:r>
          </w:p>
        </w:tc>
        <w:tc>
          <w:tcPr>
            <w:tcW w:w="1418" w:type="dxa"/>
            <w:shd w:val="clear" w:color="auto" w:fill="C4EFCE"/>
            <w:noWrap/>
            <w:vAlign w:val="center"/>
            <w:hideMark/>
          </w:tcPr>
          <w:p w14:paraId="1CE147BD" w14:textId="77777777" w:rsidR="00776A1F" w:rsidRDefault="00D8574B">
            <w:pPr>
              <w:pStyle w:val="P68B1DB1-Normal8"/>
              <w:spacing w:after="0" w:line="240" w:lineRule="auto"/>
              <w:jc w:val="center"/>
              <w:rPr>
                <w:rFonts w:eastAsia="Times New Roman" w:cs="Calibri"/>
                <w:noProof/>
              </w:rPr>
            </w:pPr>
            <w:r>
              <w:rPr>
                <w:noProof/>
              </w:rPr>
              <w:t>Ziņojums par veselības aprūpes iestāžu un aprīkojuma atjaunošanu</w:t>
            </w:r>
          </w:p>
        </w:tc>
        <w:tc>
          <w:tcPr>
            <w:tcW w:w="1164" w:type="dxa"/>
            <w:shd w:val="clear" w:color="auto" w:fill="C4EFCE"/>
            <w:noWrap/>
            <w:vAlign w:val="center"/>
            <w:hideMark/>
          </w:tcPr>
          <w:p w14:paraId="0989D4A9" w14:textId="77777777" w:rsidR="00776A1F" w:rsidRDefault="00D8574B">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07B01750" w14:textId="77777777" w:rsidR="00776A1F" w:rsidRDefault="00D8574B">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097B0938" w14:textId="77777777" w:rsidR="00776A1F" w:rsidRDefault="00D8574B">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01D62D0"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1264AB9E"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B188F03" w14:textId="514EFA7B" w:rsidR="00776A1F" w:rsidRDefault="00D8574B">
            <w:pPr>
              <w:pStyle w:val="P68B1DB1-Normal8"/>
              <w:spacing w:after="0" w:line="240" w:lineRule="auto"/>
              <w:jc w:val="both"/>
              <w:rPr>
                <w:rFonts w:eastAsia="Times New Roman" w:cs="Calibri"/>
                <w:noProof/>
              </w:rPr>
            </w:pPr>
            <w:r>
              <w:rPr>
                <w:noProof/>
              </w:rPr>
              <w:t>Šā starpposma mērķa sasniegšana ietver: I) renovēt vai pielāgot 347 veselības aprūpes objektus, lai palielinātu energoefektivitāti, ievērotu ārkārtas rīcības plānus un/vai nodrošinātu piekļūstamību, drošību un komfortu lietotājiem un veselības aprūpes speciālistiem, no kuriem dotācijas atbalsts vismaz 170 838 136 EUR apmērā attiecas uz energoefektivitātes renovāciju, un dotācijas atbalsts vismaz 13 046 589 EUR apmērā ir saistīts ar energoefektivitātes renovāciju, lai vidēji panāktu vismaz vidēja līmeņa renovāciju, kā noteikts Komisijas Ieteikumā (ES) 2019/786 (prasības ēku energosnieguma uzlabošanai iekļauj publiskā iepirkuma procedūrās un nodrošina iepirkuma specifikācijās); un ii) modernizēt aprīkojumu (tostarp pamata klīniskās iekārtas, informācijas un komunikācijas tehnoloģiju iekārtas, energoefektivitātes iekārtas un drošības aprīkojumu).</w:t>
            </w:r>
          </w:p>
        </w:tc>
      </w:tr>
      <w:tr w:rsidR="00776A1F" w14:paraId="454852B5" w14:textId="77777777">
        <w:trPr>
          <w:trHeight w:val="640"/>
        </w:trPr>
        <w:tc>
          <w:tcPr>
            <w:tcW w:w="1135" w:type="dxa"/>
            <w:shd w:val="clear" w:color="auto" w:fill="C4EFCE"/>
            <w:noWrap/>
            <w:vAlign w:val="center"/>
            <w:hideMark/>
          </w:tcPr>
          <w:p w14:paraId="1E28E1AA" w14:textId="77777777" w:rsidR="00776A1F" w:rsidRDefault="00D8574B">
            <w:pPr>
              <w:pStyle w:val="P68B1DB1-Normal7"/>
              <w:spacing w:after="0" w:line="240" w:lineRule="auto"/>
              <w:jc w:val="center"/>
              <w:rPr>
                <w:rFonts w:eastAsia="Times New Roman" w:cs="Calibri"/>
                <w:noProof/>
              </w:rPr>
            </w:pPr>
            <w:r>
              <w:rPr>
                <w:noProof/>
              </w:rPr>
              <w:t>1.19</w:t>
            </w:r>
          </w:p>
        </w:tc>
        <w:tc>
          <w:tcPr>
            <w:tcW w:w="1276" w:type="dxa"/>
            <w:shd w:val="clear" w:color="auto" w:fill="C4EFCE"/>
            <w:noWrap/>
            <w:vAlign w:val="center"/>
            <w:hideMark/>
          </w:tcPr>
          <w:p w14:paraId="216603F0" w14:textId="77777777" w:rsidR="00776A1F" w:rsidRDefault="00D8574B">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1B1C51C"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BE3A27A" w14:textId="77777777" w:rsidR="00776A1F" w:rsidRDefault="00D8574B">
            <w:pPr>
              <w:pStyle w:val="P68B1DB1-Normal8"/>
              <w:spacing w:after="0" w:line="240" w:lineRule="auto"/>
              <w:jc w:val="center"/>
              <w:rPr>
                <w:rFonts w:eastAsia="Times New Roman" w:cs="Calibri"/>
                <w:noProof/>
              </w:rPr>
            </w:pPr>
            <w:r>
              <w:rPr>
                <w:noProof/>
              </w:rPr>
              <w:t>Kopienā balstītas aprūpes, mājas un kopienas pasākumu stiprināšana</w:t>
            </w:r>
          </w:p>
        </w:tc>
        <w:tc>
          <w:tcPr>
            <w:tcW w:w="1418" w:type="dxa"/>
            <w:shd w:val="clear" w:color="auto" w:fill="C4EFCE"/>
            <w:noWrap/>
            <w:vAlign w:val="center"/>
            <w:hideMark/>
          </w:tcPr>
          <w:p w14:paraId="66DD2452" w14:textId="77777777" w:rsidR="00776A1F" w:rsidRDefault="00D8574B">
            <w:pPr>
              <w:pStyle w:val="P68B1DB1-Normal8"/>
              <w:spacing w:after="0" w:line="240" w:lineRule="auto"/>
              <w:jc w:val="center"/>
              <w:rPr>
                <w:rFonts w:eastAsia="Times New Roman" w:cs="Calibri"/>
                <w:noProof/>
              </w:rPr>
            </w:pPr>
            <w:r>
              <w:rPr>
                <w:noProof/>
              </w:rPr>
              <w:t>Ziņojums par kopienā balstītas aprūpes, mājas un kopienas intervences stiprināšanu</w:t>
            </w:r>
          </w:p>
        </w:tc>
        <w:tc>
          <w:tcPr>
            <w:tcW w:w="1164" w:type="dxa"/>
            <w:shd w:val="clear" w:color="auto" w:fill="C4EFCE"/>
            <w:noWrap/>
            <w:vAlign w:val="center"/>
            <w:hideMark/>
          </w:tcPr>
          <w:p w14:paraId="4CC73D52" w14:textId="77777777" w:rsidR="00776A1F" w:rsidRDefault="00D8574B">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12886356" w14:textId="77777777" w:rsidR="00776A1F" w:rsidRDefault="00D8574B">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155786FA" w14:textId="77777777" w:rsidR="00776A1F" w:rsidRDefault="00D8574B">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9E1E927"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4ABA702F"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6E8DF1" w14:textId="77777777" w:rsidR="00776A1F" w:rsidRDefault="00D8574B">
            <w:pPr>
              <w:pStyle w:val="P68B1DB1-Normal8"/>
              <w:spacing w:after="0" w:line="240" w:lineRule="auto"/>
              <w:jc w:val="both"/>
              <w:rPr>
                <w:rFonts w:eastAsia="Times New Roman" w:cs="Calibri"/>
                <w:noProof/>
              </w:rPr>
            </w:pPr>
            <w:r>
              <w:rPr>
                <w:noProof/>
              </w:rPr>
              <w:t>Šā starpposma mērķa sasniegšana ietver: nodrošina vismaz 770 elektriskos transportlīdzekļus, lai atbalstītu veselības centru nodrošināto aprūpi mājās; un ii) jaunu mobilo vienību skaita palielināšana vismaz par 34 vienībām, lai aptvertu reģionus ar zemu blīvumu.</w:t>
            </w:r>
          </w:p>
        </w:tc>
      </w:tr>
      <w:tr w:rsidR="00776A1F" w14:paraId="1E7E7401" w14:textId="77777777">
        <w:trPr>
          <w:trHeight w:val="430"/>
        </w:trPr>
        <w:tc>
          <w:tcPr>
            <w:tcW w:w="1135" w:type="dxa"/>
            <w:shd w:val="clear" w:color="auto" w:fill="C4EFCE"/>
            <w:noWrap/>
            <w:vAlign w:val="center"/>
            <w:hideMark/>
          </w:tcPr>
          <w:p w14:paraId="0299C2D9" w14:textId="77777777" w:rsidR="00776A1F" w:rsidRDefault="00D8574B">
            <w:pPr>
              <w:pStyle w:val="P68B1DB1-Normal7"/>
              <w:spacing w:after="0" w:line="240" w:lineRule="auto"/>
              <w:jc w:val="center"/>
              <w:rPr>
                <w:rFonts w:eastAsia="Times New Roman" w:cs="Calibri"/>
                <w:noProof/>
              </w:rPr>
            </w:pPr>
            <w:r>
              <w:rPr>
                <w:noProof/>
              </w:rPr>
              <w:t>1.20</w:t>
            </w:r>
          </w:p>
        </w:tc>
        <w:tc>
          <w:tcPr>
            <w:tcW w:w="1276" w:type="dxa"/>
            <w:shd w:val="clear" w:color="auto" w:fill="C4EFCE"/>
            <w:noWrap/>
            <w:vAlign w:val="center"/>
            <w:hideMark/>
          </w:tcPr>
          <w:p w14:paraId="5FD4B12F" w14:textId="77777777" w:rsidR="00776A1F" w:rsidRDefault="00D8574B">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7D9E344F"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949C28C" w14:textId="77777777" w:rsidR="00776A1F" w:rsidRDefault="00D8574B">
            <w:pPr>
              <w:pStyle w:val="P68B1DB1-Normal8"/>
              <w:spacing w:after="0" w:line="240" w:lineRule="auto"/>
              <w:jc w:val="center"/>
              <w:rPr>
                <w:rFonts w:eastAsia="Times New Roman" w:cs="Calibri"/>
                <w:noProof/>
              </w:rPr>
            </w:pPr>
            <w:r>
              <w:rPr>
                <w:noProof/>
              </w:rPr>
              <w:t>Stājas spēkā regula par reģionālo veselības aizsardzības iestāžu finansiālā atbalsta piešķiršanu</w:t>
            </w:r>
          </w:p>
        </w:tc>
        <w:tc>
          <w:tcPr>
            <w:tcW w:w="1418" w:type="dxa"/>
            <w:shd w:val="clear" w:color="auto" w:fill="C4EFCE"/>
            <w:noWrap/>
            <w:vAlign w:val="center"/>
            <w:hideMark/>
          </w:tcPr>
          <w:p w14:paraId="5DB93479" w14:textId="77777777" w:rsidR="00776A1F" w:rsidRDefault="00D8574B">
            <w:pPr>
              <w:pStyle w:val="P68B1DB1-Normal8"/>
              <w:spacing w:after="0" w:line="240" w:lineRule="auto"/>
              <w:jc w:val="center"/>
              <w:rPr>
                <w:rFonts w:eastAsia="Times New Roman" w:cs="Calibri"/>
                <w:noProof/>
              </w:rPr>
            </w:pPr>
            <w:r>
              <w:rPr>
                <w:noProof/>
              </w:rPr>
              <w:t>Regulas par finansiālā atbalsta piešķiršanu stāšanās spēkā</w:t>
            </w:r>
          </w:p>
        </w:tc>
        <w:tc>
          <w:tcPr>
            <w:tcW w:w="1164" w:type="dxa"/>
            <w:shd w:val="clear" w:color="auto" w:fill="C4EFCE"/>
            <w:noWrap/>
            <w:vAlign w:val="center"/>
            <w:hideMark/>
          </w:tcPr>
          <w:p w14:paraId="251EE7F7"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DB5B8B0"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F7AF621"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B4120B0" w14:textId="77777777" w:rsidR="00776A1F" w:rsidRDefault="00D8574B">
            <w:pPr>
              <w:pStyle w:val="P68B1DB1-Normal8"/>
              <w:spacing w:after="0" w:line="240" w:lineRule="auto"/>
              <w:jc w:val="center"/>
              <w:rPr>
                <w:rFonts w:eastAsia="Times New Roman" w:cs="Calibri"/>
                <w:noProof/>
              </w:rPr>
            </w:pPr>
            <w:r>
              <w:rPr>
                <w:noProof/>
              </w:rPr>
              <w:t>1. CET.</w:t>
            </w:r>
          </w:p>
        </w:tc>
        <w:tc>
          <w:tcPr>
            <w:tcW w:w="901" w:type="dxa"/>
            <w:shd w:val="clear" w:color="auto" w:fill="C4EFCE"/>
            <w:noWrap/>
            <w:vAlign w:val="center"/>
            <w:hideMark/>
          </w:tcPr>
          <w:p w14:paraId="2C8FCB77"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37D71AB" w14:textId="77777777" w:rsidR="00776A1F" w:rsidRDefault="00D8574B">
            <w:pPr>
              <w:pStyle w:val="P68B1DB1-Normal8"/>
              <w:spacing w:after="0" w:line="240" w:lineRule="auto"/>
              <w:jc w:val="both"/>
              <w:rPr>
                <w:rFonts w:eastAsia="Times New Roman" w:cs="Calibri"/>
                <w:noProof/>
              </w:rPr>
            </w:pPr>
            <w:r>
              <w:rPr>
                <w:noProof/>
              </w:rPr>
              <w:t>Stājas spēkā regula par reģionālo veselības aizsardzības iestāžu finansiālā atbalsta piešķiršanu, kurā nosaka programmas pārvaldības modeli un pieteikumu iesniedzēju attiecīgās prasības.</w:t>
            </w:r>
          </w:p>
        </w:tc>
      </w:tr>
      <w:tr w:rsidR="00776A1F" w14:paraId="7F7C84BA" w14:textId="77777777">
        <w:trPr>
          <w:trHeight w:val="1690"/>
        </w:trPr>
        <w:tc>
          <w:tcPr>
            <w:tcW w:w="1135" w:type="dxa"/>
            <w:shd w:val="clear" w:color="auto" w:fill="C4EFCE"/>
            <w:noWrap/>
            <w:vAlign w:val="center"/>
            <w:hideMark/>
          </w:tcPr>
          <w:p w14:paraId="74351DC1" w14:textId="77777777" w:rsidR="00776A1F" w:rsidRDefault="00D8574B">
            <w:pPr>
              <w:pStyle w:val="P68B1DB1-Normal7"/>
              <w:spacing w:after="0" w:line="240" w:lineRule="auto"/>
              <w:jc w:val="center"/>
              <w:rPr>
                <w:rFonts w:eastAsia="Times New Roman" w:cs="Calibri"/>
                <w:noProof/>
              </w:rPr>
            </w:pPr>
            <w:r>
              <w:rPr>
                <w:noProof/>
              </w:rPr>
              <w:t>1.21</w:t>
            </w:r>
          </w:p>
        </w:tc>
        <w:tc>
          <w:tcPr>
            <w:tcW w:w="1276" w:type="dxa"/>
            <w:shd w:val="clear" w:color="auto" w:fill="C4EFCE"/>
            <w:noWrap/>
            <w:vAlign w:val="center"/>
            <w:hideMark/>
          </w:tcPr>
          <w:p w14:paraId="34C37BAF" w14:textId="77777777" w:rsidR="00776A1F" w:rsidRDefault="00D8574B">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4A6CCB1B"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AB89F2D" w14:textId="77777777" w:rsidR="00776A1F" w:rsidRDefault="00D8574B">
            <w:pPr>
              <w:pStyle w:val="P68B1DB1-Normal8"/>
              <w:spacing w:after="0" w:line="240" w:lineRule="auto"/>
              <w:jc w:val="center"/>
              <w:rPr>
                <w:rFonts w:eastAsia="Times New Roman" w:cs="Calibri"/>
                <w:noProof/>
              </w:rPr>
            </w:pPr>
            <w:r>
              <w:rPr>
                <w:noProof/>
              </w:rPr>
              <w:t>Stiprināt valsts integrēto nepārtrauktas aprūpes un paliatīvās aprūpes pakalpojumu tīklu reaģēšanas spējas stacionāro un ambulatoro aprūpi</w:t>
            </w:r>
          </w:p>
        </w:tc>
        <w:tc>
          <w:tcPr>
            <w:tcW w:w="1418" w:type="dxa"/>
            <w:shd w:val="clear" w:color="auto" w:fill="C4EFCE"/>
            <w:noWrap/>
            <w:vAlign w:val="center"/>
            <w:hideMark/>
          </w:tcPr>
          <w:p w14:paraId="27BF6F6B"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6222F30"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1879440B" w14:textId="77777777" w:rsidR="00776A1F" w:rsidRDefault="00D8574B">
            <w:pPr>
              <w:pStyle w:val="P68B1DB1-Normal8"/>
              <w:spacing w:after="0" w:line="240" w:lineRule="auto"/>
              <w:jc w:val="center"/>
              <w:rPr>
                <w:rFonts w:eastAsia="Times New Roman" w:cs="Calibri"/>
                <w:noProof/>
              </w:rPr>
            </w:pPr>
            <w:r>
              <w:rPr>
                <w:noProof/>
              </w:rPr>
              <w:t> 0</w:t>
            </w:r>
          </w:p>
        </w:tc>
        <w:tc>
          <w:tcPr>
            <w:tcW w:w="805" w:type="dxa"/>
            <w:shd w:val="clear" w:color="auto" w:fill="C4EFCE"/>
            <w:noWrap/>
            <w:vAlign w:val="center"/>
            <w:hideMark/>
          </w:tcPr>
          <w:p w14:paraId="7F341A5B" w14:textId="77777777" w:rsidR="00776A1F" w:rsidRDefault="00D8574B">
            <w:pPr>
              <w:pStyle w:val="P68B1DB1-Normal8"/>
              <w:spacing w:after="0" w:line="240" w:lineRule="auto"/>
              <w:jc w:val="center"/>
              <w:rPr>
                <w:rFonts w:eastAsia="Times New Roman" w:cs="Calibri"/>
                <w:noProof/>
              </w:rPr>
            </w:pPr>
            <w:r>
              <w:rPr>
                <w:noProof/>
              </w:rPr>
              <w:t>7 400</w:t>
            </w:r>
          </w:p>
        </w:tc>
        <w:tc>
          <w:tcPr>
            <w:tcW w:w="833" w:type="dxa"/>
            <w:gridSpan w:val="2"/>
            <w:shd w:val="clear" w:color="auto" w:fill="C4EFCE"/>
            <w:noWrap/>
            <w:vAlign w:val="center"/>
            <w:hideMark/>
          </w:tcPr>
          <w:p w14:paraId="0CE41663"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253B9B39"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7ABEA994" w14:textId="5DEC19EC" w:rsidR="00776A1F" w:rsidRDefault="00D8574B">
            <w:pPr>
              <w:pStyle w:val="P68B1DB1-Normal8"/>
              <w:spacing w:after="0" w:line="240" w:lineRule="auto"/>
              <w:jc w:val="both"/>
              <w:rPr>
                <w:rFonts w:eastAsia="Times New Roman" w:cs="Calibri"/>
                <w:noProof/>
              </w:rPr>
            </w:pPr>
            <w:r>
              <w:rPr>
                <w:noProof/>
              </w:rPr>
              <w:t>Valsts integrēto nepārtrauktas aprūpes un paliatīvās aprūpes pakalpojumu tīklu reaģēšanas spēju stiprināšana stacionārās un ambulatorās aprūpes jomā, izveidojot šādas jaunas vietas: I) jaunas 5500 stacionārās gultasvietas valsts integrēto nepārtrauktas aprūpes pakalpojumu tīklā vispārējā tīklā; jaunas 500 vietas autonomijas veicināšanas dienas vienībās integrētu nepārtrauktas aprūpes pakalpojumu valsts tīklā; jaunas 1000 vietas integrētajos garīgās veselības pastāvīgās aprūpes pakalpojumos; un iv) jaunas 400 zemas sarežģītības stacionārās gultas valsts paliatīvās aprūpes pakalpojumu tīklā. Tas ietver dotāciju atbalsta izmantošanu vismaz 226 730 193 EUR apmērā jaunas veselības infrastruktūras būvniecībai. Šo jauno ēku primārās enerģijas pieprasījums ir vismaz par 20 % zemāks nekā gandrīz nulles enerģijas ēkām.</w:t>
            </w:r>
          </w:p>
        </w:tc>
      </w:tr>
      <w:tr w:rsidR="00776A1F" w14:paraId="5AE6F182" w14:textId="77777777">
        <w:trPr>
          <w:trHeight w:val="1060"/>
        </w:trPr>
        <w:tc>
          <w:tcPr>
            <w:tcW w:w="1135" w:type="dxa"/>
            <w:shd w:val="clear" w:color="auto" w:fill="C4EFCE"/>
            <w:noWrap/>
            <w:vAlign w:val="center"/>
            <w:hideMark/>
          </w:tcPr>
          <w:p w14:paraId="66FCDE69" w14:textId="77777777" w:rsidR="00776A1F" w:rsidRDefault="00D8574B">
            <w:pPr>
              <w:pStyle w:val="P68B1DB1-Normal7"/>
              <w:spacing w:after="0" w:line="240" w:lineRule="auto"/>
              <w:jc w:val="center"/>
              <w:rPr>
                <w:rFonts w:eastAsia="Times New Roman" w:cs="Calibri"/>
                <w:noProof/>
              </w:rPr>
            </w:pPr>
            <w:r>
              <w:rPr>
                <w:noProof/>
              </w:rPr>
              <w:t>1.22</w:t>
            </w:r>
          </w:p>
        </w:tc>
        <w:tc>
          <w:tcPr>
            <w:tcW w:w="1276" w:type="dxa"/>
            <w:shd w:val="clear" w:color="auto" w:fill="C4EFCE"/>
            <w:noWrap/>
            <w:vAlign w:val="center"/>
            <w:hideMark/>
          </w:tcPr>
          <w:p w14:paraId="0DED5251" w14:textId="77777777" w:rsidR="00776A1F" w:rsidRDefault="00D8574B">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647B9DAD"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55CF526" w14:textId="77777777" w:rsidR="00776A1F" w:rsidRDefault="00D8574B">
            <w:pPr>
              <w:pStyle w:val="P68B1DB1-Normal8"/>
              <w:spacing w:after="0" w:line="240" w:lineRule="auto"/>
              <w:jc w:val="center"/>
              <w:rPr>
                <w:rFonts w:eastAsia="Times New Roman" w:cs="Calibri"/>
                <w:noProof/>
              </w:rPr>
            </w:pPr>
            <w:r>
              <w:rPr>
                <w:noProof/>
              </w:rPr>
              <w:t>Valsts integrēto nepārtrauktas aprūpes un paliatīvās aprūpes pakalpojumu tīklu reaģēšanas spēju stiprināšana mājas aprūpē</w:t>
            </w:r>
          </w:p>
        </w:tc>
        <w:tc>
          <w:tcPr>
            <w:tcW w:w="1418" w:type="dxa"/>
            <w:shd w:val="clear" w:color="auto" w:fill="C4EFCE"/>
            <w:noWrap/>
            <w:vAlign w:val="center"/>
            <w:hideMark/>
          </w:tcPr>
          <w:p w14:paraId="0A35A3F3"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6DF5F8B"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02612F2B"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55B25AA" w14:textId="77777777" w:rsidR="00776A1F" w:rsidRDefault="00D8574B">
            <w:pPr>
              <w:pStyle w:val="P68B1DB1-Normal8"/>
              <w:spacing w:after="0" w:line="240" w:lineRule="auto"/>
              <w:jc w:val="center"/>
              <w:rPr>
                <w:rFonts w:eastAsia="Times New Roman" w:cs="Calibri"/>
                <w:noProof/>
              </w:rPr>
            </w:pPr>
            <w:r>
              <w:rPr>
                <w:noProof/>
              </w:rPr>
              <w:t>1 200</w:t>
            </w:r>
          </w:p>
        </w:tc>
        <w:tc>
          <w:tcPr>
            <w:tcW w:w="833" w:type="dxa"/>
            <w:gridSpan w:val="2"/>
            <w:shd w:val="clear" w:color="auto" w:fill="C4EFCE"/>
            <w:noWrap/>
            <w:vAlign w:val="center"/>
            <w:hideMark/>
          </w:tcPr>
          <w:p w14:paraId="74C0C891" w14:textId="45AB5963" w:rsidR="00776A1F" w:rsidRDefault="00D8574B">
            <w:pPr>
              <w:pStyle w:val="P68B1DB1-Normal10"/>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22DB6368" w14:textId="5990FEF5" w:rsidR="00776A1F" w:rsidRDefault="00D8574B">
            <w:pPr>
              <w:pStyle w:val="P68B1DB1-Normal10"/>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558142A7" w14:textId="77777777" w:rsidR="00776A1F" w:rsidRDefault="00D8574B">
            <w:pPr>
              <w:pStyle w:val="P68B1DB1-Normal8"/>
              <w:spacing w:after="0" w:line="240" w:lineRule="auto"/>
              <w:jc w:val="both"/>
              <w:rPr>
                <w:rFonts w:eastAsia="Times New Roman" w:cs="Calibri"/>
                <w:noProof/>
              </w:rPr>
            </w:pPr>
            <w:r>
              <w:rPr>
                <w:noProof/>
              </w:rPr>
              <w:t>Valsts integrēto nepārtrauktas aprūpes un paliatīvās aprūpes pakalpojumu tīklu reaģēšanas spēju stiprināšana mājas aprūpē, izveidojot šādas jaunas vietas: 1000 jaunu vietu integrētas nepārtrauktas mājas aprūpes komandās; 100 jaunas vietas garīgās veselības mājas atbalsta vienībās integrētu nepārtrauktas aprūpes pakalpojumu valsts tīklā; un iii) 100 jaunas vietas kopienas paliatīvās aprūpes atbalsta grupās.</w:t>
            </w:r>
          </w:p>
        </w:tc>
      </w:tr>
      <w:tr w:rsidR="00776A1F" w14:paraId="59032C88" w14:textId="77777777">
        <w:trPr>
          <w:trHeight w:val="1060"/>
        </w:trPr>
        <w:tc>
          <w:tcPr>
            <w:tcW w:w="1135" w:type="dxa"/>
            <w:shd w:val="clear" w:color="auto" w:fill="C4EFCE"/>
            <w:noWrap/>
            <w:vAlign w:val="center"/>
            <w:hideMark/>
          </w:tcPr>
          <w:p w14:paraId="68CBF731" w14:textId="77777777" w:rsidR="00776A1F" w:rsidRDefault="00D8574B">
            <w:pPr>
              <w:pStyle w:val="P68B1DB1-Normal7"/>
              <w:spacing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3D71360" w14:textId="77777777" w:rsidR="00776A1F" w:rsidRDefault="00D8574B">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1D0F3E64"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CD9472F" w14:textId="77777777" w:rsidR="00776A1F" w:rsidRDefault="00D8574B">
            <w:pPr>
              <w:pStyle w:val="P68B1DB1-Normal8"/>
              <w:spacing w:after="0" w:line="240" w:lineRule="auto"/>
              <w:jc w:val="center"/>
              <w:rPr>
                <w:rFonts w:eastAsia="Times New Roman" w:cs="Calibri"/>
                <w:noProof/>
              </w:rPr>
            </w:pPr>
            <w:r>
              <w:rPr>
                <w:noProof/>
              </w:rPr>
              <w:t>Tiesu ekspertīzes psihiatrijas vienību un aprīkojuma atjaunošana</w:t>
            </w:r>
          </w:p>
        </w:tc>
        <w:tc>
          <w:tcPr>
            <w:tcW w:w="1418" w:type="dxa"/>
            <w:shd w:val="clear" w:color="auto" w:fill="C4EFCE"/>
            <w:noWrap/>
            <w:vAlign w:val="center"/>
            <w:hideMark/>
          </w:tcPr>
          <w:p w14:paraId="668CD381"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39AD866"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266CA769"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15F1F44" w14:textId="77777777" w:rsidR="00776A1F" w:rsidRDefault="00D8574B">
            <w:pPr>
              <w:pStyle w:val="P68B1DB1-Normal8"/>
              <w:spacing w:after="0" w:line="240" w:lineRule="auto"/>
              <w:jc w:val="center"/>
              <w:rPr>
                <w:rFonts w:eastAsia="Times New Roman" w:cs="Calibri"/>
                <w:noProof/>
              </w:rPr>
            </w:pPr>
            <w:r>
              <w:rPr>
                <w:noProof/>
              </w:rPr>
              <w:t>3</w:t>
            </w:r>
          </w:p>
        </w:tc>
        <w:tc>
          <w:tcPr>
            <w:tcW w:w="833" w:type="dxa"/>
            <w:gridSpan w:val="2"/>
            <w:shd w:val="clear" w:color="auto" w:fill="C4EFCE"/>
            <w:noWrap/>
            <w:vAlign w:val="center"/>
            <w:hideMark/>
          </w:tcPr>
          <w:p w14:paraId="293F4F6B"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7CD67BEE"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4B5D6547" w14:textId="77777777" w:rsidR="00776A1F" w:rsidRDefault="00D8574B">
            <w:pPr>
              <w:pStyle w:val="P68B1DB1-Normal8"/>
              <w:spacing w:after="0" w:line="240" w:lineRule="auto"/>
              <w:jc w:val="both"/>
              <w:rPr>
                <w:rFonts w:eastAsia="Times New Roman" w:cs="Calibri"/>
                <w:noProof/>
              </w:rPr>
            </w:pPr>
            <w:r>
              <w:rPr>
                <w:noProof/>
              </w:rPr>
              <w:t xml:space="preserve">Jaunas kriminālistikas psihiatrijas nodaļas (Sobral Cid) būvniecība un divu citu vienību (Lisabonas Psihiatriskās slimnīcas centrs un Magalhães Lemos slimnīca) atjaunošana, lai nodrošinātu apstākļus, kas ir saderīgi ar cilvēktiesību ievērošanu, jo īpaši privātumu, komfortu un telpu humānu izmantošanu, neatstājot novārtā drošības nosacījumus, kas saistīti ar tiesas rīkojumu izpildi, neļaujot starptautiskām organizācijām pieņemt turpmākus spriedumus (Eiropas Komiteja spīdzināšanas novēršanai). </w:t>
            </w:r>
          </w:p>
        </w:tc>
      </w:tr>
      <w:tr w:rsidR="00776A1F" w14:paraId="79BD555A" w14:textId="77777777">
        <w:trPr>
          <w:trHeight w:val="640"/>
        </w:trPr>
        <w:tc>
          <w:tcPr>
            <w:tcW w:w="1135" w:type="dxa"/>
            <w:shd w:val="clear" w:color="auto" w:fill="C4EFCE"/>
            <w:noWrap/>
            <w:vAlign w:val="center"/>
            <w:hideMark/>
          </w:tcPr>
          <w:p w14:paraId="69D05224" w14:textId="77777777" w:rsidR="00776A1F" w:rsidRDefault="00D8574B">
            <w:pPr>
              <w:pStyle w:val="P68B1DB1-Normal7"/>
              <w:spacing w:after="0" w:line="240" w:lineRule="auto"/>
              <w:jc w:val="center"/>
              <w:rPr>
                <w:rFonts w:eastAsia="Times New Roman" w:cs="Calibri"/>
                <w:noProof/>
              </w:rPr>
            </w:pPr>
            <w:r>
              <w:rPr>
                <w:noProof/>
              </w:rPr>
              <w:t>1.24</w:t>
            </w:r>
          </w:p>
        </w:tc>
        <w:tc>
          <w:tcPr>
            <w:tcW w:w="1276" w:type="dxa"/>
            <w:shd w:val="clear" w:color="auto" w:fill="C4EFCE"/>
            <w:noWrap/>
            <w:vAlign w:val="center"/>
            <w:hideMark/>
          </w:tcPr>
          <w:p w14:paraId="77EC2F21" w14:textId="77777777" w:rsidR="00776A1F" w:rsidRDefault="00D8574B">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3AD8EF16"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2F5900A0" w14:textId="77777777" w:rsidR="00776A1F" w:rsidRDefault="00D8574B">
            <w:pPr>
              <w:pStyle w:val="P68B1DB1-Normal8"/>
              <w:spacing w:after="0" w:line="240" w:lineRule="auto"/>
              <w:jc w:val="center"/>
              <w:rPr>
                <w:rFonts w:eastAsia="Times New Roman" w:cs="Calibri"/>
                <w:noProof/>
              </w:rPr>
            </w:pPr>
            <w:r>
              <w:rPr>
                <w:noProof/>
              </w:rPr>
              <w:t>Izpratnes veicināšanas un apmācības pasākumu izstrāde “pacientu ceļu veidošanai” demences kontekstā</w:t>
            </w:r>
          </w:p>
        </w:tc>
        <w:tc>
          <w:tcPr>
            <w:tcW w:w="1418" w:type="dxa"/>
            <w:shd w:val="clear" w:color="auto" w:fill="C4EFCE"/>
            <w:noWrap/>
            <w:vAlign w:val="center"/>
            <w:hideMark/>
          </w:tcPr>
          <w:p w14:paraId="0479C79B" w14:textId="77777777" w:rsidR="00776A1F" w:rsidRDefault="00D8574B">
            <w:pPr>
              <w:pStyle w:val="P68B1DB1-Normal8"/>
              <w:spacing w:after="0" w:line="240" w:lineRule="auto"/>
              <w:jc w:val="center"/>
              <w:rPr>
                <w:rFonts w:eastAsia="Times New Roman" w:cs="Calibri"/>
                <w:noProof/>
              </w:rPr>
            </w:pPr>
            <w:r>
              <w:rPr>
                <w:noProof/>
              </w:rPr>
              <w:t>Ziņojums par jaunu izpratnes veicināšanas un apmācības pasākumu ieviešanu un to attīstību</w:t>
            </w:r>
          </w:p>
        </w:tc>
        <w:tc>
          <w:tcPr>
            <w:tcW w:w="1164" w:type="dxa"/>
            <w:shd w:val="clear" w:color="auto" w:fill="C4EFCE"/>
            <w:noWrap/>
            <w:vAlign w:val="center"/>
            <w:hideMark/>
          </w:tcPr>
          <w:p w14:paraId="4EEB31BE"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FE014D9"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428CA5F8"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8C7EC78"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18C7751D"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6E491E2" w14:textId="77777777" w:rsidR="00776A1F" w:rsidRDefault="00D8574B">
            <w:pPr>
              <w:pStyle w:val="P68B1DB1-Normal8"/>
              <w:spacing w:after="0" w:line="240" w:lineRule="auto"/>
              <w:jc w:val="both"/>
              <w:rPr>
                <w:rFonts w:eastAsia="Times New Roman" w:cs="Calibri"/>
                <w:noProof/>
              </w:rPr>
            </w:pPr>
            <w:r>
              <w:rPr>
                <w:noProof/>
              </w:rPr>
              <w:t>Izpratnes veicināšanas un apmācības pasākumi demences jomā, lai atbalstītu sociālo un veselības aprūpes pakalpojumu reformas, kas paredzētas sociālo un veselības aprūpes pakalpojumu personālam vai citām struktūrām, kuras sociālās un veselības aprūpes politikas jomā strādā ar plašu sabiedrību, kā arī sociālo un veselības aprūpes pakalpojumu lietotājiem.</w:t>
            </w:r>
          </w:p>
        </w:tc>
      </w:tr>
      <w:tr w:rsidR="00776A1F" w14:paraId="31A97B40" w14:textId="77777777">
        <w:trPr>
          <w:trHeight w:val="684"/>
        </w:trPr>
        <w:tc>
          <w:tcPr>
            <w:tcW w:w="1135" w:type="dxa"/>
            <w:shd w:val="clear" w:color="auto" w:fill="C4EFCE"/>
            <w:noWrap/>
            <w:vAlign w:val="center"/>
            <w:hideMark/>
          </w:tcPr>
          <w:p w14:paraId="6F805E1F" w14:textId="77777777" w:rsidR="00776A1F" w:rsidRDefault="00D8574B">
            <w:pPr>
              <w:pStyle w:val="P68B1DB1-Normal7"/>
              <w:spacing w:after="0" w:line="240" w:lineRule="auto"/>
              <w:jc w:val="center"/>
              <w:rPr>
                <w:rFonts w:eastAsia="Times New Roman" w:cs="Calibri"/>
                <w:noProof/>
              </w:rPr>
            </w:pPr>
            <w:r>
              <w:rPr>
                <w:noProof/>
              </w:rPr>
              <w:t>1.25</w:t>
            </w:r>
          </w:p>
        </w:tc>
        <w:tc>
          <w:tcPr>
            <w:tcW w:w="1276" w:type="dxa"/>
            <w:shd w:val="clear" w:color="auto" w:fill="C4EFCE"/>
            <w:noWrap/>
            <w:vAlign w:val="center"/>
            <w:hideMark/>
          </w:tcPr>
          <w:p w14:paraId="2AA7B1FD" w14:textId="77777777" w:rsidR="00776A1F" w:rsidRDefault="00D8574B">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7E6411F2"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11655A" w14:textId="77777777" w:rsidR="00776A1F" w:rsidRDefault="00D8574B">
            <w:pPr>
              <w:pStyle w:val="P68B1DB1-Normal8"/>
              <w:spacing w:after="0" w:line="240" w:lineRule="auto"/>
              <w:jc w:val="center"/>
              <w:rPr>
                <w:rFonts w:eastAsia="Times New Roman" w:cs="Calibri"/>
                <w:noProof/>
              </w:rPr>
            </w:pPr>
            <w:r>
              <w:rPr>
                <w:noProof/>
              </w:rPr>
              <w:t>Garīgās veselības aprūpes tīkla stiprināšanas pabeigšana</w:t>
            </w:r>
          </w:p>
        </w:tc>
        <w:tc>
          <w:tcPr>
            <w:tcW w:w="1418" w:type="dxa"/>
            <w:shd w:val="clear" w:color="auto" w:fill="C4EFCE"/>
            <w:noWrap/>
            <w:vAlign w:val="center"/>
            <w:hideMark/>
          </w:tcPr>
          <w:p w14:paraId="166A1207" w14:textId="77777777" w:rsidR="00776A1F" w:rsidRDefault="00D8574B">
            <w:pPr>
              <w:pStyle w:val="P68B1DB1-Normal8"/>
              <w:spacing w:after="0" w:line="240" w:lineRule="auto"/>
              <w:jc w:val="center"/>
              <w:rPr>
                <w:rFonts w:eastAsia="Times New Roman" w:cs="Calibri"/>
                <w:noProof/>
              </w:rPr>
            </w:pPr>
            <w:r>
              <w:rPr>
                <w:noProof/>
              </w:rPr>
              <w:t>Ziņojums par visu aprakstīto iniciatīvu pabeigšanu, lai stiprinātu garīgās veselības aprūpes tīklu</w:t>
            </w:r>
          </w:p>
        </w:tc>
        <w:tc>
          <w:tcPr>
            <w:tcW w:w="1164" w:type="dxa"/>
            <w:shd w:val="clear" w:color="auto" w:fill="C4EFCE"/>
            <w:noWrap/>
            <w:vAlign w:val="center"/>
            <w:hideMark/>
          </w:tcPr>
          <w:p w14:paraId="7E425255"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515D8522"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BC945BE"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43853C13"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695E8BA0"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6B1F7A73" w14:textId="77777777" w:rsidR="00776A1F" w:rsidRDefault="00D8574B">
            <w:pPr>
              <w:pStyle w:val="P68B1DB1-Normal8"/>
              <w:spacing w:after="0" w:line="240" w:lineRule="auto"/>
              <w:jc w:val="both"/>
              <w:rPr>
                <w:rFonts w:eastAsia="Times New Roman" w:cs="Calibri"/>
                <w:noProof/>
              </w:rPr>
            </w:pPr>
            <w:r>
              <w:rPr>
                <w:noProof/>
              </w:rPr>
              <w:t>Visu to intervences pasākumu pabeigšana, kas noteikti, lai stiprinātu garīgās veselības aprūpes tīklu, tostarp: četru jaunu nodaļu izveide hospitalizācijai vispārējās slimnīcās; 15 integrētu atbildības centru izveide garīgās veselības pakalpojumu jomā; III) atjaunot 20 no esošajiem vietējiem garīgās veselības pakalpojumiem; izveidot 500 atbildes uz institucionalizētu cilvēku ar hroniskām psihiskām slimībām vajadzībām; trīs kriminālistikas psihiatrijas iekārtu un iekārtu modernizācija; trīs kriminālistikas dzīvojamo ēku pārejas vienību celtniecība; un vii) mācību pasākumu izstrāde “pacientu ceļu veidošanai” demences kontekstā. Tas ietver dotācijas atbalsta izmantošanu 58 507 675 EUR apmērā energoefektivitātes renovācijai, lai panāktu vidēji vismaz vidēja līmeņa renovāciju, kā noteikts Komisijas Ieteikumā (ES) 2019/786 par ēku renovāciju. Prasības ēku energoefektivitātes uzlabošanai iekļauj publiskā iepirkuma procedūrās un nodrošina iepirkuma specifikācijās.</w:t>
            </w:r>
          </w:p>
        </w:tc>
      </w:tr>
      <w:tr w:rsidR="00776A1F" w14:paraId="7D601BE3" w14:textId="77777777">
        <w:trPr>
          <w:trHeight w:val="850"/>
        </w:trPr>
        <w:tc>
          <w:tcPr>
            <w:tcW w:w="1135" w:type="dxa"/>
            <w:shd w:val="clear" w:color="auto" w:fill="C4EFCE"/>
            <w:noWrap/>
            <w:vAlign w:val="center"/>
          </w:tcPr>
          <w:p w14:paraId="38167FC7" w14:textId="782B9BD8" w:rsidR="00776A1F" w:rsidRDefault="00D8574B">
            <w:pPr>
              <w:pStyle w:val="P68B1DB1-Normal7"/>
              <w:spacing w:after="0" w:line="240" w:lineRule="auto"/>
              <w:jc w:val="center"/>
              <w:rPr>
                <w:rFonts w:eastAsia="Times New Roman" w:cs="Calibri"/>
                <w:noProof/>
              </w:rPr>
            </w:pPr>
            <w:r>
              <w:rPr>
                <w:noProof/>
              </w:rPr>
              <w:t>1.40</w:t>
            </w:r>
          </w:p>
        </w:tc>
        <w:tc>
          <w:tcPr>
            <w:tcW w:w="1276" w:type="dxa"/>
            <w:shd w:val="clear" w:color="auto" w:fill="C4EFCE"/>
            <w:noWrap/>
            <w:vAlign w:val="center"/>
          </w:tcPr>
          <w:p w14:paraId="5230C444" w14:textId="3C06B8C3" w:rsidR="00776A1F" w:rsidRDefault="00D8574B">
            <w:pPr>
              <w:pStyle w:val="P68B1DB1-Normal8"/>
              <w:spacing w:after="0" w:line="240" w:lineRule="auto"/>
              <w:jc w:val="center"/>
              <w:rPr>
                <w:rFonts w:eastAsia="Times New Roman" w:cs="Calibri"/>
                <w:noProof/>
              </w:rPr>
            </w:pPr>
            <w:r>
              <w:rPr>
                <w:noProof/>
              </w:rPr>
              <w:t>Re-C01-i04</w:t>
            </w:r>
          </w:p>
        </w:tc>
        <w:tc>
          <w:tcPr>
            <w:tcW w:w="992" w:type="dxa"/>
            <w:shd w:val="clear" w:color="auto" w:fill="C4EFCE"/>
            <w:noWrap/>
            <w:vAlign w:val="center"/>
          </w:tcPr>
          <w:p w14:paraId="33E64FC7" w14:textId="68EADE1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tcPr>
          <w:p w14:paraId="258F4E6D" w14:textId="3B7B2525" w:rsidR="00776A1F" w:rsidRDefault="00D8574B">
            <w:pPr>
              <w:pStyle w:val="P68B1DB1-Normal8"/>
              <w:spacing w:after="0" w:line="240" w:lineRule="auto"/>
              <w:jc w:val="center"/>
              <w:rPr>
                <w:rFonts w:eastAsia="Times New Roman" w:cs="Calibri"/>
                <w:noProof/>
              </w:rPr>
            </w:pPr>
            <w:r>
              <w:rPr>
                <w:noProof/>
              </w:rPr>
              <w:t xml:space="preserve">Austrumu Lisabonas slimnīcas būvniecības vadības līguma parakstīšana </w:t>
            </w:r>
          </w:p>
        </w:tc>
        <w:tc>
          <w:tcPr>
            <w:tcW w:w="1418" w:type="dxa"/>
            <w:shd w:val="clear" w:color="auto" w:fill="C4EFCE"/>
            <w:noWrap/>
            <w:vAlign w:val="center"/>
          </w:tcPr>
          <w:p w14:paraId="05C069DE" w14:textId="7E4CD3CE" w:rsidR="00776A1F" w:rsidRDefault="00D8574B">
            <w:pPr>
              <w:pStyle w:val="P68B1DB1-Normal8"/>
              <w:spacing w:after="0" w:line="240" w:lineRule="auto"/>
              <w:jc w:val="center"/>
              <w:rPr>
                <w:rFonts w:eastAsia="Times New Roman" w:cs="Calibri"/>
                <w:noProof/>
              </w:rPr>
            </w:pPr>
            <w:r>
              <w:rPr>
                <w:noProof/>
              </w:rPr>
              <w:t>Austrumu Lisabonas slimnīcas būvniecības vadības līguma parakstīšana, ko parakstījušas valsts iestādes un ĪNDS</w:t>
            </w:r>
          </w:p>
        </w:tc>
        <w:tc>
          <w:tcPr>
            <w:tcW w:w="1164" w:type="dxa"/>
            <w:shd w:val="clear" w:color="auto" w:fill="C4EFCE"/>
            <w:noWrap/>
            <w:vAlign w:val="center"/>
          </w:tcPr>
          <w:p w14:paraId="41AA1AF4" w14:textId="77777777" w:rsidR="00776A1F" w:rsidRDefault="00776A1F">
            <w:pPr>
              <w:spacing w:after="0" w:line="240" w:lineRule="auto"/>
              <w:jc w:val="center"/>
              <w:rPr>
                <w:rFonts w:ascii="Calibri" w:eastAsia="Times New Roman" w:hAnsi="Calibri" w:cs="Calibri"/>
                <w:noProof/>
                <w:sz w:val="16"/>
              </w:rPr>
            </w:pPr>
          </w:p>
        </w:tc>
        <w:tc>
          <w:tcPr>
            <w:tcW w:w="962" w:type="dxa"/>
            <w:shd w:val="clear" w:color="auto" w:fill="C4EFCE"/>
            <w:noWrap/>
            <w:vAlign w:val="center"/>
          </w:tcPr>
          <w:p w14:paraId="35D8CA0C" w14:textId="77777777" w:rsidR="00776A1F" w:rsidRDefault="00776A1F">
            <w:pPr>
              <w:spacing w:after="0" w:line="240" w:lineRule="auto"/>
              <w:jc w:val="center"/>
              <w:rPr>
                <w:rFonts w:ascii="Calibri" w:eastAsia="Times New Roman" w:hAnsi="Calibri" w:cs="Calibri"/>
                <w:noProof/>
                <w:sz w:val="16"/>
              </w:rPr>
            </w:pPr>
          </w:p>
        </w:tc>
        <w:tc>
          <w:tcPr>
            <w:tcW w:w="805" w:type="dxa"/>
            <w:shd w:val="clear" w:color="auto" w:fill="C4EFCE"/>
            <w:noWrap/>
            <w:vAlign w:val="center"/>
          </w:tcPr>
          <w:p w14:paraId="58CC0C2B" w14:textId="77777777" w:rsidR="00776A1F" w:rsidRDefault="00776A1F">
            <w:pPr>
              <w:spacing w:after="0" w:line="240" w:lineRule="auto"/>
              <w:jc w:val="center"/>
              <w:rPr>
                <w:rFonts w:ascii="Calibri" w:eastAsia="Times New Roman" w:hAnsi="Calibri" w:cs="Calibri"/>
                <w:noProof/>
                <w:sz w:val="16"/>
              </w:rPr>
            </w:pPr>
          </w:p>
        </w:tc>
        <w:tc>
          <w:tcPr>
            <w:tcW w:w="833" w:type="dxa"/>
            <w:gridSpan w:val="2"/>
            <w:shd w:val="clear" w:color="auto" w:fill="C4EFCE"/>
            <w:noWrap/>
            <w:vAlign w:val="center"/>
          </w:tcPr>
          <w:p w14:paraId="26FBB759" w14:textId="55711EEF" w:rsidR="00776A1F" w:rsidRDefault="00D8574B">
            <w:pPr>
              <w:pStyle w:val="P68B1DB1-Normal8"/>
              <w:spacing w:after="0" w:line="240" w:lineRule="auto"/>
              <w:jc w:val="center"/>
              <w:rPr>
                <w:rFonts w:eastAsia="Times New Roman" w:cs="Calibri"/>
                <w:noProof/>
              </w:rPr>
            </w:pPr>
            <w:r>
              <w:rPr>
                <w:noProof/>
              </w:rPr>
              <w:t>3. CET.</w:t>
            </w:r>
          </w:p>
        </w:tc>
        <w:tc>
          <w:tcPr>
            <w:tcW w:w="901" w:type="dxa"/>
            <w:shd w:val="clear" w:color="auto" w:fill="C4EFCE"/>
            <w:noWrap/>
            <w:vAlign w:val="center"/>
          </w:tcPr>
          <w:p w14:paraId="21B59020" w14:textId="6FBC92C2" w:rsidR="00776A1F" w:rsidRDefault="00D8574B">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tcPr>
          <w:p w14:paraId="18393971" w14:textId="67D0DE31" w:rsidR="00776A1F" w:rsidRDefault="00D8574B">
            <w:pPr>
              <w:pStyle w:val="P68B1DB1-Normal8"/>
              <w:spacing w:after="0" w:line="240" w:lineRule="auto"/>
              <w:jc w:val="both"/>
              <w:rPr>
                <w:rFonts w:eastAsia="Times New Roman" w:cs="Calibri"/>
                <w:noProof/>
              </w:rPr>
            </w:pPr>
            <w:r>
              <w:rPr>
                <w:noProof/>
              </w:rPr>
              <w:t xml:space="preserve">Pārvaldības līguma parakstīšana, ko veic ACSS un īpašam nolūkam dibināta sabiedrība (SPV) par Austrumslimnīcas būvniecību. Līgumā atspoguļo nosacījumus, kas attiecas uz pakalpojumu darbības jomu (projektēšana, būvniecība, finanses, infrastruktūras uzturēšana, ēkas vispārējā aprīkojuma piegāde un uzturēšana) un darbības ilgumu. </w:t>
            </w:r>
          </w:p>
          <w:p w14:paraId="4D66D758" w14:textId="665D6456" w:rsidR="00776A1F" w:rsidRDefault="00D8574B">
            <w:pPr>
              <w:pStyle w:val="P68B1DB1-Normal8"/>
              <w:spacing w:after="0" w:line="240" w:lineRule="auto"/>
              <w:jc w:val="both"/>
              <w:rPr>
                <w:rFonts w:eastAsia="Times New Roman" w:cs="Calibri"/>
                <w:noProof/>
              </w:rPr>
            </w:pPr>
            <w:r>
              <w:rPr>
                <w:noProof/>
              </w:rPr>
              <w:t>Līgumā iekļauj arī klauzulu, kurā noteikts, ka jauno ēku primārās enerģijas pieprasījums ir vismaz par 20 % zemāks nekā prasībām, kas noteiktas gandrīz nulles enerģijas ēkām.</w:t>
            </w:r>
          </w:p>
        </w:tc>
      </w:tr>
      <w:tr w:rsidR="00776A1F" w14:paraId="0DBBA2AD" w14:textId="77777777">
        <w:trPr>
          <w:trHeight w:val="850"/>
        </w:trPr>
        <w:tc>
          <w:tcPr>
            <w:tcW w:w="1135" w:type="dxa"/>
            <w:shd w:val="clear" w:color="auto" w:fill="C4EFCE"/>
            <w:noWrap/>
            <w:vAlign w:val="center"/>
            <w:hideMark/>
          </w:tcPr>
          <w:p w14:paraId="4DEA0843" w14:textId="77777777" w:rsidR="00776A1F" w:rsidRDefault="00D8574B">
            <w:pPr>
              <w:pStyle w:val="P68B1DB1-Normal7"/>
              <w:spacing w:after="0" w:line="240" w:lineRule="auto"/>
              <w:jc w:val="center"/>
              <w:rPr>
                <w:rFonts w:eastAsia="Times New Roman" w:cs="Calibri"/>
                <w:noProof/>
              </w:rPr>
            </w:pPr>
            <w:r>
              <w:rPr>
                <w:noProof/>
              </w:rPr>
              <w:t>1.26</w:t>
            </w:r>
          </w:p>
        </w:tc>
        <w:tc>
          <w:tcPr>
            <w:tcW w:w="1276" w:type="dxa"/>
            <w:shd w:val="clear" w:color="auto" w:fill="C4EFCE"/>
            <w:noWrap/>
            <w:vAlign w:val="center"/>
            <w:hideMark/>
          </w:tcPr>
          <w:p w14:paraId="264BCD28" w14:textId="77777777" w:rsidR="00776A1F" w:rsidRDefault="00D8574B">
            <w:pPr>
              <w:pStyle w:val="P68B1DB1-Normal8"/>
              <w:spacing w:after="0" w:line="240" w:lineRule="auto"/>
              <w:jc w:val="center"/>
              <w:rPr>
                <w:rFonts w:eastAsia="Times New Roman" w:cs="Calibri"/>
                <w:noProof/>
              </w:rPr>
            </w:pPr>
            <w:r>
              <w:rPr>
                <w:noProof/>
              </w:rPr>
              <w:t>Re-C01-i04</w:t>
            </w:r>
          </w:p>
        </w:tc>
        <w:tc>
          <w:tcPr>
            <w:tcW w:w="992" w:type="dxa"/>
            <w:shd w:val="clear" w:color="auto" w:fill="C4EFCE"/>
            <w:noWrap/>
            <w:vAlign w:val="center"/>
            <w:hideMark/>
          </w:tcPr>
          <w:p w14:paraId="450A30B4"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2FB3392" w14:textId="3F4D6888" w:rsidR="00776A1F" w:rsidRDefault="00D8574B">
            <w:pPr>
              <w:pStyle w:val="P68B1DB1-Normal8"/>
              <w:spacing w:after="0" w:line="240" w:lineRule="auto"/>
              <w:jc w:val="center"/>
              <w:rPr>
                <w:rFonts w:eastAsia="Times New Roman" w:cs="Calibri"/>
                <w:noProof/>
              </w:rPr>
            </w:pPr>
            <w:r>
              <w:rPr>
                <w:noProof/>
              </w:rPr>
              <w:t>Austrumslimnīcas būvniecība un aprīkojuma iegāde slimnīcām Lisabonā un Vale do Tejo</w:t>
            </w:r>
          </w:p>
        </w:tc>
        <w:tc>
          <w:tcPr>
            <w:tcW w:w="1418" w:type="dxa"/>
            <w:shd w:val="clear" w:color="auto" w:fill="C4EFCE"/>
            <w:noWrap/>
            <w:vAlign w:val="center"/>
            <w:hideMark/>
          </w:tcPr>
          <w:p w14:paraId="69F63B22" w14:textId="17B00712" w:rsidR="00776A1F" w:rsidRDefault="00D8574B">
            <w:pPr>
              <w:pStyle w:val="P68B1DB1-Normal8"/>
              <w:spacing w:after="0" w:line="240" w:lineRule="auto"/>
              <w:jc w:val="center"/>
              <w:rPr>
                <w:rFonts w:eastAsia="Times New Roman" w:cs="Calibri"/>
                <w:noProof/>
              </w:rPr>
            </w:pPr>
            <w:r>
              <w:rPr>
                <w:noProof/>
              </w:rPr>
              <w:t>Austrumslimnīcas būvniecība un aprīkojuma iegāde slimnīcām Lisabonā un Vale do Tejo</w:t>
            </w:r>
          </w:p>
        </w:tc>
        <w:tc>
          <w:tcPr>
            <w:tcW w:w="1164" w:type="dxa"/>
            <w:shd w:val="clear" w:color="auto" w:fill="C4EFCE"/>
            <w:noWrap/>
            <w:vAlign w:val="center"/>
            <w:hideMark/>
          </w:tcPr>
          <w:p w14:paraId="2647720D" w14:textId="77777777" w:rsidR="00776A1F" w:rsidRDefault="00D8574B">
            <w:pPr>
              <w:pStyle w:val="P68B1DB1-Normal10"/>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DEF2960" w14:textId="77777777" w:rsidR="00776A1F" w:rsidRDefault="00D8574B">
            <w:pPr>
              <w:pStyle w:val="P68B1DB1-Normal10"/>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B131ABE" w14:textId="77777777" w:rsidR="00776A1F" w:rsidRDefault="00D8574B">
            <w:pPr>
              <w:pStyle w:val="P68B1DB1-Normal10"/>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6F5E72E"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42B2A8CD"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5B029930" w14:textId="792EA1C2" w:rsidR="00776A1F" w:rsidRDefault="00D8574B">
            <w:pPr>
              <w:spacing w:after="0" w:line="240" w:lineRule="auto"/>
              <w:jc w:val="both"/>
              <w:rPr>
                <w:noProof/>
              </w:rPr>
            </w:pPr>
            <w:r>
              <w:rPr>
                <w:rFonts w:ascii="Calibri" w:hAnsi="Calibri"/>
                <w:noProof/>
                <w:sz w:val="16"/>
              </w:rPr>
              <w:t>Iegādāties aprīkojumu, ko paredzēts uzstādīt slimnīcās Lisabonā un Vale do Tejo (Vale do Tejo), piešķirot dotāciju atbalstu EUR 78740000 apmērā, proti, klīniskās/medicīniskās un augsto tehnoloģiju iekārtas; vispārīgas iekārtas, tostarp mēbeles, kas pielāgotas uzdevumiem, kuri veicami dažādās telpās, un kas ir viegli tīrāmas un ergonomiski konstruētas; un datoraprīkojums.</w:t>
            </w:r>
            <w:r>
              <w:rPr>
                <w:rFonts w:ascii="Calibri" w:hAnsi="Calibri"/>
                <w:noProof/>
                <w:sz w:val="16"/>
                <w:shd w:val="clear" w:color="auto" w:fill="E6E6E6"/>
              </w:rPr>
              <w:t xml:space="preserve"> AustrumLisabonas slimnīcas</w:t>
            </w:r>
            <w:r>
              <w:rPr>
                <w:rFonts w:ascii="Calibri" w:hAnsi="Calibri"/>
                <w:noProof/>
                <w:sz w:val="16"/>
              </w:rPr>
              <w:t>būvniecība, proti, i) Poente Tower, ii) B zemesgabala būvniecība un iii) C zemesgabala būvniecība, kopumā piešķirot 100 000 000 EUR dotācijas. Šo jauno ēku primārās enerģijas pieprasījums ir vismaz par 20 % zemāks nekā prasības gandrīz nulles enerģijas ēkām</w:t>
            </w:r>
            <w:r>
              <w:rPr>
                <w:noProof/>
              </w:rPr>
              <w:t>.</w:t>
            </w:r>
          </w:p>
        </w:tc>
      </w:tr>
      <w:tr w:rsidR="00776A1F" w14:paraId="38A34B61" w14:textId="77777777">
        <w:trPr>
          <w:trHeight w:val="850"/>
        </w:trPr>
        <w:tc>
          <w:tcPr>
            <w:tcW w:w="1135" w:type="dxa"/>
            <w:shd w:val="clear" w:color="auto" w:fill="C4EFCE"/>
            <w:noWrap/>
            <w:vAlign w:val="center"/>
            <w:hideMark/>
          </w:tcPr>
          <w:p w14:paraId="725C9153" w14:textId="77777777" w:rsidR="00776A1F" w:rsidRDefault="00D8574B">
            <w:pPr>
              <w:pStyle w:val="P68B1DB1-Normal7"/>
              <w:spacing w:after="0" w:line="240" w:lineRule="auto"/>
              <w:jc w:val="center"/>
              <w:rPr>
                <w:rFonts w:eastAsia="Times New Roman" w:cs="Calibri"/>
                <w:noProof/>
              </w:rPr>
            </w:pPr>
            <w:r>
              <w:rPr>
                <w:noProof/>
              </w:rPr>
              <w:t>1.27</w:t>
            </w:r>
          </w:p>
        </w:tc>
        <w:tc>
          <w:tcPr>
            <w:tcW w:w="1276" w:type="dxa"/>
            <w:shd w:val="clear" w:color="auto" w:fill="C4EFCE"/>
            <w:noWrap/>
            <w:vAlign w:val="center"/>
            <w:hideMark/>
          </w:tcPr>
          <w:p w14:paraId="64400C1F" w14:textId="77777777" w:rsidR="00776A1F" w:rsidRDefault="00D8574B">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81DDB8E"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C7C8556" w14:textId="77777777" w:rsidR="00776A1F" w:rsidRDefault="00D8574B">
            <w:pPr>
              <w:pStyle w:val="P68B1DB1-Normal8"/>
              <w:spacing w:after="0" w:line="240" w:lineRule="auto"/>
              <w:jc w:val="center"/>
              <w:rPr>
                <w:rFonts w:eastAsia="Times New Roman" w:cs="Calibri"/>
                <w:noProof/>
              </w:rPr>
            </w:pPr>
            <w:r>
              <w:rPr>
                <w:noProof/>
              </w:rPr>
              <w:t>Madeiras reģionālā veselības dienesta mājas hospitalizācijas sistēmā pieejamo vietu skaita pieaugums</w:t>
            </w:r>
          </w:p>
        </w:tc>
        <w:tc>
          <w:tcPr>
            <w:tcW w:w="1418" w:type="dxa"/>
            <w:shd w:val="clear" w:color="auto" w:fill="C4EFCE"/>
            <w:noWrap/>
            <w:vAlign w:val="center"/>
            <w:hideMark/>
          </w:tcPr>
          <w:p w14:paraId="501441A2"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426B467"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4BE39102"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743EDF67" w14:textId="77777777" w:rsidR="00776A1F" w:rsidRDefault="00D8574B">
            <w:pPr>
              <w:pStyle w:val="P68B1DB1-Normal8"/>
              <w:spacing w:after="0" w:line="240" w:lineRule="auto"/>
              <w:jc w:val="center"/>
              <w:rPr>
                <w:rFonts w:eastAsia="Times New Roman" w:cs="Calibri"/>
                <w:noProof/>
              </w:rPr>
            </w:pPr>
            <w:r>
              <w:rPr>
                <w:noProof/>
              </w:rPr>
              <w:t>1 500</w:t>
            </w:r>
          </w:p>
        </w:tc>
        <w:tc>
          <w:tcPr>
            <w:tcW w:w="833" w:type="dxa"/>
            <w:gridSpan w:val="2"/>
            <w:shd w:val="clear" w:color="auto" w:fill="C4EFCE"/>
            <w:noWrap/>
            <w:vAlign w:val="center"/>
            <w:hideMark/>
          </w:tcPr>
          <w:p w14:paraId="2B0D5EEA"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3AFF1172"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64D2578" w14:textId="0D007B14" w:rsidR="00776A1F" w:rsidRDefault="00D8574B">
            <w:pPr>
              <w:pStyle w:val="P68B1DB1-Normal8"/>
              <w:spacing w:after="0" w:line="240" w:lineRule="auto"/>
              <w:jc w:val="both"/>
              <w:rPr>
                <w:rFonts w:eastAsia="Times New Roman" w:cs="Calibri"/>
                <w:noProof/>
              </w:rPr>
            </w:pPr>
            <w:r>
              <w:rPr>
                <w:noProof/>
              </w:rPr>
              <w:t>Stiprināt Madeiras reģionālo veselības aprūpes dienestu reaģēšanas spējas, palielinot mājas hospitalizācijas sistēmā pieejamo vietu skaitu, tādējādi ļaujot mājās sniegt veselības aprūpes pakalpojumus ar slimnīcu līmeņa diferenciāciju, sarežģītību un intensitāti ciešā saistībā ar primāro veselības aprūpi un citiem pakalpojumiem.</w:t>
            </w:r>
          </w:p>
        </w:tc>
      </w:tr>
      <w:tr w:rsidR="00776A1F" w14:paraId="68BBE707" w14:textId="77777777">
        <w:trPr>
          <w:trHeight w:val="430"/>
        </w:trPr>
        <w:tc>
          <w:tcPr>
            <w:tcW w:w="1135" w:type="dxa"/>
            <w:shd w:val="clear" w:color="auto" w:fill="C4EFCE"/>
            <w:noWrap/>
            <w:vAlign w:val="center"/>
            <w:hideMark/>
          </w:tcPr>
          <w:p w14:paraId="6B8F9975" w14:textId="77777777" w:rsidR="00776A1F" w:rsidRDefault="00D8574B">
            <w:pPr>
              <w:pStyle w:val="P68B1DB1-Normal7"/>
              <w:spacing w:after="0" w:line="240" w:lineRule="auto"/>
              <w:jc w:val="center"/>
              <w:rPr>
                <w:rFonts w:eastAsia="Times New Roman" w:cs="Calibri"/>
                <w:noProof/>
              </w:rPr>
            </w:pPr>
            <w:r>
              <w:rPr>
                <w:noProof/>
              </w:rPr>
              <w:t>1.28</w:t>
            </w:r>
          </w:p>
        </w:tc>
        <w:tc>
          <w:tcPr>
            <w:tcW w:w="1276" w:type="dxa"/>
            <w:shd w:val="clear" w:color="auto" w:fill="C4EFCE"/>
            <w:noWrap/>
            <w:vAlign w:val="center"/>
            <w:hideMark/>
          </w:tcPr>
          <w:p w14:paraId="7EFF19CE" w14:textId="77777777" w:rsidR="00776A1F" w:rsidRDefault="00D8574B">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1B8E013A"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1D1DE9F" w14:textId="77777777" w:rsidR="00776A1F" w:rsidRDefault="00D8574B">
            <w:pPr>
              <w:pStyle w:val="P68B1DB1-Normal8"/>
              <w:spacing w:after="0" w:line="240" w:lineRule="auto"/>
              <w:jc w:val="center"/>
              <w:rPr>
                <w:rFonts w:eastAsia="Times New Roman" w:cs="Calibri"/>
                <w:noProof/>
              </w:rPr>
            </w:pPr>
            <w:r>
              <w:rPr>
                <w:noProof/>
              </w:rPr>
              <w:t>Kopienu garīgās veselības komandu izveide Madeiras reģionālajā veselības dienestā</w:t>
            </w:r>
          </w:p>
        </w:tc>
        <w:tc>
          <w:tcPr>
            <w:tcW w:w="1418" w:type="dxa"/>
            <w:shd w:val="clear" w:color="auto" w:fill="C4EFCE"/>
            <w:noWrap/>
            <w:vAlign w:val="center"/>
            <w:hideMark/>
          </w:tcPr>
          <w:p w14:paraId="5B56375A"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5965D60"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4488F202"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54B9112A" w14:textId="77777777" w:rsidR="00776A1F" w:rsidRDefault="00D8574B">
            <w:pPr>
              <w:pStyle w:val="P68B1DB1-Normal8"/>
              <w:spacing w:after="0" w:line="240" w:lineRule="auto"/>
              <w:jc w:val="center"/>
              <w:rPr>
                <w:rFonts w:eastAsia="Times New Roman" w:cs="Calibri"/>
                <w:noProof/>
              </w:rPr>
            </w:pPr>
            <w:r>
              <w:rPr>
                <w:noProof/>
              </w:rPr>
              <w:t>11</w:t>
            </w:r>
          </w:p>
        </w:tc>
        <w:tc>
          <w:tcPr>
            <w:tcW w:w="833" w:type="dxa"/>
            <w:gridSpan w:val="2"/>
            <w:shd w:val="clear" w:color="auto" w:fill="C4EFCE"/>
            <w:noWrap/>
            <w:vAlign w:val="center"/>
            <w:hideMark/>
          </w:tcPr>
          <w:p w14:paraId="5AD45B50"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1FBFEAD9"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0A1580E" w14:textId="77777777" w:rsidR="00776A1F" w:rsidRDefault="00D8574B">
            <w:pPr>
              <w:pStyle w:val="P68B1DB1-Normal8"/>
              <w:spacing w:after="0" w:line="240" w:lineRule="auto"/>
              <w:jc w:val="both"/>
              <w:rPr>
                <w:rFonts w:eastAsia="Times New Roman" w:cs="Calibri"/>
                <w:noProof/>
              </w:rPr>
            </w:pPr>
            <w:r>
              <w:rPr>
                <w:noProof/>
              </w:rPr>
              <w:t>Madeiras reģionālā veselības dienesta reaģēšanas spēju stiprināšana garīgās veselības un ar novecošanu saistītās demences jomā, izveidojot kopienas garīgās veselības komandas.</w:t>
            </w:r>
          </w:p>
        </w:tc>
      </w:tr>
      <w:tr w:rsidR="00776A1F" w14:paraId="601A2D9F" w14:textId="77777777">
        <w:trPr>
          <w:trHeight w:val="640"/>
        </w:trPr>
        <w:tc>
          <w:tcPr>
            <w:tcW w:w="1135" w:type="dxa"/>
            <w:shd w:val="clear" w:color="auto" w:fill="C4EFCE"/>
            <w:noWrap/>
            <w:vAlign w:val="center"/>
            <w:hideMark/>
          </w:tcPr>
          <w:p w14:paraId="0B9ADE7F" w14:textId="77777777" w:rsidR="00776A1F" w:rsidRDefault="00D8574B">
            <w:pPr>
              <w:pStyle w:val="P68B1DB1-Normal7"/>
              <w:spacing w:after="0" w:line="240" w:lineRule="auto"/>
              <w:jc w:val="center"/>
              <w:rPr>
                <w:rFonts w:eastAsia="Times New Roman" w:cs="Calibri"/>
                <w:noProof/>
              </w:rPr>
            </w:pPr>
            <w:r>
              <w:rPr>
                <w:noProof/>
              </w:rPr>
              <w:t>1.29</w:t>
            </w:r>
          </w:p>
        </w:tc>
        <w:tc>
          <w:tcPr>
            <w:tcW w:w="1276" w:type="dxa"/>
            <w:shd w:val="clear" w:color="auto" w:fill="C4EFCE"/>
            <w:noWrap/>
            <w:vAlign w:val="center"/>
            <w:hideMark/>
          </w:tcPr>
          <w:p w14:paraId="4F5677A4" w14:textId="77777777" w:rsidR="00776A1F" w:rsidRDefault="00D8574B">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4338AFAF"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0B8B5FF" w14:textId="77777777" w:rsidR="00776A1F" w:rsidRDefault="00D8574B">
            <w:pPr>
              <w:pStyle w:val="P68B1DB1-Normal8"/>
              <w:spacing w:after="0" w:line="240" w:lineRule="auto"/>
              <w:jc w:val="center"/>
              <w:rPr>
                <w:rFonts w:eastAsia="Times New Roman" w:cs="Calibri"/>
                <w:noProof/>
              </w:rPr>
            </w:pPr>
            <w:r>
              <w:rPr>
                <w:noProof/>
              </w:rPr>
              <w:t>Klasifikācijas sistēmas, funkcionālā profila un lietotāju nosūtījumu sistēmas ieviešana Madeiras integrēto nepārtrauktas aprūpes pakalpojumu reģionālajam modelim</w:t>
            </w:r>
          </w:p>
        </w:tc>
        <w:tc>
          <w:tcPr>
            <w:tcW w:w="1418" w:type="dxa"/>
            <w:shd w:val="clear" w:color="auto" w:fill="C4EFCE"/>
            <w:noWrap/>
            <w:vAlign w:val="center"/>
            <w:hideMark/>
          </w:tcPr>
          <w:p w14:paraId="792AE747" w14:textId="77777777" w:rsidR="00776A1F" w:rsidRDefault="00D8574B">
            <w:pPr>
              <w:pStyle w:val="P68B1DB1-Normal8"/>
              <w:spacing w:after="0" w:line="240" w:lineRule="auto"/>
              <w:jc w:val="center"/>
              <w:rPr>
                <w:rFonts w:eastAsia="Times New Roman" w:cs="Calibri"/>
                <w:noProof/>
              </w:rPr>
            </w:pPr>
            <w:r>
              <w:rPr>
                <w:noProof/>
              </w:rPr>
              <w:t>Ziņojums par klasifikācijas sistēmas, funkcionālā profila un lietotāju atsauksmju sistēmas ieviešanu</w:t>
            </w:r>
          </w:p>
        </w:tc>
        <w:tc>
          <w:tcPr>
            <w:tcW w:w="1164" w:type="dxa"/>
            <w:shd w:val="clear" w:color="auto" w:fill="C4EFCE"/>
            <w:noWrap/>
            <w:vAlign w:val="center"/>
            <w:hideMark/>
          </w:tcPr>
          <w:p w14:paraId="7DF78181"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B3035AA"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8781B8"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08823D9"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21D3F18F" w14:textId="77777777" w:rsidR="00776A1F" w:rsidRDefault="00D8574B">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5AE6B77D" w14:textId="77777777" w:rsidR="00776A1F" w:rsidRDefault="00D8574B">
            <w:pPr>
              <w:pStyle w:val="P68B1DB1-Normal8"/>
              <w:spacing w:after="0" w:line="240" w:lineRule="auto"/>
              <w:jc w:val="both"/>
              <w:rPr>
                <w:rFonts w:eastAsia="Times New Roman" w:cs="Calibri"/>
                <w:noProof/>
              </w:rPr>
            </w:pPr>
            <w:r>
              <w:rPr>
                <w:noProof/>
              </w:rPr>
              <w:t>Klasifikācijas sistēmas, funkcionālā profila un lietotāju nosūtījumu sistēmas ieviešana, lai stiprinātu Madeiras integrēto pastāvīgās aprūpes pakalpojumu reģionālo modeli, kā arī tā koordināciju un tehnisko pārvaldību.</w:t>
            </w:r>
          </w:p>
        </w:tc>
      </w:tr>
      <w:tr w:rsidR="00776A1F" w14:paraId="1098BF06" w14:textId="77777777">
        <w:trPr>
          <w:trHeight w:val="1060"/>
        </w:trPr>
        <w:tc>
          <w:tcPr>
            <w:tcW w:w="1135" w:type="dxa"/>
            <w:shd w:val="clear" w:color="auto" w:fill="C4EFCE"/>
            <w:noWrap/>
            <w:vAlign w:val="center"/>
            <w:hideMark/>
          </w:tcPr>
          <w:p w14:paraId="67550639" w14:textId="77777777" w:rsidR="00776A1F" w:rsidRDefault="00D8574B">
            <w:pPr>
              <w:pStyle w:val="P68B1DB1-Normal7"/>
              <w:spacing w:after="0" w:line="240" w:lineRule="auto"/>
              <w:jc w:val="center"/>
              <w:rPr>
                <w:rFonts w:eastAsia="Times New Roman" w:cs="Calibri"/>
                <w:noProof/>
              </w:rPr>
            </w:pPr>
            <w:r>
              <w:rPr>
                <w:noProof/>
              </w:rPr>
              <w:t>1.30</w:t>
            </w:r>
          </w:p>
        </w:tc>
        <w:tc>
          <w:tcPr>
            <w:tcW w:w="1276" w:type="dxa"/>
            <w:shd w:val="clear" w:color="auto" w:fill="C4EFCE"/>
            <w:noWrap/>
            <w:vAlign w:val="center"/>
            <w:hideMark/>
          </w:tcPr>
          <w:p w14:paraId="43DCB444" w14:textId="77777777" w:rsidR="00776A1F" w:rsidRDefault="00D8574B">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4FC5C57"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06F1B98" w14:textId="77777777" w:rsidR="00776A1F" w:rsidRDefault="00D8574B">
            <w:pPr>
              <w:pStyle w:val="P68B1DB1-Normal8"/>
              <w:spacing w:after="0" w:line="240" w:lineRule="auto"/>
              <w:jc w:val="center"/>
              <w:rPr>
                <w:rFonts w:eastAsia="Times New Roman" w:cs="Calibri"/>
                <w:noProof/>
              </w:rPr>
            </w:pPr>
            <w:r>
              <w:rPr>
                <w:noProof/>
              </w:rPr>
              <w:t>Vietu skaita pieaugums integrētās nepārtrauktās aprūpes pakalpojumos Madeiras reģionālajā veselības aprūpes dienestā</w:t>
            </w:r>
          </w:p>
        </w:tc>
        <w:tc>
          <w:tcPr>
            <w:tcW w:w="1418" w:type="dxa"/>
            <w:shd w:val="clear" w:color="auto" w:fill="C4EFCE"/>
            <w:noWrap/>
            <w:vAlign w:val="center"/>
            <w:hideMark/>
          </w:tcPr>
          <w:p w14:paraId="21827395"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2498DB0B"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17180C84"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0A4DD6D" w14:textId="77777777" w:rsidR="00776A1F" w:rsidRDefault="00D8574B">
            <w:pPr>
              <w:pStyle w:val="P68B1DB1-Normal8"/>
              <w:spacing w:after="0" w:line="240" w:lineRule="auto"/>
              <w:jc w:val="center"/>
              <w:rPr>
                <w:rFonts w:eastAsia="Times New Roman" w:cs="Calibri"/>
                <w:noProof/>
              </w:rPr>
            </w:pPr>
            <w:r>
              <w:rPr>
                <w:noProof/>
              </w:rPr>
              <w:t>1 080</w:t>
            </w:r>
          </w:p>
        </w:tc>
        <w:tc>
          <w:tcPr>
            <w:tcW w:w="833" w:type="dxa"/>
            <w:gridSpan w:val="2"/>
            <w:shd w:val="clear" w:color="auto" w:fill="C4EFCE"/>
            <w:noWrap/>
            <w:vAlign w:val="center"/>
            <w:hideMark/>
          </w:tcPr>
          <w:p w14:paraId="1FCF5E4A"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7160FF7E"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13670F9" w14:textId="2575518F" w:rsidR="00776A1F" w:rsidRDefault="00D8574B">
            <w:pPr>
              <w:pStyle w:val="P68B1DB1-Normal8"/>
              <w:spacing w:after="0" w:line="240" w:lineRule="auto"/>
              <w:jc w:val="both"/>
              <w:rPr>
                <w:rFonts w:eastAsia="Times New Roman" w:cs="Calibri"/>
                <w:noProof/>
              </w:rPr>
            </w:pPr>
            <w:r>
              <w:rPr>
                <w:noProof/>
              </w:rPr>
              <w:t>Tādu jaunu un atjaunotu vietu skaits, kas izveidotas integrētās nepārtrauktās aprūpes pakalpojumos Madeiras reģionālajā veselības dienestā, mērot kā jaunas un atjaunotas gultasvietas kopumā (tostarp atveseļošanās, vidēja termiņa un rehabilitācijas nodaļā, kā arī ilgtermiņa un uzturēšanas nodaļā), garīgās veselības un pediatrijas pakalpojumos. Tas ietver dotāciju atbalsta izmantošanu i) jaunas veselības infrastruktūras izbūvei, kuras primārās enerģijas pieprasījums ir vismaz par 20 % zemāks nekā prasības gandrīz nulles enerģijas ēkām; un ii) īstenot energoefektivitātes renovāciju.</w:t>
            </w:r>
          </w:p>
        </w:tc>
      </w:tr>
      <w:tr w:rsidR="00776A1F" w14:paraId="228353BC" w14:textId="77777777">
        <w:trPr>
          <w:trHeight w:val="300"/>
        </w:trPr>
        <w:tc>
          <w:tcPr>
            <w:tcW w:w="1135" w:type="dxa"/>
            <w:shd w:val="clear" w:color="auto" w:fill="C4EFCE"/>
            <w:noWrap/>
            <w:vAlign w:val="center"/>
            <w:hideMark/>
          </w:tcPr>
          <w:p w14:paraId="4EE5165B" w14:textId="77777777" w:rsidR="00776A1F" w:rsidRDefault="00D8574B">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45977E58" w14:textId="77777777" w:rsidR="00776A1F" w:rsidRDefault="00D8574B">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5FD6D547"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FC0E06E" w14:textId="77777777" w:rsidR="00776A1F" w:rsidRDefault="00D8574B">
            <w:pPr>
              <w:pStyle w:val="P68B1DB1-Normal8"/>
              <w:spacing w:after="0" w:line="240" w:lineRule="auto"/>
              <w:jc w:val="center"/>
              <w:rPr>
                <w:rFonts w:eastAsia="Times New Roman" w:cs="Calibri"/>
                <w:noProof/>
              </w:rPr>
            </w:pPr>
            <w:r>
              <w:rPr>
                <w:noProof/>
              </w:rPr>
              <w:t>Primārās veselības aprūpes pakalpojumu atjaunošana Madeiras reģionālajā veselības dienestā</w:t>
            </w:r>
          </w:p>
        </w:tc>
        <w:tc>
          <w:tcPr>
            <w:tcW w:w="1418" w:type="dxa"/>
            <w:shd w:val="clear" w:color="auto" w:fill="C4EFCE"/>
            <w:noWrap/>
            <w:vAlign w:val="center"/>
            <w:hideMark/>
          </w:tcPr>
          <w:p w14:paraId="356EBB6C"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7418E171"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798DA9A1"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AB16FD0" w14:textId="77777777" w:rsidR="00776A1F" w:rsidRDefault="00D8574B">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141B4ED0" w14:textId="77777777"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76AB49A4" w14:textId="77777777" w:rsidR="00776A1F" w:rsidRDefault="00D8574B">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4350EBE" w14:textId="77777777" w:rsidR="00776A1F" w:rsidRDefault="00D8574B">
            <w:pPr>
              <w:pStyle w:val="P68B1DB1-Normal8"/>
              <w:spacing w:after="0" w:line="240" w:lineRule="auto"/>
              <w:jc w:val="both"/>
              <w:rPr>
                <w:rFonts w:eastAsia="Times New Roman" w:cs="Calibri"/>
                <w:noProof/>
              </w:rPr>
            </w:pPr>
            <w:r>
              <w:rPr>
                <w:noProof/>
              </w:rPr>
              <w:t>Atjaunoto primārās veselības aprūpes iestāžu skaits Madeiras reģionālajā veselības dienestā.</w:t>
            </w:r>
          </w:p>
        </w:tc>
      </w:tr>
      <w:tr w:rsidR="00776A1F" w14:paraId="5DB36F90" w14:textId="77777777">
        <w:trPr>
          <w:trHeight w:val="640"/>
        </w:trPr>
        <w:tc>
          <w:tcPr>
            <w:tcW w:w="1135" w:type="dxa"/>
            <w:shd w:val="clear" w:color="auto" w:fill="C4EFCE"/>
            <w:noWrap/>
            <w:vAlign w:val="center"/>
            <w:hideMark/>
          </w:tcPr>
          <w:p w14:paraId="23301C6E" w14:textId="77777777" w:rsidR="00776A1F" w:rsidRDefault="00D8574B">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07BF663B" w14:textId="77777777" w:rsidR="00776A1F" w:rsidRDefault="00D8574B">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54C196BC"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1C09812" w14:textId="77777777" w:rsidR="00776A1F" w:rsidRDefault="00D8574B">
            <w:pPr>
              <w:pStyle w:val="P68B1DB1-Normal8"/>
              <w:spacing w:after="0" w:line="240" w:lineRule="auto"/>
              <w:jc w:val="center"/>
              <w:rPr>
                <w:rFonts w:eastAsia="Times New Roman" w:cs="Calibri"/>
                <w:noProof/>
              </w:rPr>
            </w:pPr>
            <w:r>
              <w:rPr>
                <w:noProof/>
              </w:rPr>
              <w:t>Vietējo informācijas tehnoloģiju tīklu modernizācija</w:t>
            </w:r>
          </w:p>
        </w:tc>
        <w:tc>
          <w:tcPr>
            <w:tcW w:w="1418" w:type="dxa"/>
            <w:shd w:val="clear" w:color="auto" w:fill="C4EFCE"/>
            <w:noWrap/>
            <w:vAlign w:val="center"/>
            <w:hideMark/>
          </w:tcPr>
          <w:p w14:paraId="7496A1FC"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1D12A45" w14:textId="77777777" w:rsidR="00776A1F" w:rsidRDefault="00D8574B">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604F7E4B"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4ACEC4B" w14:textId="77777777" w:rsidR="00776A1F" w:rsidRDefault="00D8574B">
            <w:pPr>
              <w:pStyle w:val="P68B1DB1-Normal8"/>
              <w:spacing w:after="0" w:line="240" w:lineRule="auto"/>
              <w:jc w:val="center"/>
              <w:rPr>
                <w:rFonts w:eastAsia="Times New Roman" w:cs="Calibri"/>
                <w:noProof/>
              </w:rPr>
            </w:pPr>
            <w:r>
              <w:rPr>
                <w:noProof/>
              </w:rPr>
              <w:t>90</w:t>
            </w:r>
          </w:p>
        </w:tc>
        <w:tc>
          <w:tcPr>
            <w:tcW w:w="833" w:type="dxa"/>
            <w:gridSpan w:val="2"/>
            <w:shd w:val="clear" w:color="auto" w:fill="C4EFCE"/>
            <w:noWrap/>
            <w:vAlign w:val="center"/>
            <w:hideMark/>
          </w:tcPr>
          <w:p w14:paraId="58F1EC69"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540758F3"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8EC5631" w14:textId="77777777" w:rsidR="00776A1F" w:rsidRDefault="00D8574B">
            <w:pPr>
              <w:pStyle w:val="P68B1DB1-Normal8"/>
              <w:spacing w:after="0" w:line="240" w:lineRule="auto"/>
              <w:jc w:val="both"/>
              <w:rPr>
                <w:rFonts w:eastAsia="Times New Roman" w:cs="Calibri"/>
                <w:noProof/>
              </w:rPr>
            </w:pPr>
            <w:r>
              <w:rPr>
                <w:noProof/>
              </w:rPr>
              <w:t>To uzlaboto vietējo informācijas tehnoloģiju tīklu procentuālā daļa Nacionālajā veselības dienestā, kurus organizē un īsteno Veselības ministrijas kopīgo pakalpojumu struktūra, kas tādējādi varēs darboties jaunajā vienotā sakaru modelī (Voice over Internet Protocol).</w:t>
            </w:r>
          </w:p>
        </w:tc>
      </w:tr>
      <w:tr w:rsidR="00776A1F" w14:paraId="1D239173" w14:textId="77777777">
        <w:trPr>
          <w:trHeight w:val="640"/>
        </w:trPr>
        <w:tc>
          <w:tcPr>
            <w:tcW w:w="1135" w:type="dxa"/>
            <w:shd w:val="clear" w:color="auto" w:fill="C4EFCE"/>
            <w:noWrap/>
            <w:vAlign w:val="center"/>
            <w:hideMark/>
          </w:tcPr>
          <w:p w14:paraId="47CBD861" w14:textId="77777777" w:rsidR="00776A1F" w:rsidRDefault="00D8574B">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238DEBF" w14:textId="77777777" w:rsidR="00776A1F" w:rsidRDefault="00D8574B">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0AC6399B"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19C984B" w14:textId="77777777" w:rsidR="00776A1F" w:rsidRDefault="00D8574B">
            <w:pPr>
              <w:pStyle w:val="P68B1DB1-Normal8"/>
              <w:spacing w:after="0" w:line="240" w:lineRule="auto"/>
              <w:jc w:val="center"/>
              <w:rPr>
                <w:rFonts w:eastAsia="Times New Roman" w:cs="Calibri"/>
                <w:noProof/>
              </w:rPr>
            </w:pPr>
            <w:r>
              <w:rPr>
                <w:noProof/>
              </w:rPr>
              <w:t>Televeselības un teleuzraudzības funkciju īstenošana</w:t>
            </w:r>
          </w:p>
        </w:tc>
        <w:tc>
          <w:tcPr>
            <w:tcW w:w="1418" w:type="dxa"/>
            <w:shd w:val="clear" w:color="auto" w:fill="C4EFCE"/>
            <w:noWrap/>
            <w:vAlign w:val="center"/>
            <w:hideMark/>
          </w:tcPr>
          <w:p w14:paraId="1F8B5CCD"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073D926" w14:textId="77777777" w:rsidR="00776A1F" w:rsidRDefault="00D8574B">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375E54E1"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8EB1FEB" w14:textId="77777777" w:rsidR="00776A1F" w:rsidRDefault="00D8574B">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2F344E98"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04B7D6FE" w14:textId="77777777" w:rsidR="00776A1F" w:rsidRDefault="00D8574B">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BBF837A" w14:textId="77777777" w:rsidR="00776A1F" w:rsidRDefault="00D8574B">
            <w:pPr>
              <w:pStyle w:val="P68B1DB1-Normal8"/>
              <w:spacing w:after="0" w:line="240" w:lineRule="auto"/>
              <w:jc w:val="both"/>
              <w:rPr>
                <w:rFonts w:eastAsia="Times New Roman" w:cs="Calibri"/>
                <w:noProof/>
              </w:rPr>
            </w:pPr>
            <w:r>
              <w:rPr>
                <w:noProof/>
              </w:rPr>
              <w:t>To lietotāju procentuālā daļa, kuriem ir piekļuve jaunām tālveselības un teleuzraudzības funkcijām, kas ļauj sniegt attālinātus veselības aprūpes pakalpojumus, tādējādi palielinot piekļuvi veselības aprūpei un iedzīvotāju līdzdalību attālinātas informācijas vākšanas un ārstēšanas procesā.</w:t>
            </w:r>
          </w:p>
        </w:tc>
      </w:tr>
      <w:tr w:rsidR="00776A1F" w14:paraId="6B7A654B" w14:textId="77777777">
        <w:trPr>
          <w:trHeight w:val="414"/>
        </w:trPr>
        <w:tc>
          <w:tcPr>
            <w:tcW w:w="1135" w:type="dxa"/>
            <w:shd w:val="clear" w:color="auto" w:fill="C4EFCE"/>
            <w:noWrap/>
            <w:vAlign w:val="center"/>
            <w:hideMark/>
          </w:tcPr>
          <w:p w14:paraId="788FB01B" w14:textId="77777777" w:rsidR="00776A1F" w:rsidRDefault="00D8574B">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3B63F904" w14:textId="77777777" w:rsidR="00776A1F" w:rsidRDefault="00D8574B">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0554D603"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2A2F67A" w14:textId="77777777" w:rsidR="00776A1F" w:rsidRDefault="00D8574B">
            <w:pPr>
              <w:pStyle w:val="P68B1DB1-Normal8"/>
              <w:spacing w:after="0" w:line="240" w:lineRule="auto"/>
              <w:jc w:val="center"/>
              <w:rPr>
                <w:rFonts w:eastAsia="Times New Roman" w:cs="Calibri"/>
                <w:noProof/>
              </w:rPr>
            </w:pPr>
            <w:r>
              <w:rPr>
                <w:noProof/>
              </w:rPr>
              <w:t>Informācijas tehnoloģiju administratīvo moduļu, pamata klīnisko moduļu un ārkārtas klīnisko moduļu ieviešana</w:t>
            </w:r>
          </w:p>
        </w:tc>
        <w:tc>
          <w:tcPr>
            <w:tcW w:w="1418" w:type="dxa"/>
            <w:shd w:val="clear" w:color="auto" w:fill="C4EFCE"/>
            <w:noWrap/>
            <w:vAlign w:val="center"/>
            <w:hideMark/>
          </w:tcPr>
          <w:p w14:paraId="60D66170"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B64EB98" w14:textId="77777777" w:rsidR="00776A1F" w:rsidRDefault="00D8574B">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09AEDAE6"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4105145" w14:textId="77777777" w:rsidR="00776A1F" w:rsidRDefault="00D8574B">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510A81E2" w14:textId="20C69EC3" w:rsidR="00776A1F" w:rsidRDefault="00D8574B">
            <w:pPr>
              <w:pStyle w:val="P68B1DB1-Normal8"/>
              <w:spacing w:after="0" w:line="240" w:lineRule="auto"/>
              <w:jc w:val="center"/>
              <w:rPr>
                <w:rFonts w:eastAsia="Times New Roman" w:cs="Calibri"/>
                <w:noProof/>
              </w:rPr>
            </w:pPr>
            <w:r>
              <w:rPr>
                <w:noProof/>
              </w:rPr>
              <w:t>2. CET.</w:t>
            </w:r>
          </w:p>
        </w:tc>
        <w:tc>
          <w:tcPr>
            <w:tcW w:w="901" w:type="dxa"/>
            <w:shd w:val="clear" w:color="auto" w:fill="C4EFCE"/>
            <w:noWrap/>
            <w:vAlign w:val="center"/>
            <w:hideMark/>
          </w:tcPr>
          <w:p w14:paraId="1B258F53" w14:textId="7EC56113"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0AF81CED" w14:textId="77777777" w:rsidR="00776A1F" w:rsidRDefault="00D8574B">
            <w:pPr>
              <w:pStyle w:val="P68B1DB1-Normal8"/>
              <w:spacing w:after="0" w:line="240" w:lineRule="auto"/>
              <w:jc w:val="both"/>
              <w:rPr>
                <w:rFonts w:eastAsia="Times New Roman" w:cs="Calibri"/>
                <w:noProof/>
              </w:rPr>
            </w:pPr>
            <w:r>
              <w:rPr>
                <w:noProof/>
              </w:rPr>
              <w:t>To veselības aprūpes speciālistu procentuālā daļa, kuriem ir piekļuve integrētiem informācijas tehnoloģiju moduļiem, pamata klīniskajiem moduļiem un ārkārtas klīniskajiem moduļiem: klīniskās informācijas reģistrēšana un aplūkošana primārās, slimnīcas un pastāvīgās veselības aprūpes jomā, lai nodrošinātu veselības informācijas pieejamību un integrāciju, kā arī lielāku drošību lietotājiem un veselības aprūpes speciālistiem; un ii) neatliekamās palīdzības, aprūpes reģistru un tāluzraudzības veselības aprūpes pakalpojumus.</w:t>
            </w:r>
          </w:p>
        </w:tc>
      </w:tr>
      <w:tr w:rsidR="00776A1F" w14:paraId="2D39C445" w14:textId="77777777">
        <w:trPr>
          <w:trHeight w:val="640"/>
        </w:trPr>
        <w:tc>
          <w:tcPr>
            <w:tcW w:w="1135" w:type="dxa"/>
            <w:shd w:val="clear" w:color="auto" w:fill="C4EFCE"/>
            <w:noWrap/>
            <w:vAlign w:val="center"/>
            <w:hideMark/>
          </w:tcPr>
          <w:p w14:paraId="518CED19" w14:textId="77777777" w:rsidR="00776A1F" w:rsidRDefault="00D8574B">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2670C5DB" w14:textId="77777777" w:rsidR="00776A1F" w:rsidRDefault="00D8574B">
            <w:pPr>
              <w:pStyle w:val="P68B1DB1-Normal8"/>
              <w:spacing w:after="0" w:line="240" w:lineRule="auto"/>
              <w:jc w:val="center"/>
              <w:rPr>
                <w:rFonts w:eastAsia="Times New Roman" w:cs="Calibri"/>
                <w:noProof/>
              </w:rPr>
            </w:pPr>
            <w:r>
              <w:rPr>
                <w:noProof/>
              </w:rPr>
              <w:t>Re-C01-i07-RAM</w:t>
            </w:r>
          </w:p>
        </w:tc>
        <w:tc>
          <w:tcPr>
            <w:tcW w:w="992" w:type="dxa"/>
            <w:shd w:val="clear" w:color="auto" w:fill="C4EFCE"/>
            <w:noWrap/>
            <w:vAlign w:val="center"/>
            <w:hideMark/>
          </w:tcPr>
          <w:p w14:paraId="4F631A01"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7E98217" w14:textId="77777777" w:rsidR="00776A1F" w:rsidRDefault="00D8574B">
            <w:pPr>
              <w:pStyle w:val="P68B1DB1-Normal8"/>
              <w:spacing w:after="0" w:line="240" w:lineRule="auto"/>
              <w:jc w:val="center"/>
              <w:rPr>
                <w:rFonts w:eastAsia="Times New Roman" w:cs="Calibri"/>
                <w:noProof/>
              </w:rPr>
            </w:pPr>
            <w:r>
              <w:rPr>
                <w:noProof/>
              </w:rPr>
              <w:t>Jaunas datoriekārtas Madeiras reģionālajam veselības dienestam</w:t>
            </w:r>
          </w:p>
        </w:tc>
        <w:tc>
          <w:tcPr>
            <w:tcW w:w="1418" w:type="dxa"/>
            <w:shd w:val="clear" w:color="auto" w:fill="C4EFCE"/>
            <w:noWrap/>
            <w:vAlign w:val="center"/>
            <w:hideMark/>
          </w:tcPr>
          <w:p w14:paraId="44306B25"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08B4C87"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4B03819A"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08FD160" w14:textId="77777777" w:rsidR="00776A1F" w:rsidRDefault="00D8574B">
            <w:pPr>
              <w:pStyle w:val="P68B1DB1-Normal8"/>
              <w:spacing w:after="0" w:line="240" w:lineRule="auto"/>
              <w:jc w:val="center"/>
              <w:rPr>
                <w:rFonts w:eastAsia="Times New Roman" w:cs="Calibri"/>
                <w:noProof/>
              </w:rPr>
            </w:pPr>
            <w:r>
              <w:rPr>
                <w:noProof/>
              </w:rPr>
              <w:t>3 600</w:t>
            </w:r>
          </w:p>
        </w:tc>
        <w:tc>
          <w:tcPr>
            <w:tcW w:w="833" w:type="dxa"/>
            <w:gridSpan w:val="2"/>
            <w:shd w:val="clear" w:color="auto" w:fill="C4EFCE"/>
            <w:noWrap/>
            <w:vAlign w:val="center"/>
            <w:hideMark/>
          </w:tcPr>
          <w:p w14:paraId="08604750" w14:textId="77777777" w:rsidR="00776A1F" w:rsidRDefault="00D8574B">
            <w:pPr>
              <w:pStyle w:val="P68B1DB1-Normal8"/>
              <w:spacing w:after="0" w:line="240" w:lineRule="auto"/>
              <w:jc w:val="center"/>
              <w:rPr>
                <w:rFonts w:eastAsia="Times New Roman" w:cs="Calibri"/>
                <w:noProof/>
              </w:rPr>
            </w:pPr>
            <w:r>
              <w:rPr>
                <w:noProof/>
              </w:rPr>
              <w:t>4. CET.</w:t>
            </w:r>
          </w:p>
        </w:tc>
        <w:tc>
          <w:tcPr>
            <w:tcW w:w="901" w:type="dxa"/>
            <w:shd w:val="clear" w:color="auto" w:fill="C4EFCE"/>
            <w:noWrap/>
            <w:vAlign w:val="center"/>
            <w:hideMark/>
          </w:tcPr>
          <w:p w14:paraId="709C9011" w14:textId="77777777" w:rsidR="00776A1F" w:rsidRDefault="00D8574B">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414FCB5F" w14:textId="77777777" w:rsidR="00776A1F" w:rsidRDefault="00D8574B">
            <w:pPr>
              <w:pStyle w:val="P68B1DB1-Normal8"/>
              <w:spacing w:after="0" w:line="240" w:lineRule="auto"/>
              <w:jc w:val="both"/>
              <w:rPr>
                <w:rFonts w:eastAsia="Times New Roman" w:cs="Calibri"/>
                <w:noProof/>
              </w:rPr>
            </w:pPr>
            <w:r>
              <w:rPr>
                <w:noProof/>
              </w:rPr>
              <w:t>Jaunu datoriekārtu skaits Madeiras reģionālajam veselības dienestam, lai uzraudzītu Madeiras reģionālo veselības pakalpojumu lietotājus un nodrošinātu tiem lielāku tuvumu, veicinātu kļūdu riska samazināšanu, kā arī veicinātu efektivitāti un ātru piekļuvi lietotāju datiem.</w:t>
            </w:r>
          </w:p>
        </w:tc>
      </w:tr>
      <w:tr w:rsidR="00776A1F" w14:paraId="3B6BEA0A" w14:textId="77777777">
        <w:trPr>
          <w:trHeight w:val="430"/>
        </w:trPr>
        <w:tc>
          <w:tcPr>
            <w:tcW w:w="1135" w:type="dxa"/>
            <w:shd w:val="clear" w:color="auto" w:fill="C4EFCE"/>
            <w:noWrap/>
            <w:vAlign w:val="center"/>
            <w:hideMark/>
          </w:tcPr>
          <w:p w14:paraId="1C2B4CDB" w14:textId="77777777" w:rsidR="00776A1F" w:rsidRDefault="00D8574B">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44303377" w14:textId="77777777" w:rsidR="00776A1F" w:rsidRDefault="00D8574B">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08334822"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62E30B" w14:textId="77777777" w:rsidR="00776A1F" w:rsidRDefault="00D8574B">
            <w:pPr>
              <w:pStyle w:val="P68B1DB1-Normal8"/>
              <w:spacing w:after="0" w:line="240" w:lineRule="auto"/>
              <w:jc w:val="center"/>
              <w:rPr>
                <w:rFonts w:eastAsia="Times New Roman" w:cs="Calibri"/>
                <w:noProof/>
              </w:rPr>
            </w:pPr>
            <w:r>
              <w:rPr>
                <w:noProof/>
              </w:rPr>
              <w:t>Uzlabota piekļuve Azoru salu reģionālā veselības dienesta lietotāju portālam</w:t>
            </w:r>
          </w:p>
        </w:tc>
        <w:tc>
          <w:tcPr>
            <w:tcW w:w="1418" w:type="dxa"/>
            <w:shd w:val="clear" w:color="auto" w:fill="C4EFCE"/>
            <w:noWrap/>
            <w:vAlign w:val="center"/>
            <w:hideMark/>
          </w:tcPr>
          <w:p w14:paraId="16ACFAA9"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518DAD3"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258F7153"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FB3820" w14:textId="77777777" w:rsidR="00776A1F" w:rsidRDefault="00D8574B">
            <w:pPr>
              <w:pStyle w:val="P68B1DB1-Normal8"/>
              <w:spacing w:after="0" w:line="240" w:lineRule="auto"/>
              <w:jc w:val="center"/>
              <w:rPr>
                <w:rFonts w:eastAsia="Times New Roman" w:cs="Calibri"/>
                <w:noProof/>
              </w:rPr>
            </w:pPr>
            <w:r>
              <w:rPr>
                <w:noProof/>
              </w:rPr>
              <w:t>25 000</w:t>
            </w:r>
          </w:p>
        </w:tc>
        <w:tc>
          <w:tcPr>
            <w:tcW w:w="833" w:type="dxa"/>
            <w:gridSpan w:val="2"/>
            <w:shd w:val="clear" w:color="auto" w:fill="C4EFCE"/>
            <w:noWrap/>
            <w:vAlign w:val="center"/>
            <w:hideMark/>
          </w:tcPr>
          <w:p w14:paraId="62A4D53A" w14:textId="77777777" w:rsidR="00776A1F" w:rsidRDefault="00D8574B">
            <w:pPr>
              <w:pStyle w:val="P68B1DB1-Normal8"/>
              <w:spacing w:after="0" w:line="240" w:lineRule="auto"/>
              <w:jc w:val="center"/>
              <w:rPr>
                <w:rFonts w:eastAsia="Times New Roman" w:cs="Calibri"/>
                <w:noProof/>
              </w:rPr>
            </w:pPr>
            <w:r>
              <w:rPr>
                <w:noProof/>
              </w:rPr>
              <w:t>3. CET.</w:t>
            </w:r>
          </w:p>
        </w:tc>
        <w:tc>
          <w:tcPr>
            <w:tcW w:w="901" w:type="dxa"/>
            <w:shd w:val="clear" w:color="auto" w:fill="C4EFCE"/>
            <w:noWrap/>
            <w:vAlign w:val="center"/>
            <w:hideMark/>
          </w:tcPr>
          <w:p w14:paraId="6894F559"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5954B06" w14:textId="77777777" w:rsidR="00776A1F" w:rsidRDefault="00D8574B">
            <w:pPr>
              <w:pStyle w:val="P68B1DB1-Normal8"/>
              <w:spacing w:after="0" w:line="240" w:lineRule="auto"/>
              <w:jc w:val="both"/>
              <w:rPr>
                <w:rFonts w:eastAsia="Times New Roman" w:cs="Calibri"/>
                <w:noProof/>
              </w:rPr>
            </w:pPr>
            <w:r>
              <w:rPr>
                <w:noProof/>
              </w:rPr>
              <w:t>Papildu individuālo lietotāju skaits gadā, kas piekļūst Azoru salu reģionālā veselības dienesta lietotāju portālam, pateicoties digitālo veselības pakalpojumu un tajā pieejamās medicīniskās informācijas paplašināšanai.</w:t>
            </w:r>
          </w:p>
        </w:tc>
      </w:tr>
      <w:tr w:rsidR="00776A1F" w14:paraId="2C6F55F9" w14:textId="77777777">
        <w:trPr>
          <w:trHeight w:val="430"/>
        </w:trPr>
        <w:tc>
          <w:tcPr>
            <w:tcW w:w="1135" w:type="dxa"/>
            <w:shd w:val="clear" w:color="auto" w:fill="C4EFCE"/>
            <w:noWrap/>
            <w:vAlign w:val="center"/>
            <w:hideMark/>
          </w:tcPr>
          <w:p w14:paraId="35FE58B3" w14:textId="77777777" w:rsidR="00776A1F" w:rsidRDefault="00D8574B">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799DA769" w14:textId="77777777" w:rsidR="00776A1F" w:rsidRDefault="00D8574B">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302C65ED" w14:textId="77777777"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4EF576" w14:textId="77777777" w:rsidR="00776A1F" w:rsidRDefault="00D8574B">
            <w:pPr>
              <w:pStyle w:val="P68B1DB1-Normal8"/>
              <w:spacing w:after="0" w:line="240" w:lineRule="auto"/>
              <w:jc w:val="center"/>
              <w:rPr>
                <w:rFonts w:eastAsia="Times New Roman" w:cs="Calibri"/>
                <w:noProof/>
              </w:rPr>
            </w:pPr>
            <w:r>
              <w:rPr>
                <w:noProof/>
              </w:rPr>
              <w:t>Telemedicīnas iecelšana Azoru salu reģionālajā veselības dienestā</w:t>
            </w:r>
          </w:p>
        </w:tc>
        <w:tc>
          <w:tcPr>
            <w:tcW w:w="1418" w:type="dxa"/>
            <w:shd w:val="clear" w:color="auto" w:fill="C4EFCE"/>
            <w:noWrap/>
            <w:vAlign w:val="center"/>
            <w:hideMark/>
          </w:tcPr>
          <w:p w14:paraId="1A2B8AD5" w14:textId="77777777" w:rsidR="00776A1F" w:rsidRDefault="00D8574B">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379D47D" w14:textId="77777777"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hideMark/>
          </w:tcPr>
          <w:p w14:paraId="43D98159" w14:textId="77777777"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44072E" w14:textId="77777777" w:rsidR="00776A1F" w:rsidRDefault="00D8574B">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ED42D00" w14:textId="77777777" w:rsidR="00776A1F" w:rsidRDefault="00D8574B">
            <w:pPr>
              <w:pStyle w:val="P68B1DB1-Normal8"/>
              <w:spacing w:after="0" w:line="240" w:lineRule="auto"/>
              <w:jc w:val="center"/>
              <w:rPr>
                <w:rFonts w:eastAsia="Times New Roman" w:cs="Calibri"/>
                <w:noProof/>
              </w:rPr>
            </w:pPr>
            <w:r>
              <w:rPr>
                <w:noProof/>
              </w:rPr>
              <w:t>3. CET.</w:t>
            </w:r>
          </w:p>
        </w:tc>
        <w:tc>
          <w:tcPr>
            <w:tcW w:w="901" w:type="dxa"/>
            <w:shd w:val="clear" w:color="auto" w:fill="C4EFCE"/>
            <w:noWrap/>
            <w:vAlign w:val="center"/>
            <w:hideMark/>
          </w:tcPr>
          <w:p w14:paraId="5CCF492B" w14:textId="77777777" w:rsidR="00776A1F" w:rsidRDefault="00D8574B">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1736CD51" w14:textId="77777777" w:rsidR="00776A1F" w:rsidRDefault="00D8574B">
            <w:pPr>
              <w:pStyle w:val="P68B1DB1-Normal8"/>
              <w:spacing w:after="0" w:line="240" w:lineRule="auto"/>
              <w:jc w:val="both"/>
              <w:rPr>
                <w:rFonts w:eastAsia="Times New Roman" w:cs="Calibri"/>
                <w:noProof/>
              </w:rPr>
            </w:pPr>
            <w:r>
              <w:rPr>
                <w:noProof/>
              </w:rPr>
              <w:t>Ikgadējo telemedicīnas apmeklējumu skaits primārajos veselības aprūpes pakalpojumos un pie medicīnas speciālistiem Azoru salu reģionālajā veselības dienestā.</w:t>
            </w:r>
          </w:p>
        </w:tc>
      </w:tr>
      <w:tr w:rsidR="00776A1F" w14:paraId="0EE038BE" w14:textId="77777777">
        <w:trPr>
          <w:trHeight w:val="640"/>
        </w:trPr>
        <w:tc>
          <w:tcPr>
            <w:tcW w:w="1135" w:type="dxa"/>
            <w:shd w:val="clear" w:color="auto" w:fill="C4EFCE"/>
            <w:noWrap/>
            <w:vAlign w:val="center"/>
          </w:tcPr>
          <w:p w14:paraId="31A01111" w14:textId="4FBAFE14" w:rsidR="00776A1F" w:rsidRDefault="00D8574B">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tcPr>
          <w:p w14:paraId="64BB902A" w14:textId="53831F49" w:rsidR="00776A1F" w:rsidRDefault="00D8574B">
            <w:pPr>
              <w:pStyle w:val="P68B1DB1-Normal8"/>
              <w:spacing w:after="0" w:line="240" w:lineRule="auto"/>
              <w:jc w:val="center"/>
              <w:rPr>
                <w:rFonts w:eastAsia="Times New Roman" w:cs="Calibri"/>
                <w:noProof/>
              </w:rPr>
            </w:pPr>
            <w:r>
              <w:rPr>
                <w:noProof/>
              </w:rPr>
              <w:t>Re-C01-i09</w:t>
            </w:r>
          </w:p>
        </w:tc>
        <w:tc>
          <w:tcPr>
            <w:tcW w:w="992" w:type="dxa"/>
            <w:shd w:val="clear" w:color="auto" w:fill="C4EFCE"/>
            <w:noWrap/>
            <w:vAlign w:val="center"/>
          </w:tcPr>
          <w:p w14:paraId="0A96970B" w14:textId="156C1E6E" w:rsidR="00776A1F" w:rsidRDefault="00D8574B">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tcPr>
          <w:p w14:paraId="4E2D372B" w14:textId="0E63E0C8" w:rsidR="00776A1F" w:rsidRDefault="00D8574B">
            <w:pPr>
              <w:pStyle w:val="P68B1DB1-Normal8"/>
              <w:spacing w:after="0" w:line="240" w:lineRule="auto"/>
              <w:jc w:val="center"/>
              <w:rPr>
                <w:rFonts w:eastAsia="Times New Roman" w:cs="Calibri"/>
                <w:noProof/>
              </w:rPr>
            </w:pPr>
            <w:r>
              <w:rPr>
                <w:noProof/>
              </w:rPr>
              <w:t>Programmu “Skolu sporta kopiena” un “Skolu sports uz riteņiem” īstenošanas pabeigšana skolās</w:t>
            </w:r>
          </w:p>
        </w:tc>
        <w:tc>
          <w:tcPr>
            <w:tcW w:w="1418" w:type="dxa"/>
            <w:shd w:val="clear" w:color="auto" w:fill="C4EFCE"/>
            <w:noWrap/>
            <w:vAlign w:val="center"/>
          </w:tcPr>
          <w:p w14:paraId="37AA52F9" w14:textId="77777777" w:rsidR="00776A1F" w:rsidRDefault="00776A1F">
            <w:pPr>
              <w:spacing w:after="0" w:line="240" w:lineRule="auto"/>
              <w:jc w:val="center"/>
              <w:rPr>
                <w:rFonts w:ascii="Calibri" w:eastAsia="Times New Roman" w:hAnsi="Calibri" w:cs="Calibri"/>
                <w:noProof/>
                <w:sz w:val="16"/>
              </w:rPr>
            </w:pPr>
          </w:p>
        </w:tc>
        <w:tc>
          <w:tcPr>
            <w:tcW w:w="1164" w:type="dxa"/>
            <w:shd w:val="clear" w:color="auto" w:fill="C4EFCE"/>
            <w:noWrap/>
            <w:vAlign w:val="center"/>
          </w:tcPr>
          <w:p w14:paraId="1C3DF8F2" w14:textId="15771FE2" w:rsidR="00776A1F" w:rsidRDefault="00D8574B">
            <w:pPr>
              <w:pStyle w:val="P68B1DB1-Normal8"/>
              <w:spacing w:after="0" w:line="240" w:lineRule="auto"/>
              <w:jc w:val="center"/>
              <w:rPr>
                <w:rFonts w:eastAsia="Times New Roman" w:cs="Calibri"/>
                <w:noProof/>
              </w:rPr>
            </w:pPr>
            <w:r>
              <w:rPr>
                <w:noProof/>
              </w:rPr>
              <w:t>Skaits</w:t>
            </w:r>
          </w:p>
        </w:tc>
        <w:tc>
          <w:tcPr>
            <w:tcW w:w="962" w:type="dxa"/>
            <w:shd w:val="clear" w:color="auto" w:fill="C4EFCE"/>
            <w:noWrap/>
            <w:vAlign w:val="center"/>
          </w:tcPr>
          <w:p w14:paraId="10841144" w14:textId="7A4A9BBC" w:rsidR="00776A1F" w:rsidRDefault="00D8574B">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tcPr>
          <w:p w14:paraId="35971DC5" w14:textId="6ECAC858" w:rsidR="00776A1F" w:rsidRDefault="00D8574B">
            <w:pPr>
              <w:pStyle w:val="P68B1DB1-Normal8"/>
              <w:spacing w:after="0" w:line="240" w:lineRule="auto"/>
              <w:jc w:val="center"/>
              <w:rPr>
                <w:rFonts w:eastAsia="Times New Roman" w:cs="Calibri"/>
                <w:noProof/>
              </w:rPr>
            </w:pPr>
            <w:r>
              <w:rPr>
                <w:noProof/>
              </w:rPr>
              <w:t>1980</w:t>
            </w:r>
          </w:p>
        </w:tc>
        <w:tc>
          <w:tcPr>
            <w:tcW w:w="833" w:type="dxa"/>
            <w:gridSpan w:val="2"/>
            <w:shd w:val="clear" w:color="auto" w:fill="C4EFCE"/>
            <w:noWrap/>
            <w:vAlign w:val="center"/>
          </w:tcPr>
          <w:p w14:paraId="015DCDA9" w14:textId="1FBC0FB9" w:rsidR="00776A1F" w:rsidRDefault="00D8574B">
            <w:pPr>
              <w:pStyle w:val="P68B1DB1-Normal8"/>
              <w:spacing w:after="0" w:line="240" w:lineRule="auto"/>
              <w:jc w:val="center"/>
              <w:rPr>
                <w:rFonts w:eastAsia="Times New Roman" w:cs="Calibri"/>
                <w:noProof/>
              </w:rPr>
            </w:pPr>
            <w:r>
              <w:rPr>
                <w:noProof/>
              </w:rPr>
              <w:t>3. CET.</w:t>
            </w:r>
          </w:p>
        </w:tc>
        <w:tc>
          <w:tcPr>
            <w:tcW w:w="901" w:type="dxa"/>
            <w:shd w:val="clear" w:color="auto" w:fill="C4EFCE"/>
            <w:noWrap/>
            <w:vAlign w:val="center"/>
          </w:tcPr>
          <w:p w14:paraId="06A77DA0" w14:textId="20CE1881"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tcPr>
          <w:p w14:paraId="628B2390" w14:textId="163A1F48" w:rsidR="00776A1F" w:rsidRDefault="00D8574B">
            <w:pPr>
              <w:pStyle w:val="P68B1DB1-Normal8"/>
              <w:spacing w:after="0" w:line="240" w:lineRule="auto"/>
              <w:jc w:val="both"/>
              <w:rPr>
                <w:rFonts w:eastAsia="Times New Roman" w:cs="Calibri"/>
                <w:noProof/>
              </w:rPr>
            </w:pPr>
            <w:r>
              <w:rPr>
                <w:noProof/>
              </w:rPr>
              <w:t>Velosipēdu komplektu skaits, kas ietver dažāda lieluma velosipēdus, kas piegādāti otrā cikla skolās, lai skolēniem mācītu velosipēdu, kā arī pieaugušo velosipēdu komplektu skaits, kas piegādāti valsts skolās programmas “Skolu sporta kopiena” ietvaros</w:t>
            </w:r>
          </w:p>
        </w:tc>
      </w:tr>
      <w:tr w:rsidR="00776A1F" w14:paraId="150B873E" w14:textId="77777777">
        <w:trPr>
          <w:trHeight w:val="640"/>
        </w:trPr>
        <w:tc>
          <w:tcPr>
            <w:tcW w:w="1135" w:type="dxa"/>
            <w:shd w:val="clear" w:color="auto" w:fill="C4EFCE"/>
            <w:noWrap/>
            <w:vAlign w:val="center"/>
            <w:hideMark/>
          </w:tcPr>
          <w:p w14:paraId="0C72F16B" w14:textId="77777777" w:rsidR="00776A1F" w:rsidRDefault="00D8574B">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30A44D52" w14:textId="77777777" w:rsidR="00776A1F" w:rsidRDefault="00D8574B">
            <w:pPr>
              <w:pStyle w:val="P68B1DB1-Normal8"/>
              <w:spacing w:after="0" w:line="240" w:lineRule="auto"/>
              <w:jc w:val="center"/>
              <w:rPr>
                <w:rFonts w:eastAsia="Times New Roman" w:cs="Calibri"/>
                <w:noProof/>
              </w:rPr>
            </w:pPr>
            <w:r>
              <w:rPr>
                <w:noProof/>
              </w:rPr>
              <w:t>Re-C01-i09</w:t>
            </w:r>
          </w:p>
        </w:tc>
        <w:tc>
          <w:tcPr>
            <w:tcW w:w="992" w:type="dxa"/>
            <w:shd w:val="clear" w:color="auto" w:fill="C4EFCE"/>
            <w:noWrap/>
            <w:vAlign w:val="center"/>
            <w:hideMark/>
          </w:tcPr>
          <w:p w14:paraId="2A370627" w14:textId="77777777" w:rsidR="00776A1F" w:rsidRDefault="00D8574B">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BF3C4F6" w14:textId="77777777" w:rsidR="00776A1F" w:rsidRDefault="00D8574B">
            <w:pPr>
              <w:pStyle w:val="P68B1DB1-Normal8"/>
              <w:spacing w:after="0" w:line="240" w:lineRule="auto"/>
              <w:jc w:val="center"/>
              <w:rPr>
                <w:rFonts w:eastAsia="Times New Roman" w:cs="Calibri"/>
                <w:noProof/>
              </w:rPr>
            </w:pPr>
            <w:r>
              <w:rPr>
                <w:noProof/>
              </w:rPr>
              <w:t>Sākt valsts kampaņu par Universālo aktīvu dzīves atbalsta sistēmu un ar to saistīto tehnoloģisko platformu</w:t>
            </w:r>
          </w:p>
        </w:tc>
        <w:tc>
          <w:tcPr>
            <w:tcW w:w="1418" w:type="dxa"/>
            <w:shd w:val="clear" w:color="auto" w:fill="C4EFCE"/>
            <w:noWrap/>
            <w:vAlign w:val="center"/>
            <w:hideMark/>
          </w:tcPr>
          <w:p w14:paraId="71D7CD15" w14:textId="77777777" w:rsidR="00776A1F" w:rsidRDefault="00D8574B">
            <w:pPr>
              <w:pStyle w:val="P68B1DB1-Normal8"/>
              <w:spacing w:after="0" w:line="240" w:lineRule="auto"/>
              <w:jc w:val="center"/>
              <w:rPr>
                <w:rFonts w:eastAsia="Times New Roman" w:cs="Calibri"/>
                <w:noProof/>
              </w:rPr>
            </w:pPr>
            <w:r>
              <w:rPr>
                <w:noProof/>
              </w:rPr>
              <w:t>Jauni saziņas kanāli un platforma, kas darbojas valsts kampaņai “Universālā aktīvā dzīves atbalsta sistēma”</w:t>
            </w:r>
          </w:p>
        </w:tc>
        <w:tc>
          <w:tcPr>
            <w:tcW w:w="1164" w:type="dxa"/>
            <w:shd w:val="clear" w:color="auto" w:fill="C4EFCE"/>
            <w:noWrap/>
            <w:vAlign w:val="center"/>
            <w:hideMark/>
          </w:tcPr>
          <w:p w14:paraId="7EE395E9" w14:textId="77777777" w:rsidR="00776A1F" w:rsidRDefault="00D8574B">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BFB1270" w14:textId="77777777" w:rsidR="00776A1F" w:rsidRDefault="00D8574B">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9FF4A32" w14:textId="77777777" w:rsidR="00776A1F" w:rsidRDefault="00D8574B">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1CE5595" w14:textId="33DE1500" w:rsidR="00776A1F" w:rsidRDefault="00D8574B">
            <w:pPr>
              <w:pStyle w:val="P68B1DB1-Normal8"/>
              <w:spacing w:after="0" w:line="240" w:lineRule="auto"/>
              <w:jc w:val="center"/>
              <w:rPr>
                <w:rFonts w:eastAsia="Times New Roman" w:cs="Calibri"/>
                <w:noProof/>
              </w:rPr>
            </w:pPr>
            <w:r>
              <w:rPr>
                <w:noProof/>
              </w:rPr>
              <w:t>3. CET.</w:t>
            </w:r>
          </w:p>
        </w:tc>
        <w:tc>
          <w:tcPr>
            <w:tcW w:w="901" w:type="dxa"/>
            <w:shd w:val="clear" w:color="auto" w:fill="C4EFCE"/>
            <w:noWrap/>
            <w:vAlign w:val="center"/>
            <w:hideMark/>
          </w:tcPr>
          <w:p w14:paraId="63B5DA71" w14:textId="77777777" w:rsidR="00776A1F" w:rsidRDefault="00D8574B">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528A0C6D" w14:textId="77777777" w:rsidR="00776A1F" w:rsidRDefault="00D8574B">
            <w:pPr>
              <w:pStyle w:val="P68B1DB1-Normal8"/>
              <w:spacing w:after="0" w:line="240" w:lineRule="auto"/>
              <w:jc w:val="both"/>
              <w:rPr>
                <w:rFonts w:eastAsia="Times New Roman" w:cs="Calibri"/>
                <w:noProof/>
              </w:rPr>
            </w:pPr>
            <w:r>
              <w:rPr>
                <w:noProof/>
              </w:rPr>
              <w:t>Sākt valsts mēroga kampaņu par Universālo aktīvu dzīves atbalsta sistēmu un ar to saistīto tehnoloģisko platformu, lai palielinātu iedzīvotāju zināšanas par regulāras fiziskās aktivitātes priekšrocībām visās vecuma grupās un atbilstoši viņu spējām, lai veicinātu veselīgāku dzīvesveidu.</w:t>
            </w:r>
          </w:p>
        </w:tc>
      </w:tr>
      <w:tr w:rsidR="00776A1F" w14:paraId="32DDB6EB" w14:textId="77777777">
        <w:trPr>
          <w:trHeight w:val="640"/>
        </w:trPr>
        <w:tc>
          <w:tcPr>
            <w:tcW w:w="1135" w:type="dxa"/>
            <w:shd w:val="clear" w:color="auto" w:fill="C4EFCE"/>
            <w:noWrap/>
            <w:vAlign w:val="center"/>
          </w:tcPr>
          <w:p w14:paraId="5EA543BD" w14:textId="73E365A0" w:rsidR="00776A1F" w:rsidRDefault="00D8574B">
            <w:pPr>
              <w:pStyle w:val="P68B1DB1-Normal11"/>
              <w:spacing w:after="0" w:line="240" w:lineRule="auto"/>
              <w:jc w:val="center"/>
              <w:rPr>
                <w:rFonts w:eastAsia="Times New Roman" w:cstheme="minorHAnsi"/>
                <w:noProof/>
              </w:rPr>
            </w:pPr>
            <w:r>
              <w:rPr>
                <w:noProof/>
              </w:rPr>
              <w:t>1.41</w:t>
            </w:r>
          </w:p>
        </w:tc>
        <w:tc>
          <w:tcPr>
            <w:tcW w:w="1276" w:type="dxa"/>
            <w:shd w:val="clear" w:color="auto" w:fill="C4EFCE"/>
            <w:noWrap/>
            <w:vAlign w:val="center"/>
          </w:tcPr>
          <w:p w14:paraId="052499FB" w14:textId="346E2DBB" w:rsidR="00776A1F" w:rsidRDefault="00D8574B">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6833F05F" w14:textId="01DD35B4" w:rsidR="00776A1F" w:rsidRDefault="00D8574B">
            <w:pPr>
              <w:pStyle w:val="P68B1DB1-Normal12"/>
              <w:spacing w:after="0" w:line="240" w:lineRule="auto"/>
              <w:jc w:val="center"/>
              <w:rPr>
                <w:rFonts w:eastAsia="Times New Roman" w:cstheme="minorHAnsi"/>
                <w:noProof/>
                <w:highlight w:val="cyan"/>
              </w:rPr>
            </w:pPr>
            <w:r>
              <w:rPr>
                <w:noProof/>
              </w:rPr>
              <w:t>M</w:t>
            </w:r>
          </w:p>
        </w:tc>
        <w:tc>
          <w:tcPr>
            <w:tcW w:w="1843" w:type="dxa"/>
            <w:shd w:val="clear" w:color="auto" w:fill="C4EFCE"/>
            <w:noWrap/>
            <w:vAlign w:val="center"/>
          </w:tcPr>
          <w:p w14:paraId="2B996393" w14:textId="1E61FAE8" w:rsidR="00776A1F" w:rsidRDefault="00D8574B">
            <w:pPr>
              <w:pStyle w:val="P68B1DB1-Normal12"/>
              <w:spacing w:after="0" w:line="240" w:lineRule="auto"/>
              <w:jc w:val="center"/>
              <w:rPr>
                <w:rFonts w:eastAsia="Times New Roman" w:cstheme="minorHAnsi"/>
                <w:noProof/>
                <w:highlight w:val="cyan"/>
              </w:rPr>
            </w:pPr>
            <w:r>
              <w:rPr>
                <w:noProof/>
              </w:rPr>
              <w:t>Ziņojuma apstiprināšana, kurā apzinātas NHS vajadzības smagajam medicīniskajam aprīkojumam</w:t>
            </w:r>
          </w:p>
        </w:tc>
        <w:tc>
          <w:tcPr>
            <w:tcW w:w="1418" w:type="dxa"/>
            <w:shd w:val="clear" w:color="auto" w:fill="C4EFCE"/>
            <w:noWrap/>
            <w:vAlign w:val="center"/>
          </w:tcPr>
          <w:p w14:paraId="368DC9EE" w14:textId="2FE358D2" w:rsidR="00776A1F" w:rsidRDefault="00D8574B">
            <w:pPr>
              <w:pStyle w:val="P68B1DB1-Normal12"/>
              <w:spacing w:after="0" w:line="240" w:lineRule="auto"/>
              <w:jc w:val="center"/>
              <w:rPr>
                <w:rFonts w:eastAsia="Times New Roman" w:cstheme="minorHAnsi"/>
                <w:noProof/>
                <w:highlight w:val="cyan"/>
              </w:rPr>
            </w:pPr>
            <w:r>
              <w:rPr>
                <w:noProof/>
              </w:rPr>
              <w:t>Ziņojuma apstiprināšana</w:t>
            </w:r>
          </w:p>
        </w:tc>
        <w:tc>
          <w:tcPr>
            <w:tcW w:w="1164" w:type="dxa"/>
            <w:shd w:val="clear" w:color="auto" w:fill="C4EFCE"/>
            <w:noWrap/>
            <w:vAlign w:val="center"/>
          </w:tcPr>
          <w:p w14:paraId="78888CE5" w14:textId="77777777" w:rsidR="00776A1F" w:rsidRDefault="00776A1F">
            <w:pPr>
              <w:spacing w:after="0" w:line="240" w:lineRule="auto"/>
              <w:jc w:val="center"/>
              <w:rPr>
                <w:rFonts w:eastAsia="Times New Roman" w:cstheme="minorHAnsi"/>
                <w:noProof/>
                <w:sz w:val="16"/>
              </w:rPr>
            </w:pPr>
          </w:p>
        </w:tc>
        <w:tc>
          <w:tcPr>
            <w:tcW w:w="962" w:type="dxa"/>
            <w:shd w:val="clear" w:color="auto" w:fill="C4EFCE"/>
            <w:noWrap/>
            <w:vAlign w:val="center"/>
          </w:tcPr>
          <w:p w14:paraId="29921A70" w14:textId="77777777" w:rsidR="00776A1F" w:rsidRDefault="00776A1F">
            <w:pPr>
              <w:spacing w:after="0" w:line="240" w:lineRule="auto"/>
              <w:jc w:val="center"/>
              <w:rPr>
                <w:rFonts w:eastAsia="Times New Roman" w:cstheme="minorHAnsi"/>
                <w:noProof/>
                <w:sz w:val="16"/>
              </w:rPr>
            </w:pPr>
          </w:p>
        </w:tc>
        <w:tc>
          <w:tcPr>
            <w:tcW w:w="805" w:type="dxa"/>
            <w:shd w:val="clear" w:color="auto" w:fill="C4EFCE"/>
            <w:noWrap/>
            <w:vAlign w:val="center"/>
          </w:tcPr>
          <w:p w14:paraId="650D0E3B" w14:textId="77777777" w:rsidR="00776A1F" w:rsidRDefault="00776A1F">
            <w:pPr>
              <w:spacing w:after="0" w:line="240" w:lineRule="auto"/>
              <w:jc w:val="center"/>
              <w:rPr>
                <w:rFonts w:eastAsia="Times New Roman" w:cstheme="minorHAnsi"/>
                <w:noProof/>
                <w:sz w:val="16"/>
              </w:rPr>
            </w:pPr>
          </w:p>
        </w:tc>
        <w:tc>
          <w:tcPr>
            <w:tcW w:w="833" w:type="dxa"/>
            <w:gridSpan w:val="2"/>
            <w:shd w:val="clear" w:color="auto" w:fill="C4EFCE"/>
            <w:noWrap/>
            <w:vAlign w:val="center"/>
          </w:tcPr>
          <w:p w14:paraId="40E7DB94" w14:textId="3FD34628" w:rsidR="00776A1F" w:rsidRDefault="00D8574B">
            <w:pPr>
              <w:pStyle w:val="P68B1DB1-Normal12"/>
              <w:spacing w:after="0" w:line="240" w:lineRule="auto"/>
              <w:jc w:val="center"/>
              <w:rPr>
                <w:rFonts w:eastAsia="Times New Roman" w:cstheme="minorHAnsi"/>
                <w:noProof/>
                <w:highlight w:val="cyan"/>
              </w:rPr>
            </w:pPr>
            <w:r>
              <w:rPr>
                <w:noProof/>
              </w:rPr>
              <w:t>3. CET.</w:t>
            </w:r>
          </w:p>
        </w:tc>
        <w:tc>
          <w:tcPr>
            <w:tcW w:w="901" w:type="dxa"/>
            <w:shd w:val="clear" w:color="auto" w:fill="C4EFCE"/>
            <w:noWrap/>
            <w:vAlign w:val="center"/>
          </w:tcPr>
          <w:p w14:paraId="19DF970F" w14:textId="27374C84" w:rsidR="00776A1F" w:rsidRDefault="00D8574B">
            <w:pPr>
              <w:pStyle w:val="P68B1DB1-Normal12"/>
              <w:spacing w:after="0" w:line="240" w:lineRule="auto"/>
              <w:jc w:val="center"/>
              <w:rPr>
                <w:rFonts w:eastAsia="Times New Roman" w:cstheme="minorHAnsi"/>
                <w:noProof/>
                <w:highlight w:val="cyan"/>
              </w:rPr>
            </w:pPr>
            <w:r>
              <w:rPr>
                <w:noProof/>
              </w:rPr>
              <w:t>2023</w:t>
            </w:r>
          </w:p>
        </w:tc>
        <w:tc>
          <w:tcPr>
            <w:tcW w:w="3981" w:type="dxa"/>
            <w:shd w:val="clear" w:color="auto" w:fill="C4EFCE"/>
            <w:noWrap/>
            <w:vAlign w:val="center"/>
          </w:tcPr>
          <w:p w14:paraId="31B2C935" w14:textId="47B64D40" w:rsidR="00776A1F" w:rsidRDefault="00D8574B">
            <w:pPr>
              <w:pStyle w:val="P68B1DB1-Normal12"/>
              <w:spacing w:after="0" w:line="240" w:lineRule="auto"/>
              <w:jc w:val="both"/>
              <w:rPr>
                <w:rFonts w:eastAsia="Times New Roman" w:cstheme="minorHAnsi"/>
                <w:noProof/>
                <w:highlight w:val="cyan"/>
              </w:rPr>
            </w:pPr>
            <w:r>
              <w:rPr>
                <w:noProof/>
              </w:rPr>
              <w:t xml:space="preserve">Veselības ministrijas apstiprinātais ziņojums, kurā apzinātas Valsts veselības dienesta slimnīcas vajadzības pēc smagā medicīniskā aprīkojuma. Šajā ziņojumā norāda gan vajadzību pirmo reizi iegādāties šāda veida aprīkojumu, gan nepieciešamību aizstāt esošās smagās medicīniskās iekārtas. </w:t>
            </w:r>
          </w:p>
        </w:tc>
      </w:tr>
      <w:tr w:rsidR="00776A1F" w14:paraId="7BB31006" w14:textId="77777777">
        <w:trPr>
          <w:trHeight w:val="1265"/>
        </w:trPr>
        <w:tc>
          <w:tcPr>
            <w:tcW w:w="1135" w:type="dxa"/>
            <w:shd w:val="clear" w:color="auto" w:fill="C4EFCE"/>
            <w:noWrap/>
            <w:vAlign w:val="center"/>
          </w:tcPr>
          <w:p w14:paraId="2BC5216A" w14:textId="01C240B8" w:rsidR="00776A1F" w:rsidRDefault="00D8574B">
            <w:pPr>
              <w:pStyle w:val="P68B1DB1-Normal11"/>
              <w:spacing w:after="0" w:line="240" w:lineRule="auto"/>
              <w:jc w:val="center"/>
              <w:rPr>
                <w:rFonts w:eastAsia="Times New Roman" w:cstheme="minorHAnsi"/>
                <w:noProof/>
              </w:rPr>
            </w:pPr>
            <w:r>
              <w:rPr>
                <w:noProof/>
              </w:rPr>
              <w:t>1.42</w:t>
            </w:r>
          </w:p>
        </w:tc>
        <w:tc>
          <w:tcPr>
            <w:tcW w:w="1276" w:type="dxa"/>
            <w:shd w:val="clear" w:color="auto" w:fill="C4EFCE"/>
            <w:noWrap/>
            <w:vAlign w:val="center"/>
          </w:tcPr>
          <w:p w14:paraId="449FB587" w14:textId="4BFA8415" w:rsidR="00776A1F" w:rsidRDefault="00D8574B">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3E03C39A" w14:textId="64A9F783" w:rsidR="00776A1F" w:rsidRDefault="00D8574B">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3173B055" w14:textId="67894D48" w:rsidR="00776A1F" w:rsidRDefault="00D8574B">
            <w:pPr>
              <w:pStyle w:val="P68B1DB1-Normal12"/>
              <w:spacing w:after="0" w:line="240" w:lineRule="auto"/>
              <w:jc w:val="center"/>
              <w:rPr>
                <w:rFonts w:eastAsia="Times New Roman" w:cstheme="minorHAnsi"/>
                <w:noProof/>
                <w:highlight w:val="cyan"/>
              </w:rPr>
            </w:pPr>
            <w:r>
              <w:rPr>
                <w:noProof/>
              </w:rPr>
              <w:t>Smaga medicīniskā aprīkojuma iegāde</w:t>
            </w:r>
          </w:p>
        </w:tc>
        <w:tc>
          <w:tcPr>
            <w:tcW w:w="1418" w:type="dxa"/>
            <w:shd w:val="clear" w:color="auto" w:fill="C4EFCE"/>
            <w:noWrap/>
            <w:vAlign w:val="center"/>
          </w:tcPr>
          <w:p w14:paraId="3E4067FF" w14:textId="77777777" w:rsidR="00776A1F" w:rsidRDefault="00776A1F">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47E2878A" w14:textId="1966A431" w:rsidR="00776A1F" w:rsidRDefault="00D8574B">
            <w:pPr>
              <w:pStyle w:val="P68B1DB1-Normal12"/>
              <w:spacing w:after="0" w:line="240" w:lineRule="auto"/>
              <w:jc w:val="center"/>
              <w:rPr>
                <w:rFonts w:eastAsia="Times New Roman" w:cstheme="minorHAnsi"/>
                <w:noProof/>
              </w:rPr>
            </w:pPr>
            <w:r>
              <w:rPr>
                <w:noProof/>
              </w:rPr>
              <w:t xml:space="preserve">Skaits </w:t>
            </w:r>
          </w:p>
        </w:tc>
        <w:tc>
          <w:tcPr>
            <w:tcW w:w="962" w:type="dxa"/>
            <w:shd w:val="clear" w:color="auto" w:fill="C4EFCE"/>
            <w:noWrap/>
            <w:vAlign w:val="center"/>
          </w:tcPr>
          <w:p w14:paraId="5876942B" w14:textId="11B5A7E5" w:rsidR="00776A1F" w:rsidRDefault="00D8574B">
            <w:pPr>
              <w:pStyle w:val="P68B1DB1-Normal12"/>
              <w:spacing w:after="0" w:line="240" w:lineRule="auto"/>
              <w:jc w:val="center"/>
              <w:rPr>
                <w:rFonts w:eastAsia="Times New Roman" w:cstheme="minorHAnsi"/>
                <w:noProof/>
              </w:rPr>
            </w:pPr>
            <w:r>
              <w:rPr>
                <w:noProof/>
              </w:rPr>
              <w:t>0</w:t>
            </w:r>
          </w:p>
        </w:tc>
        <w:tc>
          <w:tcPr>
            <w:tcW w:w="805" w:type="dxa"/>
            <w:shd w:val="clear" w:color="auto" w:fill="C4EFCE"/>
            <w:noWrap/>
            <w:vAlign w:val="center"/>
          </w:tcPr>
          <w:p w14:paraId="581F2A0F" w14:textId="00F6C999" w:rsidR="00776A1F" w:rsidRDefault="00D8574B">
            <w:pPr>
              <w:pStyle w:val="P68B1DB1-Normal12"/>
              <w:spacing w:after="0" w:line="240" w:lineRule="auto"/>
              <w:jc w:val="center"/>
              <w:rPr>
                <w:rFonts w:eastAsia="Times New Roman" w:cstheme="minorHAnsi"/>
                <w:noProof/>
              </w:rPr>
            </w:pPr>
            <w:r>
              <w:rPr>
                <w:noProof/>
              </w:rPr>
              <w:t>19</w:t>
            </w:r>
          </w:p>
        </w:tc>
        <w:tc>
          <w:tcPr>
            <w:tcW w:w="833" w:type="dxa"/>
            <w:gridSpan w:val="2"/>
            <w:shd w:val="clear" w:color="auto" w:fill="C4EFCE"/>
            <w:noWrap/>
            <w:vAlign w:val="center"/>
          </w:tcPr>
          <w:p w14:paraId="3E9D65A1" w14:textId="16A0980D" w:rsidR="00776A1F" w:rsidRDefault="00D8574B">
            <w:pPr>
              <w:pStyle w:val="P68B1DB1-Normal12"/>
              <w:spacing w:after="0" w:line="240" w:lineRule="auto"/>
              <w:jc w:val="center"/>
              <w:rPr>
                <w:rFonts w:eastAsia="Times New Roman" w:cstheme="minorHAnsi"/>
                <w:noProof/>
                <w:highlight w:val="cyan"/>
              </w:rPr>
            </w:pPr>
            <w:r>
              <w:rPr>
                <w:noProof/>
              </w:rPr>
              <w:t>4. CET.</w:t>
            </w:r>
          </w:p>
        </w:tc>
        <w:tc>
          <w:tcPr>
            <w:tcW w:w="901" w:type="dxa"/>
            <w:shd w:val="clear" w:color="auto" w:fill="C4EFCE"/>
            <w:noWrap/>
            <w:vAlign w:val="center"/>
          </w:tcPr>
          <w:p w14:paraId="3750A5B5" w14:textId="29F5D74F" w:rsidR="00776A1F" w:rsidRDefault="00D8574B">
            <w:pPr>
              <w:pStyle w:val="P68B1DB1-Normal12"/>
              <w:spacing w:after="0" w:line="240" w:lineRule="auto"/>
              <w:jc w:val="center"/>
              <w:rPr>
                <w:rFonts w:eastAsia="Times New Roman" w:cstheme="minorHAnsi"/>
                <w:noProof/>
                <w:highlight w:val="cyan"/>
              </w:rPr>
            </w:pPr>
            <w:r>
              <w:rPr>
                <w:noProof/>
              </w:rPr>
              <w:t>2024</w:t>
            </w:r>
          </w:p>
        </w:tc>
        <w:tc>
          <w:tcPr>
            <w:tcW w:w="3981" w:type="dxa"/>
            <w:shd w:val="clear" w:color="auto" w:fill="C4EFCE"/>
            <w:noWrap/>
            <w:vAlign w:val="center"/>
          </w:tcPr>
          <w:p w14:paraId="2BF1F0E3" w14:textId="204916E6" w:rsidR="00776A1F" w:rsidRDefault="00D8574B">
            <w:pPr>
              <w:pStyle w:val="P68B1DB1-Bodytext1013"/>
              <w:spacing w:after="0" w:line="240" w:lineRule="auto"/>
              <w:rPr>
                <w:rFonts w:cstheme="minorBidi"/>
                <w:noProof/>
              </w:rPr>
            </w:pPr>
            <w:r>
              <w:rPr>
                <w:noProof/>
              </w:rPr>
              <w:t xml:space="preserve">Smagā medicīniskā aprīkojuma skaits, kas iepirkts NHS slimnīcām saskaņā ar ziņojumā norādītajām vajadzībām, kā norādīts 1.41. punktā. </w:t>
            </w:r>
          </w:p>
        </w:tc>
      </w:tr>
      <w:tr w:rsidR="00776A1F" w14:paraId="53D663E6" w14:textId="77777777">
        <w:trPr>
          <w:trHeight w:val="640"/>
        </w:trPr>
        <w:tc>
          <w:tcPr>
            <w:tcW w:w="1135" w:type="dxa"/>
            <w:shd w:val="clear" w:color="auto" w:fill="C4EFCE"/>
            <w:noWrap/>
            <w:vAlign w:val="center"/>
          </w:tcPr>
          <w:p w14:paraId="3A65D11A" w14:textId="50F5E0C2" w:rsidR="00776A1F" w:rsidRDefault="00D8574B">
            <w:pPr>
              <w:pStyle w:val="P68B1DB1-Normal11"/>
              <w:spacing w:after="0" w:line="240" w:lineRule="auto"/>
              <w:jc w:val="center"/>
              <w:rPr>
                <w:rFonts w:eastAsia="Times New Roman" w:cstheme="minorHAnsi"/>
                <w:noProof/>
              </w:rPr>
            </w:pPr>
            <w:r>
              <w:rPr>
                <w:noProof/>
              </w:rPr>
              <w:t>1.43</w:t>
            </w:r>
          </w:p>
        </w:tc>
        <w:tc>
          <w:tcPr>
            <w:tcW w:w="1276" w:type="dxa"/>
            <w:shd w:val="clear" w:color="auto" w:fill="C4EFCE"/>
            <w:noWrap/>
            <w:vAlign w:val="center"/>
          </w:tcPr>
          <w:p w14:paraId="6F139DBF" w14:textId="6AAC2AA7" w:rsidR="00776A1F" w:rsidRDefault="00D8574B">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5E979747" w14:textId="69ED3709" w:rsidR="00776A1F" w:rsidRDefault="00D8574B">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78937866" w14:textId="4C654376" w:rsidR="00776A1F" w:rsidRDefault="00D8574B">
            <w:pPr>
              <w:pStyle w:val="P68B1DB1-Normal12"/>
              <w:spacing w:after="0" w:line="240" w:lineRule="auto"/>
              <w:jc w:val="center"/>
              <w:rPr>
                <w:rFonts w:eastAsia="Times New Roman" w:cstheme="minorHAnsi"/>
                <w:noProof/>
                <w:highlight w:val="cyan"/>
              </w:rPr>
            </w:pPr>
            <w:r>
              <w:rPr>
                <w:noProof/>
              </w:rPr>
              <w:t>Smaga medicīniskā aprīkojuma iegāde</w:t>
            </w:r>
          </w:p>
        </w:tc>
        <w:tc>
          <w:tcPr>
            <w:tcW w:w="1418" w:type="dxa"/>
            <w:shd w:val="clear" w:color="auto" w:fill="C4EFCE"/>
            <w:noWrap/>
            <w:vAlign w:val="center"/>
          </w:tcPr>
          <w:p w14:paraId="4C7ED9B0" w14:textId="77777777" w:rsidR="00776A1F" w:rsidRDefault="00776A1F">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39721FDC" w14:textId="63D9F4FC" w:rsidR="00776A1F" w:rsidRDefault="00D8574B">
            <w:pPr>
              <w:pStyle w:val="P68B1DB1-Normal12"/>
              <w:spacing w:after="0" w:line="240" w:lineRule="auto"/>
              <w:jc w:val="center"/>
              <w:rPr>
                <w:rFonts w:eastAsia="Times New Roman" w:cstheme="minorHAnsi"/>
                <w:noProof/>
              </w:rPr>
            </w:pPr>
            <w:r>
              <w:rPr>
                <w:noProof/>
              </w:rPr>
              <w:t xml:space="preserve">Skaits </w:t>
            </w:r>
          </w:p>
        </w:tc>
        <w:tc>
          <w:tcPr>
            <w:tcW w:w="962" w:type="dxa"/>
            <w:shd w:val="clear" w:color="auto" w:fill="C4EFCE"/>
            <w:noWrap/>
            <w:vAlign w:val="center"/>
          </w:tcPr>
          <w:p w14:paraId="6A3D1C7A" w14:textId="3B984FB3" w:rsidR="00776A1F" w:rsidRDefault="00D8574B">
            <w:pPr>
              <w:pStyle w:val="P68B1DB1-Normal12"/>
              <w:spacing w:after="0" w:line="240" w:lineRule="auto"/>
              <w:jc w:val="center"/>
              <w:rPr>
                <w:rFonts w:eastAsia="Times New Roman" w:cstheme="minorHAnsi"/>
                <w:noProof/>
              </w:rPr>
            </w:pPr>
            <w:r>
              <w:rPr>
                <w:noProof/>
              </w:rPr>
              <w:t>19</w:t>
            </w:r>
          </w:p>
        </w:tc>
        <w:tc>
          <w:tcPr>
            <w:tcW w:w="805" w:type="dxa"/>
            <w:shd w:val="clear" w:color="auto" w:fill="C4EFCE"/>
            <w:noWrap/>
            <w:vAlign w:val="center"/>
          </w:tcPr>
          <w:p w14:paraId="457A6131" w14:textId="5D364BEF" w:rsidR="00776A1F" w:rsidRDefault="00D8574B">
            <w:pPr>
              <w:pStyle w:val="P68B1DB1-Normal12"/>
              <w:spacing w:after="0" w:line="240" w:lineRule="auto"/>
              <w:jc w:val="center"/>
              <w:rPr>
                <w:rFonts w:eastAsia="Times New Roman" w:cstheme="minorHAnsi"/>
                <w:noProof/>
              </w:rPr>
            </w:pPr>
            <w:r>
              <w:rPr>
                <w:noProof/>
              </w:rPr>
              <w:t>68</w:t>
            </w:r>
          </w:p>
        </w:tc>
        <w:tc>
          <w:tcPr>
            <w:tcW w:w="833" w:type="dxa"/>
            <w:gridSpan w:val="2"/>
            <w:shd w:val="clear" w:color="auto" w:fill="C4EFCE"/>
            <w:noWrap/>
            <w:vAlign w:val="center"/>
          </w:tcPr>
          <w:p w14:paraId="02EF6BB9" w14:textId="070BFBBA" w:rsidR="00776A1F" w:rsidRDefault="00D8574B">
            <w:pPr>
              <w:pStyle w:val="P68B1DB1-Normal12"/>
              <w:spacing w:after="0" w:line="240" w:lineRule="auto"/>
              <w:jc w:val="center"/>
              <w:rPr>
                <w:rFonts w:eastAsia="Times New Roman" w:cstheme="minorHAnsi"/>
                <w:noProof/>
                <w:highlight w:val="cyan"/>
              </w:rPr>
            </w:pPr>
            <w:r>
              <w:rPr>
                <w:noProof/>
              </w:rPr>
              <w:t>2. CET.</w:t>
            </w:r>
          </w:p>
        </w:tc>
        <w:tc>
          <w:tcPr>
            <w:tcW w:w="901" w:type="dxa"/>
            <w:shd w:val="clear" w:color="auto" w:fill="C4EFCE"/>
            <w:noWrap/>
            <w:vAlign w:val="center"/>
          </w:tcPr>
          <w:p w14:paraId="3604404B" w14:textId="71C4B142" w:rsidR="00776A1F" w:rsidRDefault="00D8574B">
            <w:pPr>
              <w:pStyle w:val="P68B1DB1-Normal12"/>
              <w:spacing w:after="0" w:line="240" w:lineRule="auto"/>
              <w:jc w:val="center"/>
              <w:rPr>
                <w:rFonts w:eastAsia="Times New Roman" w:cstheme="minorHAnsi"/>
                <w:noProof/>
                <w:highlight w:val="cyan"/>
              </w:rPr>
            </w:pPr>
            <w:r>
              <w:rPr>
                <w:noProof/>
              </w:rPr>
              <w:t>2026</w:t>
            </w:r>
          </w:p>
        </w:tc>
        <w:tc>
          <w:tcPr>
            <w:tcW w:w="3981" w:type="dxa"/>
            <w:shd w:val="clear" w:color="auto" w:fill="C4EFCE"/>
            <w:noWrap/>
            <w:vAlign w:val="center"/>
          </w:tcPr>
          <w:p w14:paraId="5C235DE8" w14:textId="2F003924" w:rsidR="00776A1F" w:rsidRDefault="00D8574B">
            <w:pPr>
              <w:pStyle w:val="P68B1DB1-Normal12"/>
              <w:spacing w:after="0" w:line="240" w:lineRule="auto"/>
              <w:jc w:val="both"/>
              <w:rPr>
                <w:rFonts w:eastAsia="Times New Roman"/>
                <w:noProof/>
                <w:highlight w:val="cyan"/>
              </w:rPr>
            </w:pPr>
            <w:r>
              <w:rPr>
                <w:noProof/>
              </w:rPr>
              <w:t xml:space="preserve">Smagā medicīniskā aprīkojuma skaits, kas iepirkts NHS slimnīcām saskaņā ar ziņojumā norādītajām vajadzībām, kā norādīts 1.41. punktā. </w:t>
            </w:r>
          </w:p>
        </w:tc>
      </w:tr>
    </w:tbl>
    <w:p w14:paraId="5B15A5F5" w14:textId="77777777" w:rsidR="00776A1F" w:rsidRDefault="00776A1F">
      <w:pPr>
        <w:rPr>
          <w:rFonts w:ascii="Times New Roman" w:eastAsiaTheme="minorEastAsia" w:hAnsi="Times New Roman" w:cs="Times New Roman"/>
          <w:noProof/>
          <w:sz w:val="24"/>
        </w:rPr>
        <w:sectPr w:rsidR="00776A1F" w:rsidSect="00E00EDD">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688C9CBD"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B. 2. SASTĀVDAĻA: Mājokļi</w:t>
      </w:r>
    </w:p>
    <w:p w14:paraId="7565FEB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Portugāles atveseļošanas un noturības plāna komponents risina problēmas, kas saistītas ar pastāvīgo un pagaidu mājokļu risinājumu strukturālo trūkumu neaizsargātākajām grupām gan Portugāles kontinentālajā daļā, gan Azoru salu un Madeiras autonomajos reģionos, vienlaikus netieši veicinot sociālās aizsardzības sistēmas stiprināšanu. Publiskie mājokļi veido tikai 2 % no kopējā kapitāla Portugālē, un tos uzskata par nepietiekamiem, lai apmierinātu vistrūcīgāko personu vajadzības un sociālās atstumtības riskam. </w:t>
      </w:r>
    </w:p>
    <w:p w14:paraId="64E97637"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Komponenta galvenie mērķi ir šādi: palielināt sociālo un cenas ziņā pieejamu mājokļu piedāvājumu (tostarp pievēršoties citām saistītām vajadzībām, piemēram, pamatinfrastruktūras un aprīkojuma trūkumam, neveselīgām un nedrošām dzīvesvietām, nestabilitātei vai līgumisko saišu neesamībai, mājokļu pārapdzīvotībai vai nepiemērotībai iedzīvotāju ar invaliditāti vai ierobežotām pārvietošanās spējām īpašajām vajadzībām); izveidot valsts sabiedrības reakciju uz steidzamām un pagaidu izmitināšanas vajadzībām, kas izriet no neparedzētiem vai neparedzamiem notikumiem, piemēram, dabas katastrofām, ugunsgrēkiem, pandēmijām, migrācijas plūsmām, patvēruma pieteikumiem vai tādām nenovēršama riska situācijām kā vardarbība ģimenē, cilvēku tirdzniecība, izlikšanas risks u. c.; un iii) palielināt studentu izmitināšanas piedāvājumu par pieņemamām cenām. Ieguldījumi komponentā ietver jaunu mājokļu būvniecību un esošo mājokļu atjaunošanu. </w:t>
      </w:r>
    </w:p>
    <w:p w14:paraId="6B68FD9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komponents palīdz īstenot konkrētai valstij adresētos ieteikumus, kas Portugālei 2019. un 2020. gadā sniegti Eiropas pusgada ietvaros, jo īpaši: Uzlabot sociālās drošības tīkla efektivitāti un piemērotību (valsts īpašais ieteikums Nr. 2 2019); Garantēt pietiekamu un efektīvu sociālo aizsardzību un ienākumu atbalstu (valsts īpašais ieteikums Nr. 2 2020); un palielināt augstākās izglītības absolventu skaitu, jo īpaši zinātnes un informācijas tehnoloģiju jomā (izmantojot ieguldījumus studentu izmitināšanas jomā) (Valsts īpašais ieteikums Nr. 2 2019). Komponents arī palīdz īstenot konkrētai valstij adresēto ieteikumu par klimatisko pārkārtošanos (valsts īpašais ieteikums Nr. 3 2020). Komponents arī palīdz īstenot vairākus Eiropas sociālo tiesību pīlāra (ESTP) principus, piemēram: “Piekļuvi kvalitatīvam sociālajam mājoklim vai palīdzībai mājokļa jomā nodrošina tiem, kam tā ir vajadzīga” (EPSR 19.a); “Neaizsargātiem cilvēkiem ir tiesības uz pienācīgu palīdzību un aizsardzību pret piespiedu izlikšanu no mājokļa” (EPSR 19.b); “Bezpajumtniekiem nodrošina pienācīgu patvērumu un pakalpojumus, lai veicinātu viņu sociālo iekļaušanu” (EPSR 19.c); “Sociālā aizsardzība” (EPSR 12); “Personu ar invaliditāti iekļaušana” (EPSR 17); “Piekļuve pamatpakalpojumiem” (EPSR 20); “Izglītība, apmācība un mūžizglītība: Ikvienam ir tiesības uz kvalitatīvu un iekļaujošu izglītību, apmācību un mūžizglītību, lai saglabātu un iegūtu prasmes, kas ļauj pilnībā piedalīties sabiedrības dzīvē un veiksmīgi mainīt darbu darba tirgū” (EPSR 1). Jāiekļauj arī vides aspekti, jo īpaši veicinot jaunu būvniecību ar augstiem energoefektivitātes standartiem. </w:t>
      </w:r>
    </w:p>
    <w:p w14:paraId="35D63D83" w14:textId="77777777" w:rsidR="00776A1F" w:rsidRDefault="00D8574B">
      <w:pPr>
        <w:pStyle w:val="P68B1DB1-Normal4"/>
        <w:keepNext/>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6D10CF73" w14:textId="24918575" w:rsidR="00776A1F" w:rsidRDefault="00D8574B">
      <w:pPr>
        <w:rPr>
          <w:rFonts w:ascii="Times New Roman" w:eastAsiaTheme="minorEastAsia" w:hAnsi="Times New Roman" w:cs="Times New Roman"/>
          <w:b/>
          <w:noProof/>
          <w:sz w:val="24"/>
          <w:u w:val="single"/>
        </w:rPr>
      </w:pPr>
      <w:r>
        <w:rPr>
          <w:noProof/>
        </w:rPr>
        <w:br w:type="page"/>
      </w:r>
      <w:r>
        <w:rPr>
          <w:rFonts w:ascii="Times New Roman" w:hAnsi="Times New Roman"/>
          <w:b/>
          <w:noProof/>
          <w:sz w:val="24"/>
          <w:u w:val="single"/>
        </w:rPr>
        <w:t>B.1. Neatmaksājamam finansiālajam atbalstam pieteikto reformu un investīciju apraksts</w:t>
      </w:r>
    </w:p>
    <w:p w14:paraId="38F34ED6" w14:textId="77777777" w:rsidR="00776A1F" w:rsidRDefault="00D8574B">
      <w:pPr>
        <w:pStyle w:val="P68B1DB1-Normal5"/>
        <w:spacing w:before="240" w:after="0" w:line="259" w:lineRule="auto"/>
        <w:ind w:left="851"/>
        <w:jc w:val="both"/>
        <w:outlineLvl w:val="2"/>
        <w:rPr>
          <w:rFonts w:ascii="Segoe UI" w:eastAsiaTheme="minorEastAsia" w:hAnsi="Segoe UI" w:cs="Segoe UI"/>
          <w:noProof/>
          <w:sz w:val="18"/>
        </w:rPr>
      </w:pPr>
      <w:r>
        <w:rPr>
          <w:noProof/>
        </w:rPr>
        <w:t>Reforma RE-r04: Valsts steidzamais un pagaidu mājokļu plāns</w:t>
      </w:r>
      <w:r>
        <w:rPr>
          <w:b/>
          <w:noProof/>
        </w:rPr>
        <w:t xml:space="preserve"> </w:t>
      </w:r>
    </w:p>
    <w:p w14:paraId="69243C7C" w14:textId="77777777" w:rsidR="00776A1F" w:rsidRDefault="00D8574B">
      <w:pPr>
        <w:pStyle w:val="P68B1DB1-Normal4"/>
        <w:keepNext/>
        <w:spacing w:before="40" w:after="0" w:line="259" w:lineRule="auto"/>
        <w:jc w:val="both"/>
        <w:rPr>
          <w:rFonts w:eastAsiaTheme="minorEastAsia" w:cs="Times New Roman"/>
          <w:noProof/>
        </w:rPr>
      </w:pPr>
      <w:r>
        <w:rPr>
          <w:noProof/>
        </w:rPr>
        <w:t>Reformas mērķis ir izveidot valsts publisko tīklu, lai, atjaunojot mājokļu politiku Portugālē, reaģētu uz steidzamām un pagaidu vajadzībām mājokļu jomā nolūkā aizsargāt noteiktās mērķgrupas un veicināt sociālo iekļaušanu un apkarot nevienlīdzību.</w:t>
      </w:r>
    </w:p>
    <w:p w14:paraId="2E314B99"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 ietver strukturētas un transversālas reakcijas izveidi cilvēkiem, kam vajadzīgi ārkārtas vai pagaidu izmitināšanas risinājumi, un izstrādā nepieciešamo tiesisko un regulatīvo satvaru, lai izveidotu investīciju RE-C02-i02 (valsts ārkārtas un pagaidu izmitināšanas stipendija) pārvaldības modeli, un nosaka metodes, kā atbalstītajām personām norādīt un nosūtīt uz izmitināšanu un sociālo atbalstu. </w:t>
      </w:r>
    </w:p>
    <w:p w14:paraId="342DEB4C"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īstenošana bija jāpabeidz līdz 2021. gada 31. jūnijam.</w:t>
      </w:r>
    </w:p>
    <w:p w14:paraId="60A89DB8" w14:textId="77777777" w:rsidR="00776A1F" w:rsidRDefault="00D8574B">
      <w:pPr>
        <w:pStyle w:val="P68B1DB1-Normal5"/>
        <w:spacing w:before="240" w:after="0" w:line="259" w:lineRule="auto"/>
        <w:ind w:left="851"/>
        <w:jc w:val="both"/>
        <w:outlineLvl w:val="2"/>
        <w:rPr>
          <w:rFonts w:eastAsiaTheme="minorEastAsia" w:cs="Times New Roman"/>
          <w:b/>
          <w:noProof/>
        </w:rPr>
      </w:pPr>
      <w:r>
        <w:rPr>
          <w:noProof/>
        </w:rPr>
        <w:t>Ieguldījums RE-C02-i01: Atbalsta programma mājokļu pieejamībai</w:t>
      </w:r>
    </w:p>
    <w:p w14:paraId="3FB79740" w14:textId="77777777" w:rsidR="00776A1F" w:rsidRDefault="00D8574B">
      <w:pPr>
        <w:pStyle w:val="P68B1DB1-Normal4"/>
        <w:keepNext/>
        <w:spacing w:before="40" w:after="0" w:line="259" w:lineRule="auto"/>
        <w:jc w:val="both"/>
        <w:rPr>
          <w:rFonts w:eastAsiaTheme="minorEastAsia" w:cs="Times New Roman"/>
          <w:noProof/>
        </w:rPr>
      </w:pPr>
      <w:r>
        <w:rPr>
          <w:noProof/>
        </w:rPr>
        <w:t>Ieguldījumu mērķis ir nodrošināt pienācīgus un pienācīgus mājokļus ģimenēm ar vislielākajām vajadzībām un visneaizsargātākajām grupām. </w:t>
      </w:r>
    </w:p>
    <w:p w14:paraId="01325250" w14:textId="575F3908" w:rsidR="00776A1F" w:rsidRDefault="00D8574B">
      <w:pPr>
        <w:pStyle w:val="P68B1DB1-Normal4"/>
        <w:keepNext/>
        <w:spacing w:before="40" w:after="0" w:line="259" w:lineRule="auto"/>
        <w:jc w:val="both"/>
        <w:rPr>
          <w:rFonts w:eastAsiaTheme="minorEastAsia" w:cs="Times New Roman"/>
          <w:noProof/>
        </w:rPr>
      </w:pPr>
      <w:r>
        <w:rPr>
          <w:noProof/>
        </w:rPr>
        <w:t xml:space="preserve">Investīcijas ietver galvenokārt sociālo mājokļu mājokļu nodrošināšanu, kā arī finansiāla atbalsta sniegšanu renovācijai vai būvniecībai identificētajām mērķgrupām, kurām nav finansiālu spēju garantēt sava mājokļa pietiekamību, vismaz 26000 mājsaimniecību līdz 2026. gadam. Ieguldījumi ietver jaunu ēku būvniecību vai esošo mājokļu renovāciju, kā arī vajadzības gadījumā jaunu ēku iegādi vai ēku iznomāšanu apakšnomai. </w:t>
      </w:r>
    </w:p>
    <w:p w14:paraId="028C754C"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617C9ADB" w14:textId="77777777" w:rsidR="00776A1F" w:rsidRDefault="00D8574B">
      <w:pPr>
        <w:pStyle w:val="P68B1DB1-Normal5"/>
        <w:spacing w:before="240" w:after="0" w:line="259" w:lineRule="auto"/>
        <w:ind w:left="851"/>
        <w:jc w:val="both"/>
        <w:outlineLvl w:val="2"/>
        <w:rPr>
          <w:rFonts w:eastAsia="Times New Roman" w:cs="Times New Roman"/>
          <w:noProof/>
        </w:rPr>
      </w:pPr>
      <w:r>
        <w:rPr>
          <w:noProof/>
        </w:rPr>
        <w:t>Ieguldījums RE-C02-i02: Valsts ārkārtas un pagaidu izmitināšanas stipendija</w:t>
      </w:r>
    </w:p>
    <w:p w14:paraId="044DBC62" w14:textId="4AD6F74F" w:rsidR="00776A1F" w:rsidRDefault="00D8574B">
      <w:pPr>
        <w:pStyle w:val="P68B1DB1-Normal4"/>
        <w:spacing w:before="40" w:after="0" w:line="259" w:lineRule="auto"/>
        <w:jc w:val="both"/>
        <w:rPr>
          <w:rFonts w:eastAsia="Times New Roman" w:cs="Times New Roman"/>
          <w:noProof/>
        </w:rPr>
      </w:pPr>
      <w:r>
        <w:rPr>
          <w:noProof/>
        </w:rPr>
        <w:t xml:space="preserve">Šā ieguldījuma mērķis ir nodrošināt pagaidu vai ārkārtas izmitināšanu neaizsargātām iedzīvotāju grupām Portugāles kontinentālajā daļā. Šis ieguldījums ir paredzēts, lai īstenotu valsts steidzamā un pagaidu mājokļu plāna reformu, kas iekļauta komponentā. Plānotos intervences pasākumus veido šādi riski vai sociālās ārkārtas situācijas: neparedzami vai ārkārtēji notikumi, nepieciešamība steidzami izmitināt un nodrošināt pilnvērtīgas iespējas personām, kurām uz laiku nav pieejams mājoklis, tostarp personām, kas cietušas no vardarbības ģimenē, cilvēku tirdzniecības upuriem, personām, uz kurām attiecas starptautiskā aizsardzība, bezpajumtniekiem; ārkārtas un pienācīgi pamatotas vajadzības pēc steidzamas un pagaidu izmitināšanas personām, kurām draud nenovēršams un faktisks risks tikt atstātām bez izmitināšanas vai deinstitucionalizācijas procesā; valsts ierēdņu un darbinieku pagaidu un neaizstājamas izmitināšanas vajadzības. </w:t>
      </w:r>
    </w:p>
    <w:p w14:paraId="69716809" w14:textId="4ECEDCA8" w:rsidR="00776A1F" w:rsidRDefault="00D8574B">
      <w:pPr>
        <w:pStyle w:val="P68B1DB1-Normal4"/>
        <w:keepNext/>
        <w:spacing w:before="40" w:after="0" w:line="259" w:lineRule="auto"/>
        <w:jc w:val="both"/>
        <w:rPr>
          <w:rFonts w:eastAsia="Times New Roman" w:cs="Times New Roman"/>
          <w:noProof/>
        </w:rPr>
      </w:pPr>
      <w:r>
        <w:rPr>
          <w:noProof/>
        </w:rPr>
        <w:t>Ieguldījums ietver 2000 ārkārtas izmitināšanas vietu izveidi, kā arī 473 dzīvotnes vienību izveidi, trīs drošības spēku bloku izveidi (sabiedrības interesēs pamatotos gadījumos) un piecus centrus pagaidu izmitināšanai humānu vai drošības apsvērumu dēļ.</w:t>
      </w:r>
    </w:p>
    <w:p w14:paraId="0C5E7164" w14:textId="500D2C39"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2026. gada 30. jūnijam.</w:t>
      </w:r>
    </w:p>
    <w:p w14:paraId="2DD99C3E" w14:textId="77777777" w:rsidR="00776A1F" w:rsidRDefault="00776A1F">
      <w:pPr>
        <w:keepNext/>
        <w:spacing w:before="40" w:after="0" w:line="259" w:lineRule="auto"/>
        <w:jc w:val="both"/>
        <w:rPr>
          <w:rFonts w:ascii="Times New Roman" w:eastAsia="Times New Roman" w:hAnsi="Times New Roman" w:cs="Times New Roman"/>
          <w:noProof/>
          <w:sz w:val="24"/>
        </w:rPr>
        <w:sectPr w:rsidR="00776A1F" w:rsidSect="00E00EDD">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p w14:paraId="1E30C2F3" w14:textId="77777777" w:rsidR="00776A1F" w:rsidRDefault="00D8574B">
      <w:pPr>
        <w:pStyle w:val="P68B1DB1-Normal5"/>
        <w:spacing w:before="240" w:after="0" w:line="259" w:lineRule="auto"/>
        <w:ind w:left="851"/>
        <w:jc w:val="both"/>
        <w:outlineLvl w:val="2"/>
        <w:rPr>
          <w:rFonts w:eastAsia="Times New Roman" w:cs="Times New Roman"/>
          <w:noProof/>
        </w:rPr>
      </w:pPr>
      <w:r>
        <w:rPr>
          <w:noProof/>
        </w:rPr>
        <w:t>Ieguldījums RE-C02-i03-RAM: Sociālo mājokļu piedāvājuma stiprināšana Madeiras autonomajā reģionā</w:t>
      </w:r>
    </w:p>
    <w:p w14:paraId="4FB3B1E7" w14:textId="77777777" w:rsidR="00776A1F" w:rsidRDefault="00D8574B">
      <w:pPr>
        <w:pStyle w:val="P68B1DB1-Normal4"/>
        <w:keepNext/>
        <w:spacing w:before="40" w:after="0" w:line="259" w:lineRule="auto"/>
        <w:jc w:val="both"/>
        <w:rPr>
          <w:rFonts w:eastAsia="Times New Roman" w:cs="Times New Roman"/>
          <w:noProof/>
        </w:rPr>
      </w:pPr>
      <w:r>
        <w:rPr>
          <w:noProof/>
        </w:rPr>
        <w:t xml:space="preserve">Šā ieguldījuma mērķis ir apmierināt to ģimeņu vajadzības pēc mājokļiem, kuras dzīvo grūtos apstākļos un kurām nav finansiālu iespēju segt izmaksas, kas saistītas ar piekļuvi pienācīgam mājoklim Madeiras autonomajā reģionā. </w:t>
      </w:r>
    </w:p>
    <w:p w14:paraId="3BBCCBA7" w14:textId="70F3E827" w:rsidR="00776A1F" w:rsidRDefault="00D8574B">
      <w:pPr>
        <w:pStyle w:val="P68B1DB1-Normal4"/>
        <w:keepNext/>
        <w:spacing w:before="40" w:after="0" w:line="259" w:lineRule="auto"/>
        <w:jc w:val="both"/>
        <w:rPr>
          <w:rFonts w:eastAsia="Times New Roman" w:cs="Times New Roman"/>
          <w:noProof/>
        </w:rPr>
      </w:pPr>
      <w:r>
        <w:rPr>
          <w:noProof/>
        </w:rPr>
        <w:t>Ieguldījums ietver sociālo mājokļu būvniecību un/vai iegādi 805 mājsaimniecībām (ieguldījums ietver arī pētījumus, projektus, zemes iegādi un būvniecību), atbalsta 325 privāto mājokļu atjaunošanu (tostarp uzlabotu energoefektivitāti). Ieguldījumi paredz arī pakalpojumu iepirkumu informācijas sistēmu un e-pārvaldes risinājumu izstrādei mājokļu nozarē.</w:t>
      </w:r>
    </w:p>
    <w:p w14:paraId="54DD8C40" w14:textId="77777777"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2026. gada 30. jūnijam.</w:t>
      </w:r>
    </w:p>
    <w:p w14:paraId="525A5122" w14:textId="2ED4CDFD" w:rsidR="00776A1F" w:rsidRDefault="00D8574B">
      <w:pPr>
        <w:pStyle w:val="P68B1DB1-Normal5"/>
        <w:spacing w:before="240" w:after="0" w:line="259" w:lineRule="auto"/>
        <w:ind w:left="851"/>
        <w:jc w:val="both"/>
        <w:outlineLvl w:val="2"/>
        <w:rPr>
          <w:rFonts w:eastAsiaTheme="minorEastAsia" w:cs="Times New Roman"/>
          <w:b/>
          <w:noProof/>
        </w:rPr>
      </w:pPr>
      <w:r>
        <w:rPr>
          <w:noProof/>
        </w:rPr>
        <w:t>Ieguldījums RE-02-i04-RAA: Mājokļu apstākļu uzlabošana Azoru salu autonomā reģiona dzīvojamajā fondā</w:t>
      </w:r>
    </w:p>
    <w:p w14:paraId="6DE7760B"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Ieguldījuma mērķis ir stiprināt mājokļu piedāvājumu dažādos līmeņos pēc ievērojamas ēku degradācijas pasliktināšanās Azoru salu autonomajā reģionā un piedāvājuma samazināšanās nekustamā īpašuma tirgū. </w:t>
      </w:r>
    </w:p>
    <w:p w14:paraId="63A86507" w14:textId="455DA13E" w:rsidR="00776A1F" w:rsidRDefault="00D8574B">
      <w:pPr>
        <w:pStyle w:val="P68B1DB1-Normal4"/>
        <w:keepNext/>
        <w:spacing w:before="40" w:after="0" w:line="259" w:lineRule="auto"/>
        <w:jc w:val="both"/>
        <w:rPr>
          <w:rFonts w:eastAsia="Times New Roman" w:cs="Times New Roman"/>
          <w:noProof/>
        </w:rPr>
      </w:pPr>
      <w:r>
        <w:rPr>
          <w:noProof/>
        </w:rPr>
        <w:t>Ieguldījumus dažādās salās veido:</w:t>
      </w:r>
    </w:p>
    <w:p w14:paraId="545C36D3" w14:textId="581E192D" w:rsidR="00776A1F" w:rsidRDefault="00D8574B">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100 ēku būvniecība </w:t>
      </w:r>
    </w:p>
    <w:p w14:paraId="0C226449" w14:textId="15B8BAAD" w:rsidR="00776A1F" w:rsidRDefault="00D8574B">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75 dzīvokļu pabeigšana; un </w:t>
      </w:r>
    </w:p>
    <w:p w14:paraId="51B9C6BC" w14:textId="10E25141" w:rsidR="00776A1F" w:rsidRDefault="00D8574B">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ēku atjaunošana (63 ēku padziļināta renovācija, 329 ēku vidēja renovācija un neliela intervence 135 ēkās) kopā 527 intervences pasākumiem. </w:t>
      </w:r>
    </w:p>
    <w:p w14:paraId="3F09A5C0" w14:textId="77777777"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2025. gada 31. decembrim.</w:t>
      </w:r>
    </w:p>
    <w:p w14:paraId="0311D212" w14:textId="7E660E09" w:rsidR="00776A1F" w:rsidRDefault="00D8574B">
      <w:pPr>
        <w:pStyle w:val="P68B1DB1-Normal5"/>
        <w:spacing w:before="240" w:after="0" w:line="259" w:lineRule="auto"/>
        <w:ind w:left="851"/>
        <w:jc w:val="both"/>
        <w:outlineLvl w:val="2"/>
        <w:rPr>
          <w:rFonts w:eastAsia="Times New Roman" w:cs="Times New Roman"/>
          <w:noProof/>
        </w:rPr>
      </w:pPr>
      <w:bookmarkStart w:id="3" w:name="_Toc137472439"/>
      <w:r>
        <w:rPr>
          <w:noProof/>
        </w:rPr>
        <w:t>Ieguldījums RE-C02-i07-RAA: Infrastruktūra dzīvojamo māju zemes gabaliem</w:t>
      </w:r>
      <w:bookmarkEnd w:id="3"/>
    </w:p>
    <w:p w14:paraId="5DB4B2B6" w14:textId="2335FBC6" w:rsidR="00776A1F" w:rsidRDefault="00D8574B">
      <w:pPr>
        <w:pStyle w:val="P68B1DB1-Normal4"/>
        <w:keepNext/>
        <w:spacing w:before="40" w:after="0" w:line="259" w:lineRule="auto"/>
        <w:jc w:val="both"/>
        <w:rPr>
          <w:rFonts w:eastAsia="Times New Roman" w:cs="Times New Roman"/>
          <w:noProof/>
        </w:rPr>
      </w:pPr>
      <w:r>
        <w:rPr>
          <w:noProof/>
        </w:rPr>
        <w:t>Ieguldījuma mērķis ir izveidot vai uzlabot infrastruktūru zemes gabaliem Azoru salu autonomajā reģionā un piešķirt to izraudzītajiem kandidātiem. Mērķis ir ļaut izraudzītajiem kandidātiem uz šiem zemes gabaliem būvēt savas mājas par kontrolētām izmaksām. Šī programma ir izveidota ar 2005. gada 3. augusta Reģionālo likumdošanas dekrētu Nr. 21/2005/A. Investīcijā piešķir 145 zemes gabalus.</w:t>
      </w:r>
    </w:p>
    <w:p w14:paraId="7838D678"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Izraugoties kandidātus savu māju būvniecībai šajās partijās, priekšroka tiek dota jauniešiem (jaunāki par 35 gadiem, ja tie ir vientuļi, vai kuru kopējais vecums ir mazāks par 70 gadiem, ja viņi ir precējušies vai dzīvo kādā pārā). </w:t>
      </w:r>
    </w:p>
    <w:p w14:paraId="3788AF15" w14:textId="43A361F9" w:rsidR="00776A1F" w:rsidRDefault="00D8574B">
      <w:pPr>
        <w:pStyle w:val="P68B1DB1-Normal4"/>
        <w:keepNext/>
        <w:spacing w:before="40" w:after="0" w:line="259" w:lineRule="auto"/>
        <w:jc w:val="both"/>
        <w:rPr>
          <w:rFonts w:eastAsia="Times New Roman" w:cs="Times New Roman"/>
          <w:noProof/>
        </w:rPr>
      </w:pPr>
      <w:r>
        <w:rPr>
          <w:noProof/>
        </w:rPr>
        <w:t xml:space="preserve">Ieguldījumu īstenošanu pabeidz līdz 2026. gada 30. jūnijam. </w:t>
      </w:r>
    </w:p>
    <w:p w14:paraId="240FFEBB" w14:textId="2C357D8F" w:rsidR="00776A1F" w:rsidRDefault="00D8574B">
      <w:pPr>
        <w:pStyle w:val="P68B1DB1-Normal5"/>
        <w:spacing w:before="240" w:after="0" w:line="259" w:lineRule="auto"/>
        <w:ind w:left="851"/>
        <w:jc w:val="both"/>
        <w:outlineLvl w:val="2"/>
        <w:rPr>
          <w:rFonts w:eastAsia="Times New Roman" w:cs="Times New Roman"/>
          <w:noProof/>
        </w:rPr>
      </w:pPr>
      <w:r>
        <w:rPr>
          <w:noProof/>
        </w:rPr>
        <w:t>Ieguldījums RE-C02-i08-RAA: Sociālo mājokļu fonda stiprināšana</w:t>
      </w:r>
    </w:p>
    <w:p w14:paraId="2049FD50"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Ieguldījuma mērķis ir stiprināt Azoru salu autonomā reģiona sociālo mājokļu fondu. Ieguldījumu veido 126 mājokļu būvniecība. </w:t>
      </w:r>
    </w:p>
    <w:p w14:paraId="0909839C" w14:textId="51879CAF" w:rsidR="00776A1F" w:rsidRDefault="00D8574B">
      <w:pPr>
        <w:pStyle w:val="P68B1DB1-Normal4"/>
        <w:keepNext/>
        <w:spacing w:before="40" w:after="0" w:line="259" w:lineRule="auto"/>
        <w:jc w:val="both"/>
        <w:rPr>
          <w:rFonts w:eastAsia="Times New Roman" w:cs="Times New Roman"/>
          <w:noProof/>
        </w:rPr>
      </w:pPr>
      <w:r>
        <w:rPr>
          <w:noProof/>
        </w:rPr>
        <w:t>Ieguldījumu īstenošanu pabeidz līdz 2025. gada 31. decembrim.</w:t>
      </w:r>
    </w:p>
    <w:p w14:paraId="3AC718DE" w14:textId="77777777" w:rsidR="00776A1F" w:rsidRDefault="00776A1F">
      <w:pPr>
        <w:keepNext/>
        <w:spacing w:before="40" w:after="0" w:line="259" w:lineRule="auto"/>
        <w:jc w:val="both"/>
        <w:rPr>
          <w:rFonts w:ascii="Times New Roman" w:eastAsia="Times New Roman" w:hAnsi="Times New Roman" w:cs="Times New Roman"/>
          <w:noProof/>
          <w:sz w:val="24"/>
        </w:rPr>
      </w:pPr>
    </w:p>
    <w:p w14:paraId="54C2FD53" w14:textId="77777777" w:rsidR="00776A1F" w:rsidRDefault="00776A1F">
      <w:pPr>
        <w:keepNext/>
        <w:spacing w:before="40" w:after="0" w:line="259" w:lineRule="auto"/>
        <w:jc w:val="both"/>
        <w:rPr>
          <w:rFonts w:ascii="Times New Roman" w:eastAsia="Times New Roman" w:hAnsi="Times New Roman" w:cs="Times New Roman"/>
          <w:noProof/>
          <w:sz w:val="24"/>
        </w:rPr>
      </w:pPr>
    </w:p>
    <w:p w14:paraId="0B7342BB" w14:textId="26242C44"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48"/>
          <w:headerReference w:type="default" r:id="rId49"/>
          <w:footerReference w:type="even" r:id="rId50"/>
          <w:footerReference w:type="default" r:id="rId51"/>
          <w:headerReference w:type="first" r:id="rId52"/>
          <w:footerReference w:type="first" r:id="rId53"/>
          <w:pgSz w:w="11907" w:h="16839"/>
          <w:pgMar w:top="1134" w:right="1134" w:bottom="1134" w:left="1134" w:header="567" w:footer="567" w:gutter="0"/>
          <w:cols w:space="720"/>
          <w:docGrid w:linePitch="360"/>
        </w:sectPr>
      </w:pPr>
    </w:p>
    <w:p w14:paraId="5FD3C9BD" w14:textId="77777777" w:rsidR="00776A1F" w:rsidRDefault="00776A1F">
      <w:pPr>
        <w:spacing w:before="40" w:after="0" w:line="259" w:lineRule="auto"/>
        <w:jc w:val="both"/>
        <w:rPr>
          <w:rFonts w:ascii="Times New Roman" w:eastAsiaTheme="minorEastAsia" w:hAnsi="Times New Roman" w:cs="Times New Roman"/>
          <w:noProof/>
          <w:sz w:val="24"/>
        </w:rPr>
      </w:pPr>
    </w:p>
    <w:p w14:paraId="5AEF2E47"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B.2. Neatmaksājama finansiālā atbalsta starpposma mērķi, rādītāji un uzraudzības un īstenošanas grafiks.</w:t>
      </w:r>
    </w:p>
    <w:p w14:paraId="24CF32BC" w14:textId="77777777" w:rsidR="00776A1F" w:rsidRDefault="00776A1F">
      <w:pPr>
        <w:spacing w:before="40" w:after="0" w:line="259" w:lineRule="auto"/>
        <w:jc w:val="both"/>
        <w:rPr>
          <w:rFonts w:ascii="Times New Roman" w:eastAsiaTheme="minorEastAsia" w:hAnsi="Times New Roman" w:cs="Times New Roman"/>
          <w:b/>
          <w:noProof/>
          <w:sz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222"/>
        <w:gridCol w:w="1013"/>
        <w:gridCol w:w="1890"/>
        <w:gridCol w:w="1270"/>
        <w:gridCol w:w="961"/>
        <w:gridCol w:w="1066"/>
        <w:gridCol w:w="847"/>
        <w:gridCol w:w="455"/>
        <w:gridCol w:w="629"/>
        <w:gridCol w:w="4608"/>
      </w:tblGrid>
      <w:tr w:rsidR="00776A1F" w14:paraId="26812E46" w14:textId="77777777">
        <w:trPr>
          <w:trHeight w:val="910"/>
          <w:tblHeader/>
        </w:trPr>
        <w:tc>
          <w:tcPr>
            <w:tcW w:w="1134" w:type="dxa"/>
            <w:vMerge w:val="restart"/>
            <w:shd w:val="clear" w:color="auto" w:fill="BDD6EE"/>
            <w:vAlign w:val="center"/>
            <w:hideMark/>
          </w:tcPr>
          <w:p w14:paraId="0A302250"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304" w:type="dxa"/>
            <w:vMerge w:val="restart"/>
            <w:shd w:val="clear" w:color="auto" w:fill="BDD6EE"/>
            <w:vAlign w:val="center"/>
            <w:hideMark/>
          </w:tcPr>
          <w:p w14:paraId="73A11A92"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077" w:type="dxa"/>
            <w:vMerge w:val="restart"/>
            <w:shd w:val="clear" w:color="auto" w:fill="BDD6EE"/>
            <w:vAlign w:val="center"/>
            <w:hideMark/>
          </w:tcPr>
          <w:p w14:paraId="06854622"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2026" w:type="dxa"/>
            <w:vMerge w:val="restart"/>
            <w:shd w:val="clear" w:color="auto" w:fill="BDD6EE"/>
            <w:vAlign w:val="center"/>
            <w:hideMark/>
          </w:tcPr>
          <w:p w14:paraId="41E039D4"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355" w:type="dxa"/>
            <w:vMerge w:val="restart"/>
            <w:shd w:val="clear" w:color="auto" w:fill="BDD6EE"/>
            <w:vAlign w:val="center"/>
            <w:hideMark/>
          </w:tcPr>
          <w:p w14:paraId="52174BB0"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453" w:type="dxa"/>
            <w:gridSpan w:val="3"/>
            <w:shd w:val="clear" w:color="auto" w:fill="BDD6EE"/>
            <w:vAlign w:val="center"/>
            <w:hideMark/>
          </w:tcPr>
          <w:p w14:paraId="62BF7853"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134" w:type="dxa"/>
            <w:gridSpan w:val="2"/>
            <w:shd w:val="clear" w:color="auto" w:fill="BDD6EE"/>
            <w:vAlign w:val="center"/>
            <w:hideMark/>
          </w:tcPr>
          <w:p w14:paraId="6677FCBD"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969" w:type="dxa"/>
            <w:vMerge w:val="restart"/>
            <w:shd w:val="clear" w:color="auto" w:fill="BDD6EE"/>
            <w:noWrap/>
            <w:vAlign w:val="center"/>
            <w:hideMark/>
          </w:tcPr>
          <w:p w14:paraId="2427D0C7"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143446B6" w14:textId="77777777">
        <w:trPr>
          <w:trHeight w:val="470"/>
          <w:tblHeader/>
        </w:trPr>
        <w:tc>
          <w:tcPr>
            <w:tcW w:w="1134" w:type="dxa"/>
            <w:vMerge/>
            <w:vAlign w:val="center"/>
            <w:hideMark/>
          </w:tcPr>
          <w:p w14:paraId="44D8EDF3" w14:textId="77777777" w:rsidR="00776A1F" w:rsidRDefault="00776A1F">
            <w:pPr>
              <w:spacing w:after="0" w:line="240" w:lineRule="auto"/>
              <w:rPr>
                <w:rFonts w:ascii="Times New Roman" w:eastAsia="Times New Roman" w:hAnsi="Times New Roman" w:cs="Times New Roman"/>
                <w:b/>
                <w:noProof/>
                <w:sz w:val="18"/>
              </w:rPr>
            </w:pPr>
          </w:p>
        </w:tc>
        <w:tc>
          <w:tcPr>
            <w:tcW w:w="1304" w:type="dxa"/>
            <w:vMerge/>
            <w:vAlign w:val="center"/>
            <w:hideMark/>
          </w:tcPr>
          <w:p w14:paraId="512D57CC" w14:textId="77777777" w:rsidR="00776A1F" w:rsidRDefault="00776A1F">
            <w:pPr>
              <w:spacing w:after="0" w:line="240" w:lineRule="auto"/>
              <w:rPr>
                <w:rFonts w:ascii="Times New Roman" w:eastAsia="Times New Roman" w:hAnsi="Times New Roman" w:cs="Times New Roman"/>
                <w:b/>
                <w:noProof/>
                <w:sz w:val="18"/>
              </w:rPr>
            </w:pPr>
          </w:p>
        </w:tc>
        <w:tc>
          <w:tcPr>
            <w:tcW w:w="1077" w:type="dxa"/>
            <w:vMerge/>
            <w:vAlign w:val="center"/>
            <w:hideMark/>
          </w:tcPr>
          <w:p w14:paraId="538E02C0" w14:textId="77777777" w:rsidR="00776A1F" w:rsidRDefault="00776A1F">
            <w:pPr>
              <w:spacing w:after="0" w:line="240" w:lineRule="auto"/>
              <w:jc w:val="center"/>
              <w:rPr>
                <w:rFonts w:ascii="Times New Roman" w:eastAsia="Times New Roman" w:hAnsi="Times New Roman" w:cs="Times New Roman"/>
                <w:b/>
                <w:noProof/>
                <w:sz w:val="18"/>
              </w:rPr>
            </w:pPr>
          </w:p>
        </w:tc>
        <w:tc>
          <w:tcPr>
            <w:tcW w:w="2026" w:type="dxa"/>
            <w:vMerge/>
            <w:vAlign w:val="center"/>
            <w:hideMark/>
          </w:tcPr>
          <w:p w14:paraId="0A0C7132" w14:textId="77777777" w:rsidR="00776A1F" w:rsidRDefault="00776A1F">
            <w:pPr>
              <w:spacing w:after="0" w:line="240" w:lineRule="auto"/>
              <w:rPr>
                <w:rFonts w:ascii="Times New Roman" w:eastAsia="Times New Roman" w:hAnsi="Times New Roman" w:cs="Times New Roman"/>
                <w:b/>
                <w:noProof/>
                <w:sz w:val="18"/>
              </w:rPr>
            </w:pPr>
          </w:p>
        </w:tc>
        <w:tc>
          <w:tcPr>
            <w:tcW w:w="1355" w:type="dxa"/>
            <w:vMerge/>
            <w:vAlign w:val="center"/>
            <w:hideMark/>
          </w:tcPr>
          <w:p w14:paraId="1A5F3ECB" w14:textId="77777777" w:rsidR="00776A1F" w:rsidRDefault="00776A1F">
            <w:pPr>
              <w:spacing w:after="0" w:line="240" w:lineRule="auto"/>
              <w:rPr>
                <w:rFonts w:ascii="Times New Roman" w:eastAsia="Times New Roman" w:hAnsi="Times New Roman" w:cs="Times New Roman"/>
                <w:b/>
                <w:noProof/>
                <w:sz w:val="18"/>
              </w:rPr>
            </w:pPr>
          </w:p>
        </w:tc>
        <w:tc>
          <w:tcPr>
            <w:tcW w:w="1021" w:type="dxa"/>
            <w:shd w:val="clear" w:color="auto" w:fill="BDD6EE"/>
            <w:vAlign w:val="center"/>
            <w:hideMark/>
          </w:tcPr>
          <w:p w14:paraId="52F8AAFE"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1134" w:type="dxa"/>
            <w:shd w:val="clear" w:color="auto" w:fill="BDD6EE"/>
            <w:vAlign w:val="center"/>
            <w:hideMark/>
          </w:tcPr>
          <w:p w14:paraId="28C4A36C"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897" w:type="dxa"/>
            <w:shd w:val="clear" w:color="auto" w:fill="BDD6EE"/>
            <w:vAlign w:val="center"/>
            <w:hideMark/>
          </w:tcPr>
          <w:p w14:paraId="1ABE3536"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473" w:type="dxa"/>
            <w:shd w:val="clear" w:color="auto" w:fill="BDD6EE"/>
            <w:vAlign w:val="center"/>
            <w:hideMark/>
          </w:tcPr>
          <w:p w14:paraId="0E0C1D54" w14:textId="77777777" w:rsidR="00776A1F" w:rsidRDefault="00D8574B">
            <w:pPr>
              <w:pStyle w:val="P68B1DB1-Normal6"/>
              <w:spacing w:after="0" w:line="240" w:lineRule="auto"/>
              <w:jc w:val="center"/>
              <w:rPr>
                <w:rFonts w:eastAsia="Times New Roman" w:cs="Times New Roman"/>
                <w:noProof/>
              </w:rPr>
            </w:pPr>
            <w:r>
              <w:rPr>
                <w:noProof/>
              </w:rPr>
              <w:t>Q</w:t>
            </w:r>
          </w:p>
        </w:tc>
        <w:tc>
          <w:tcPr>
            <w:tcW w:w="625" w:type="dxa"/>
            <w:shd w:val="clear" w:color="auto" w:fill="BDD6EE"/>
            <w:vAlign w:val="center"/>
            <w:hideMark/>
          </w:tcPr>
          <w:p w14:paraId="01CDE8A6"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969" w:type="dxa"/>
            <w:vMerge/>
            <w:vAlign w:val="center"/>
            <w:hideMark/>
          </w:tcPr>
          <w:p w14:paraId="5362E692" w14:textId="77777777" w:rsidR="00776A1F" w:rsidRDefault="00776A1F">
            <w:pPr>
              <w:spacing w:after="0" w:line="240" w:lineRule="auto"/>
              <w:rPr>
                <w:rFonts w:ascii="Times New Roman" w:eastAsia="Times New Roman" w:hAnsi="Times New Roman" w:cs="Times New Roman"/>
                <w:b/>
                <w:noProof/>
                <w:sz w:val="18"/>
              </w:rPr>
            </w:pPr>
          </w:p>
        </w:tc>
      </w:tr>
      <w:tr w:rsidR="00776A1F" w14:paraId="6A7FC94D" w14:textId="77777777">
        <w:trPr>
          <w:trHeight w:val="290"/>
        </w:trPr>
        <w:tc>
          <w:tcPr>
            <w:tcW w:w="1134" w:type="dxa"/>
            <w:shd w:val="clear" w:color="auto" w:fill="C5EFCE"/>
            <w:vAlign w:val="center"/>
            <w:hideMark/>
          </w:tcPr>
          <w:p w14:paraId="34896C2A" w14:textId="77777777" w:rsidR="00776A1F" w:rsidRDefault="00D8574B">
            <w:pPr>
              <w:pStyle w:val="P68B1DB1-Normal7"/>
              <w:spacing w:after="0" w:line="240" w:lineRule="auto"/>
              <w:jc w:val="center"/>
              <w:rPr>
                <w:rFonts w:eastAsia="Times New Roman" w:cs="Calibri"/>
                <w:noProof/>
              </w:rPr>
            </w:pPr>
            <w:r>
              <w:rPr>
                <w:noProof/>
              </w:rPr>
              <w:t>2.1</w:t>
            </w:r>
          </w:p>
        </w:tc>
        <w:tc>
          <w:tcPr>
            <w:tcW w:w="1304" w:type="dxa"/>
            <w:shd w:val="clear" w:color="auto" w:fill="C4EFCE"/>
            <w:vAlign w:val="center"/>
            <w:hideMark/>
          </w:tcPr>
          <w:p w14:paraId="17075C01" w14:textId="77777777" w:rsidR="00776A1F" w:rsidRDefault="00D8574B">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1061568D"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1421DF1" w14:textId="77777777" w:rsidR="00776A1F" w:rsidRDefault="00D8574B">
            <w:pPr>
              <w:pStyle w:val="P68B1DB1-Normal8"/>
              <w:spacing w:after="0" w:line="240" w:lineRule="auto"/>
              <w:jc w:val="center"/>
              <w:rPr>
                <w:rFonts w:eastAsia="Times New Roman" w:cs="Calibri"/>
                <w:noProof/>
              </w:rPr>
            </w:pPr>
            <w:r>
              <w:rPr>
                <w:noProof/>
              </w:rPr>
              <w:t>Atbalsta programma piekļuvei mājokļiem — parakstītas sadarbības vai finansēšanas vienošanās</w:t>
            </w:r>
          </w:p>
        </w:tc>
        <w:tc>
          <w:tcPr>
            <w:tcW w:w="1355" w:type="dxa"/>
            <w:shd w:val="clear" w:color="auto" w:fill="C4EFCE"/>
            <w:vAlign w:val="center"/>
            <w:hideMark/>
          </w:tcPr>
          <w:p w14:paraId="60835B4C"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A526E05" w14:textId="5E4CF0F6"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37537AFA"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8A19566" w14:textId="77777777" w:rsidR="00776A1F" w:rsidRDefault="00D8574B">
            <w:pPr>
              <w:pStyle w:val="P68B1DB1-Normal8"/>
              <w:spacing w:after="0" w:line="240" w:lineRule="auto"/>
              <w:jc w:val="center"/>
              <w:rPr>
                <w:rFonts w:eastAsia="Times New Roman" w:cs="Calibri"/>
                <w:noProof/>
              </w:rPr>
            </w:pPr>
            <w:r>
              <w:rPr>
                <w:noProof/>
              </w:rPr>
              <w:t>75</w:t>
            </w:r>
          </w:p>
        </w:tc>
        <w:tc>
          <w:tcPr>
            <w:tcW w:w="473" w:type="dxa"/>
            <w:shd w:val="clear" w:color="auto" w:fill="C4EFCE"/>
            <w:vAlign w:val="center"/>
            <w:hideMark/>
          </w:tcPr>
          <w:p w14:paraId="09ED35F6" w14:textId="77777777" w:rsidR="00776A1F" w:rsidRDefault="00D8574B">
            <w:pPr>
              <w:pStyle w:val="P68B1DB1-Normal8"/>
              <w:spacing w:after="0" w:line="240" w:lineRule="auto"/>
              <w:jc w:val="center"/>
              <w:rPr>
                <w:rFonts w:eastAsia="Times New Roman" w:cs="Calibri"/>
                <w:noProof/>
              </w:rPr>
            </w:pPr>
            <w:r>
              <w:rPr>
                <w:noProof/>
              </w:rPr>
              <w:t>3. CET.</w:t>
            </w:r>
          </w:p>
        </w:tc>
        <w:tc>
          <w:tcPr>
            <w:tcW w:w="625" w:type="dxa"/>
            <w:shd w:val="clear" w:color="auto" w:fill="C4EFCE"/>
            <w:vAlign w:val="center"/>
            <w:hideMark/>
          </w:tcPr>
          <w:p w14:paraId="6C3BD1EA" w14:textId="77777777" w:rsidR="00776A1F" w:rsidRDefault="00D8574B">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4DF0FD03" w14:textId="77777777" w:rsidR="00776A1F" w:rsidRDefault="00D8574B">
            <w:pPr>
              <w:pStyle w:val="P68B1DB1-Normal8"/>
              <w:spacing w:after="0" w:line="240" w:lineRule="auto"/>
              <w:rPr>
                <w:rFonts w:eastAsia="Times New Roman" w:cs="Calibri"/>
                <w:noProof/>
              </w:rPr>
            </w:pPr>
            <w:r>
              <w:rPr>
                <w:noProof/>
              </w:rPr>
              <w:t xml:space="preserve">Sadarbības vai finansēšanas mehānismu parakstīšana. </w:t>
            </w:r>
          </w:p>
          <w:p w14:paraId="3127316F" w14:textId="77777777" w:rsidR="00776A1F" w:rsidRDefault="00776A1F">
            <w:pPr>
              <w:spacing w:after="0" w:line="240" w:lineRule="auto"/>
              <w:rPr>
                <w:rFonts w:ascii="Calibri" w:eastAsia="Times New Roman" w:hAnsi="Calibri" w:cs="Calibri"/>
                <w:noProof/>
                <w:sz w:val="16"/>
              </w:rPr>
            </w:pPr>
          </w:p>
          <w:p w14:paraId="47A044E4" w14:textId="5553DF5D" w:rsidR="00776A1F" w:rsidRDefault="00D8574B">
            <w:pPr>
              <w:pStyle w:val="P68B1DB1-Normal8"/>
              <w:spacing w:after="0" w:line="240" w:lineRule="auto"/>
              <w:jc w:val="both"/>
              <w:rPr>
                <w:rFonts w:eastAsia="Times New Roman" w:cs="Calibri"/>
                <w:noProof/>
              </w:rPr>
            </w:pPr>
            <w:r>
              <w:rPr>
                <w:noProof/>
              </w:rPr>
              <w:t>Pašvaldības iepazīstina ar vietējām izmitināšanas stratēģijām. Šajās stratēģijās ir noteiktas 1) visas vajadzības, kas ir atbilstīgas saskaņā ar šo programmu (kā noteikts 4. jūnija Dekrētlikumā Nr. 37/2018) un 2) struktūras, kas veicina mājokļu risinājumus. Pēc tam, kad IHRU (Mājokļu un pilsētu rehabilitācijas institūts) ir apstiprinājis vietējo izmitināšanas stratēģiju atbilstību programmai, tiek parakstīti sadarbības nolīgumi ar pašvaldībām vai finansēšanas nolīgumi ar citiem saņēmējiem, kuros noteikti konkrētie atbalstāmie ieguldījumi, un ir noteikts to īstenošanas termiņš.</w:t>
            </w:r>
          </w:p>
        </w:tc>
      </w:tr>
      <w:tr w:rsidR="00776A1F" w14:paraId="31DBD300" w14:textId="77777777">
        <w:trPr>
          <w:trHeight w:val="2949"/>
        </w:trPr>
        <w:tc>
          <w:tcPr>
            <w:tcW w:w="1134" w:type="dxa"/>
            <w:shd w:val="clear" w:color="auto" w:fill="C5EFCE"/>
            <w:vAlign w:val="center"/>
            <w:hideMark/>
          </w:tcPr>
          <w:p w14:paraId="435A6D15" w14:textId="77777777" w:rsidR="00776A1F" w:rsidRDefault="00D8574B">
            <w:pPr>
              <w:pStyle w:val="P68B1DB1-Normal7"/>
              <w:spacing w:after="0" w:line="240" w:lineRule="auto"/>
              <w:jc w:val="center"/>
              <w:rPr>
                <w:rFonts w:eastAsia="Times New Roman" w:cs="Calibri"/>
                <w:noProof/>
              </w:rPr>
            </w:pPr>
            <w:r>
              <w:rPr>
                <w:noProof/>
              </w:rPr>
              <w:t>2.2</w:t>
            </w:r>
          </w:p>
        </w:tc>
        <w:tc>
          <w:tcPr>
            <w:tcW w:w="1304" w:type="dxa"/>
            <w:shd w:val="clear" w:color="auto" w:fill="C4EFCE"/>
            <w:vAlign w:val="center"/>
            <w:hideMark/>
          </w:tcPr>
          <w:p w14:paraId="7F179DDC" w14:textId="77777777" w:rsidR="00776A1F" w:rsidRDefault="00D8574B">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480FFBF4"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841A35F" w14:textId="77777777" w:rsidR="00776A1F" w:rsidRDefault="00D8574B">
            <w:pPr>
              <w:pStyle w:val="P68B1DB1-Normal8"/>
              <w:spacing w:after="0" w:line="240" w:lineRule="auto"/>
              <w:jc w:val="center"/>
              <w:rPr>
                <w:rFonts w:eastAsia="Times New Roman" w:cs="Calibri"/>
                <w:noProof/>
              </w:rPr>
            </w:pPr>
            <w:r>
              <w:rPr>
                <w:noProof/>
              </w:rPr>
              <w:t>Atbalsta programma piekļuvei mājokļiem — Mājsaimniecībām nodrošināti iepirkti, būvēti (augstas energoefektivitātes) vai rehabilitēti (ar uzlabotu energoefektivitāti) mājokļi</w:t>
            </w:r>
          </w:p>
        </w:tc>
        <w:tc>
          <w:tcPr>
            <w:tcW w:w="1355" w:type="dxa"/>
            <w:shd w:val="clear" w:color="auto" w:fill="C4EFCE"/>
            <w:vAlign w:val="center"/>
            <w:hideMark/>
          </w:tcPr>
          <w:p w14:paraId="79254448"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5B97704" w14:textId="777777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5717ADD7"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427505B2" w14:textId="0DACC7D5" w:rsidR="00776A1F" w:rsidRDefault="00D8574B">
            <w:pPr>
              <w:pStyle w:val="P68B1DB1-Normal8"/>
              <w:spacing w:after="0" w:line="240" w:lineRule="auto"/>
              <w:jc w:val="center"/>
              <w:rPr>
                <w:rFonts w:eastAsia="Times New Roman" w:cs="Calibri"/>
                <w:noProof/>
              </w:rPr>
            </w:pPr>
            <w:r>
              <w:rPr>
                <w:noProof/>
              </w:rPr>
              <w:t>1 500</w:t>
            </w:r>
          </w:p>
        </w:tc>
        <w:tc>
          <w:tcPr>
            <w:tcW w:w="473" w:type="dxa"/>
            <w:shd w:val="clear" w:color="auto" w:fill="C4EFCE"/>
            <w:vAlign w:val="center"/>
            <w:hideMark/>
          </w:tcPr>
          <w:p w14:paraId="1E68496B" w14:textId="77777777" w:rsidR="00776A1F" w:rsidRDefault="00D8574B">
            <w:pPr>
              <w:pStyle w:val="P68B1DB1-Normal8"/>
              <w:spacing w:after="0" w:line="240" w:lineRule="auto"/>
              <w:jc w:val="center"/>
              <w:rPr>
                <w:rFonts w:eastAsia="Times New Roman" w:cs="Calibri"/>
                <w:noProof/>
              </w:rPr>
            </w:pPr>
            <w:r>
              <w:rPr>
                <w:noProof/>
              </w:rPr>
              <w:t>3. CET.</w:t>
            </w:r>
          </w:p>
        </w:tc>
        <w:tc>
          <w:tcPr>
            <w:tcW w:w="625" w:type="dxa"/>
            <w:shd w:val="clear" w:color="auto" w:fill="C4EFCE"/>
            <w:vAlign w:val="center"/>
            <w:hideMark/>
          </w:tcPr>
          <w:p w14:paraId="21D559DA" w14:textId="77777777" w:rsidR="00776A1F" w:rsidRDefault="00D8574B">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10E4BAB8" w14:textId="44115244" w:rsidR="00776A1F" w:rsidRDefault="00D8574B">
            <w:pPr>
              <w:pStyle w:val="P68B1DB1-Normal8"/>
              <w:spacing w:after="0" w:line="240" w:lineRule="auto"/>
              <w:jc w:val="both"/>
              <w:rPr>
                <w:rFonts w:eastAsia="Times New Roman" w:cs="Calibri"/>
                <w:noProof/>
              </w:rPr>
            </w:pPr>
            <w:r>
              <w:rPr>
                <w:noProof/>
              </w:rPr>
              <w:t xml:space="preserve">To mājokļu skaits, kas piegādāti atbilstīgajām mājsaimniecībām saskaņā ar programmu. Jaunām ēkām primārās enerģijas pieprasījums ir vismaz par 20 % mazāks par gandrīz nulles enerģijas ēku vajadzībām (izņemot projektus, kas tiek īstenoti un iekļauti 2021. un 2022. gada budžetā, proti, līdz 188 250 000 EUR no kopējā piešķīruma šim pasākumam). </w:t>
            </w:r>
          </w:p>
        </w:tc>
      </w:tr>
      <w:tr w:rsidR="00776A1F" w14:paraId="375E02BE" w14:textId="77777777">
        <w:trPr>
          <w:trHeight w:val="1691"/>
        </w:trPr>
        <w:tc>
          <w:tcPr>
            <w:tcW w:w="1134" w:type="dxa"/>
            <w:shd w:val="clear" w:color="auto" w:fill="C5EFCE"/>
            <w:vAlign w:val="center"/>
          </w:tcPr>
          <w:p w14:paraId="31060937" w14:textId="2D4F963A" w:rsidR="00776A1F" w:rsidRDefault="00D8574B">
            <w:pPr>
              <w:pStyle w:val="P68B1DB1-Normal7"/>
              <w:spacing w:after="0" w:line="240" w:lineRule="auto"/>
              <w:jc w:val="center"/>
              <w:rPr>
                <w:rFonts w:eastAsia="Times New Roman" w:cs="Calibri"/>
                <w:noProof/>
              </w:rPr>
            </w:pPr>
            <w:r>
              <w:rPr>
                <w:noProof/>
              </w:rPr>
              <w:t>2.29</w:t>
            </w:r>
          </w:p>
        </w:tc>
        <w:tc>
          <w:tcPr>
            <w:tcW w:w="1304" w:type="dxa"/>
            <w:shd w:val="clear" w:color="auto" w:fill="C4EFCE"/>
            <w:vAlign w:val="center"/>
          </w:tcPr>
          <w:p w14:paraId="4F9C5B9F" w14:textId="67E30297" w:rsidR="00776A1F" w:rsidRDefault="00D8574B">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tcPr>
          <w:p w14:paraId="3C73B808" w14:textId="0AE73BAB"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tcPr>
          <w:p w14:paraId="3E67D982" w14:textId="71A6CE76" w:rsidR="00776A1F" w:rsidRDefault="00D8574B">
            <w:pPr>
              <w:pStyle w:val="P68B1DB1-Normal8"/>
              <w:spacing w:after="0" w:line="240" w:lineRule="auto"/>
              <w:jc w:val="center"/>
              <w:rPr>
                <w:rFonts w:eastAsia="Times New Roman" w:cs="Calibri"/>
                <w:noProof/>
              </w:rPr>
            </w:pPr>
            <w:r>
              <w:rPr>
                <w:noProof/>
              </w:rPr>
              <w:t>Atbalsta programma piekļuvei mājokļiem — Mājsaimniecībām nodrošināti iepirkti, būvēti (augstas energoefektivitātes) vai rehabilitēti (ar uzlabotu energoefektivitāti) mājokļi</w:t>
            </w:r>
          </w:p>
        </w:tc>
        <w:tc>
          <w:tcPr>
            <w:tcW w:w="1355" w:type="dxa"/>
            <w:shd w:val="clear" w:color="auto" w:fill="C4EFCE"/>
            <w:vAlign w:val="center"/>
          </w:tcPr>
          <w:p w14:paraId="31101875" w14:textId="77777777" w:rsidR="00776A1F" w:rsidRDefault="00776A1F">
            <w:pPr>
              <w:spacing w:after="0" w:line="240" w:lineRule="auto"/>
              <w:jc w:val="center"/>
              <w:rPr>
                <w:rFonts w:ascii="Calibri" w:eastAsia="Times New Roman" w:hAnsi="Calibri" w:cs="Calibri"/>
                <w:noProof/>
                <w:sz w:val="16"/>
              </w:rPr>
            </w:pPr>
          </w:p>
        </w:tc>
        <w:tc>
          <w:tcPr>
            <w:tcW w:w="1021" w:type="dxa"/>
            <w:shd w:val="clear" w:color="auto" w:fill="C4EFCE"/>
            <w:vAlign w:val="center"/>
          </w:tcPr>
          <w:p w14:paraId="51871E3D" w14:textId="14F82F6A"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tcPr>
          <w:p w14:paraId="479FECEA" w14:textId="103FA3F7" w:rsidR="00776A1F" w:rsidRDefault="00D8574B">
            <w:pPr>
              <w:pStyle w:val="P68B1DB1-Normal8"/>
              <w:spacing w:after="0" w:line="240" w:lineRule="auto"/>
              <w:jc w:val="center"/>
              <w:rPr>
                <w:rFonts w:eastAsia="Times New Roman" w:cs="Calibri"/>
                <w:noProof/>
              </w:rPr>
            </w:pPr>
            <w:r>
              <w:rPr>
                <w:noProof/>
              </w:rPr>
              <w:t>1 500</w:t>
            </w:r>
          </w:p>
        </w:tc>
        <w:tc>
          <w:tcPr>
            <w:tcW w:w="897" w:type="dxa"/>
            <w:shd w:val="clear" w:color="auto" w:fill="C4EFCE"/>
            <w:vAlign w:val="center"/>
          </w:tcPr>
          <w:p w14:paraId="5D50B648" w14:textId="748205E1" w:rsidR="00776A1F" w:rsidRDefault="00D8574B">
            <w:pPr>
              <w:pStyle w:val="P68B1DB1-Normal8"/>
              <w:spacing w:after="0" w:line="240" w:lineRule="auto"/>
              <w:jc w:val="center"/>
              <w:rPr>
                <w:rFonts w:eastAsia="Times New Roman" w:cs="Calibri"/>
                <w:noProof/>
              </w:rPr>
            </w:pPr>
            <w:r>
              <w:rPr>
                <w:noProof/>
              </w:rPr>
              <w:t>10 000</w:t>
            </w:r>
          </w:p>
        </w:tc>
        <w:tc>
          <w:tcPr>
            <w:tcW w:w="473" w:type="dxa"/>
            <w:shd w:val="clear" w:color="auto" w:fill="C4EFCE"/>
            <w:vAlign w:val="center"/>
          </w:tcPr>
          <w:p w14:paraId="7C6DC9DC" w14:textId="3B28900F" w:rsidR="00776A1F" w:rsidRDefault="00D8574B">
            <w:pPr>
              <w:pStyle w:val="P68B1DB1-Normal8"/>
              <w:spacing w:after="0" w:line="240" w:lineRule="auto"/>
              <w:jc w:val="center"/>
              <w:rPr>
                <w:rFonts w:eastAsia="Times New Roman" w:cs="Calibri"/>
                <w:noProof/>
              </w:rPr>
            </w:pPr>
            <w:r>
              <w:rPr>
                <w:noProof/>
              </w:rPr>
              <w:t>2. CET.</w:t>
            </w:r>
          </w:p>
        </w:tc>
        <w:tc>
          <w:tcPr>
            <w:tcW w:w="625" w:type="dxa"/>
            <w:shd w:val="clear" w:color="auto" w:fill="C4EFCE"/>
            <w:vAlign w:val="center"/>
          </w:tcPr>
          <w:p w14:paraId="1AE5F7BB" w14:textId="1E2B6B17" w:rsidR="00776A1F" w:rsidRDefault="00D8574B">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tcPr>
          <w:p w14:paraId="035D8FB0" w14:textId="678DD79D" w:rsidR="00776A1F" w:rsidRDefault="00D8574B">
            <w:pPr>
              <w:pStyle w:val="P68B1DB1-Normal8"/>
              <w:spacing w:after="0" w:line="240" w:lineRule="auto"/>
              <w:jc w:val="both"/>
              <w:rPr>
                <w:rFonts w:eastAsia="Times New Roman" w:cs="Calibri"/>
                <w:noProof/>
              </w:rPr>
            </w:pPr>
            <w:r>
              <w:rPr>
                <w:noProof/>
              </w:rPr>
              <w:t xml:space="preserve">To mājokļu skaits, kas piegādāti atbilstīgajām mājsaimniecībām saskaņā ar programmu. Jaunām ēkām primārās enerģijas pieprasījums ir vismaz par 20 % mazāks par gandrīz nulles enerģijas ēku vajadzībām (izņemot projektus, kas tiek īstenoti un iekļauti 2021. un 2022. gada budžetā, proti, līdz 188 250 000 EUR no kopējā piešķīruma šim pasākumam). </w:t>
            </w:r>
          </w:p>
        </w:tc>
      </w:tr>
      <w:tr w:rsidR="00776A1F" w14:paraId="6BC82244" w14:textId="77777777">
        <w:trPr>
          <w:trHeight w:val="509"/>
        </w:trPr>
        <w:tc>
          <w:tcPr>
            <w:tcW w:w="1134" w:type="dxa"/>
            <w:shd w:val="clear" w:color="auto" w:fill="C5EFCE"/>
            <w:vAlign w:val="center"/>
            <w:hideMark/>
          </w:tcPr>
          <w:p w14:paraId="59350F65" w14:textId="77777777" w:rsidR="00776A1F" w:rsidRDefault="00D8574B">
            <w:pPr>
              <w:pStyle w:val="P68B1DB1-Normal7"/>
              <w:spacing w:after="0" w:line="240" w:lineRule="auto"/>
              <w:jc w:val="center"/>
              <w:rPr>
                <w:rFonts w:eastAsia="Times New Roman" w:cs="Calibri"/>
                <w:noProof/>
              </w:rPr>
            </w:pPr>
            <w:r>
              <w:rPr>
                <w:noProof/>
              </w:rPr>
              <w:t>2.3</w:t>
            </w:r>
          </w:p>
        </w:tc>
        <w:tc>
          <w:tcPr>
            <w:tcW w:w="1304" w:type="dxa"/>
            <w:shd w:val="clear" w:color="auto" w:fill="C4EFCE"/>
            <w:vAlign w:val="center"/>
            <w:hideMark/>
          </w:tcPr>
          <w:p w14:paraId="639C84CF" w14:textId="77777777" w:rsidR="00776A1F" w:rsidRDefault="00D8574B">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069FE15A"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E94FF9B" w14:textId="77777777" w:rsidR="00776A1F" w:rsidRDefault="00D8574B">
            <w:pPr>
              <w:pStyle w:val="P68B1DB1-Normal8"/>
              <w:spacing w:after="0" w:line="240" w:lineRule="auto"/>
              <w:jc w:val="center"/>
              <w:rPr>
                <w:rFonts w:eastAsia="Times New Roman" w:cs="Calibri"/>
                <w:noProof/>
              </w:rPr>
            </w:pPr>
            <w:r>
              <w:rPr>
                <w:noProof/>
              </w:rPr>
              <w:t xml:space="preserve">Atbalsta programma piekļuvei mājokļiem — Mājsaimniecībām nodrošināti iepirkti, būvēti (augstas energoefektivitātes) vai rehabilitēti (ar uzlabotu energoefektivitāti) mājokļi </w:t>
            </w:r>
          </w:p>
        </w:tc>
        <w:tc>
          <w:tcPr>
            <w:tcW w:w="1355" w:type="dxa"/>
            <w:shd w:val="clear" w:color="auto" w:fill="C4EFCE"/>
            <w:vAlign w:val="center"/>
            <w:hideMark/>
          </w:tcPr>
          <w:p w14:paraId="751EA2D7"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35A0186" w14:textId="777777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1EF94F6B" w14:textId="113A63A7" w:rsidR="00776A1F" w:rsidRDefault="00D8574B">
            <w:pPr>
              <w:pStyle w:val="P68B1DB1-Normal8"/>
              <w:spacing w:after="0" w:line="240" w:lineRule="auto"/>
              <w:jc w:val="center"/>
              <w:rPr>
                <w:rFonts w:eastAsia="Times New Roman" w:cs="Calibri"/>
                <w:noProof/>
              </w:rPr>
            </w:pPr>
            <w:r>
              <w:rPr>
                <w:noProof/>
              </w:rPr>
              <w:t>10 000</w:t>
            </w:r>
          </w:p>
        </w:tc>
        <w:tc>
          <w:tcPr>
            <w:tcW w:w="897" w:type="dxa"/>
            <w:shd w:val="clear" w:color="auto" w:fill="C4EFCE"/>
            <w:vAlign w:val="center"/>
            <w:hideMark/>
          </w:tcPr>
          <w:p w14:paraId="5D687843" w14:textId="4E170287" w:rsidR="00776A1F" w:rsidRDefault="00D8574B">
            <w:pPr>
              <w:pStyle w:val="P68B1DB1-Normal8"/>
              <w:spacing w:after="0" w:line="240" w:lineRule="auto"/>
              <w:jc w:val="center"/>
              <w:rPr>
                <w:rFonts w:eastAsia="Times New Roman" w:cs="Calibri"/>
                <w:noProof/>
              </w:rPr>
            </w:pPr>
            <w:r>
              <w:rPr>
                <w:noProof/>
              </w:rPr>
              <w:t>22 360</w:t>
            </w:r>
          </w:p>
        </w:tc>
        <w:tc>
          <w:tcPr>
            <w:tcW w:w="473" w:type="dxa"/>
            <w:shd w:val="clear" w:color="auto" w:fill="C4EFCE"/>
            <w:vAlign w:val="center"/>
            <w:hideMark/>
          </w:tcPr>
          <w:p w14:paraId="0BDA8B9E" w14:textId="77777777" w:rsidR="00776A1F" w:rsidRDefault="00D8574B">
            <w:pPr>
              <w:pStyle w:val="P68B1DB1-Normal8"/>
              <w:spacing w:after="0" w:line="240" w:lineRule="auto"/>
              <w:jc w:val="center"/>
              <w:rPr>
                <w:rFonts w:eastAsia="Times New Roman" w:cs="Calibri"/>
                <w:noProof/>
              </w:rPr>
            </w:pPr>
            <w:r>
              <w:rPr>
                <w:noProof/>
              </w:rPr>
              <w:t>2. CET.</w:t>
            </w:r>
          </w:p>
        </w:tc>
        <w:tc>
          <w:tcPr>
            <w:tcW w:w="625" w:type="dxa"/>
            <w:shd w:val="clear" w:color="auto" w:fill="C4EFCE"/>
            <w:vAlign w:val="center"/>
            <w:hideMark/>
          </w:tcPr>
          <w:p w14:paraId="5A2AE7BE" w14:textId="77777777" w:rsidR="00776A1F" w:rsidRDefault="00D8574B">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B093878" w14:textId="3B9713FE" w:rsidR="00776A1F" w:rsidRDefault="00D8574B">
            <w:pPr>
              <w:pStyle w:val="P68B1DB1-Normal8"/>
              <w:spacing w:after="0" w:line="240" w:lineRule="auto"/>
              <w:jc w:val="both"/>
              <w:rPr>
                <w:rFonts w:eastAsia="Times New Roman" w:cs="Calibri"/>
                <w:noProof/>
              </w:rPr>
            </w:pPr>
            <w:r>
              <w:rPr>
                <w:noProof/>
              </w:rPr>
              <w:t xml:space="preserve">To mājokļu skaits, kas piegādāti atbilstīgajām mājsaimniecībām saskaņā ar programmu. Jaunām ēkām primārās enerģijas pieprasījums ir vismaz par 20 % mazāks par gandrīz nulles enerģijas ēku vajadzībām (izņemot projektus, kas tiek īstenoti un iekļauti 2021. un 2022. gada budžetā, proti, līdz 188 250 000 EUR no kopējā piešķīruma šim pasākumam). Rehabilitācijai atsauces vienība uz vienu mājokli ir 73 kvadrātmetri, jaunām ēkām — 95 kvadrātmetri 22360 mājokļiem. </w:t>
            </w:r>
          </w:p>
        </w:tc>
      </w:tr>
      <w:tr w:rsidR="00776A1F" w14:paraId="1B7EC0D5" w14:textId="77777777">
        <w:trPr>
          <w:trHeight w:val="290"/>
        </w:trPr>
        <w:tc>
          <w:tcPr>
            <w:tcW w:w="1134" w:type="dxa"/>
            <w:shd w:val="clear" w:color="auto" w:fill="C5EFCE"/>
            <w:vAlign w:val="center"/>
            <w:hideMark/>
          </w:tcPr>
          <w:p w14:paraId="77D78043" w14:textId="77777777" w:rsidR="00776A1F" w:rsidRDefault="00D8574B">
            <w:pPr>
              <w:pStyle w:val="P68B1DB1-Normal7"/>
              <w:spacing w:after="0" w:line="240" w:lineRule="auto"/>
              <w:jc w:val="center"/>
              <w:rPr>
                <w:rFonts w:eastAsia="Times New Roman" w:cs="Calibri"/>
                <w:noProof/>
              </w:rPr>
            </w:pPr>
            <w:r>
              <w:rPr>
                <w:noProof/>
              </w:rPr>
              <w:t>2.4</w:t>
            </w:r>
          </w:p>
        </w:tc>
        <w:tc>
          <w:tcPr>
            <w:tcW w:w="1304" w:type="dxa"/>
            <w:shd w:val="clear" w:color="auto" w:fill="C4EFCE"/>
            <w:vAlign w:val="center"/>
            <w:hideMark/>
          </w:tcPr>
          <w:p w14:paraId="21608A65" w14:textId="77777777" w:rsidR="00776A1F" w:rsidRDefault="00D8574B">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FAA0881" w14:textId="77777777" w:rsidR="00776A1F" w:rsidRDefault="00D8574B">
            <w:pPr>
              <w:pStyle w:val="P68B1DB1-Normal8"/>
              <w:spacing w:after="0" w:line="240" w:lineRule="auto"/>
              <w:jc w:val="center"/>
              <w:rPr>
                <w:rFonts w:eastAsia="Times New Roman" w:cs="Calibri"/>
                <w:noProof/>
              </w:rPr>
            </w:pPr>
            <w:r>
              <w:rPr>
                <w:noProof/>
              </w:rPr>
              <w:t> T</w:t>
            </w:r>
          </w:p>
        </w:tc>
        <w:tc>
          <w:tcPr>
            <w:tcW w:w="2026" w:type="dxa"/>
            <w:shd w:val="clear" w:color="auto" w:fill="C4EFCE"/>
            <w:vAlign w:val="center"/>
            <w:hideMark/>
          </w:tcPr>
          <w:p w14:paraId="0914FF1B" w14:textId="77777777" w:rsidR="00776A1F" w:rsidRDefault="00D8574B">
            <w:pPr>
              <w:pStyle w:val="P68B1DB1-Normal8"/>
              <w:spacing w:after="0" w:line="240" w:lineRule="auto"/>
              <w:jc w:val="center"/>
              <w:rPr>
                <w:rFonts w:eastAsia="Times New Roman" w:cs="Calibri"/>
                <w:noProof/>
              </w:rPr>
            </w:pPr>
            <w:r>
              <w:rPr>
                <w:noProof/>
              </w:rPr>
              <w:t>Valsts ārkārtas un pagaidu izmitināšanas dotācija — finansēšanas nolīgumu parakstīšana ārkārtas un pārejas mājokļu jomā</w:t>
            </w:r>
          </w:p>
        </w:tc>
        <w:tc>
          <w:tcPr>
            <w:tcW w:w="1355" w:type="dxa"/>
            <w:shd w:val="clear" w:color="auto" w:fill="C4EFCE"/>
            <w:vAlign w:val="center"/>
            <w:hideMark/>
          </w:tcPr>
          <w:p w14:paraId="058B51CE"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CCDF8A5" w14:textId="777777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14C89D3F"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6F45426A" w14:textId="77777777" w:rsidR="00776A1F" w:rsidRDefault="00D8574B">
            <w:pPr>
              <w:pStyle w:val="P68B1DB1-Normal8"/>
              <w:spacing w:after="0" w:line="240" w:lineRule="auto"/>
              <w:jc w:val="center"/>
              <w:rPr>
                <w:rFonts w:eastAsia="Times New Roman" w:cs="Calibri"/>
                <w:noProof/>
              </w:rPr>
            </w:pPr>
            <w:r>
              <w:rPr>
                <w:noProof/>
              </w:rPr>
              <w:t>500</w:t>
            </w:r>
          </w:p>
        </w:tc>
        <w:tc>
          <w:tcPr>
            <w:tcW w:w="473" w:type="dxa"/>
            <w:shd w:val="clear" w:color="auto" w:fill="C4EFCE"/>
            <w:vAlign w:val="center"/>
            <w:hideMark/>
          </w:tcPr>
          <w:p w14:paraId="4F11D61E" w14:textId="77777777" w:rsidR="00776A1F" w:rsidRDefault="00D8574B">
            <w:pPr>
              <w:pStyle w:val="P68B1DB1-Normal8"/>
              <w:spacing w:after="0" w:line="240" w:lineRule="auto"/>
              <w:jc w:val="center"/>
              <w:rPr>
                <w:rFonts w:eastAsia="Times New Roman" w:cs="Calibri"/>
                <w:noProof/>
              </w:rPr>
            </w:pPr>
            <w:r>
              <w:rPr>
                <w:noProof/>
              </w:rPr>
              <w:t xml:space="preserve">3. CET. </w:t>
            </w:r>
          </w:p>
        </w:tc>
        <w:tc>
          <w:tcPr>
            <w:tcW w:w="625" w:type="dxa"/>
            <w:shd w:val="clear" w:color="auto" w:fill="C4EFCE"/>
            <w:vAlign w:val="center"/>
            <w:hideMark/>
          </w:tcPr>
          <w:p w14:paraId="7A500F3E" w14:textId="77777777" w:rsidR="00776A1F" w:rsidRDefault="00D8574B">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6C65AF43" w14:textId="2DE6C2A7" w:rsidR="00776A1F" w:rsidRDefault="00D8574B">
            <w:pPr>
              <w:pStyle w:val="P68B1DB1-Normal8"/>
              <w:spacing w:after="0" w:line="240" w:lineRule="auto"/>
              <w:jc w:val="both"/>
              <w:rPr>
                <w:rFonts w:eastAsia="Times New Roman" w:cs="Calibri"/>
                <w:noProof/>
              </w:rPr>
            </w:pPr>
            <w:r>
              <w:rPr>
                <w:noProof/>
              </w:rPr>
              <w:t xml:space="preserve">Izmitināšanas vietu skaits, par kurām ir parakstīti finansēšanas nolīgumi. </w:t>
            </w:r>
          </w:p>
          <w:p w14:paraId="1401935B" w14:textId="77777777" w:rsidR="00776A1F" w:rsidRDefault="00D8574B">
            <w:pPr>
              <w:pStyle w:val="P68B1DB1-Normal8"/>
              <w:spacing w:after="0" w:line="240" w:lineRule="auto"/>
              <w:jc w:val="both"/>
              <w:rPr>
                <w:rFonts w:eastAsia="Times New Roman" w:cs="Calibri"/>
                <w:noProof/>
              </w:rPr>
            </w:pPr>
            <w:r>
              <w:rPr>
                <w:noProof/>
              </w:rPr>
              <w:t>Subjekti iesniedz finansējuma pieteikumus IHRU (Mājokļu un pilsētu rehabilitācijas institūts) izsludinātajā uzaicinājumā iesniegt piedāvājumus, kas pēc ISS (Sociālā nodrošinājuma institūta) novērtējuma un atzinuma pieprasīšanas par iesniegto pieteikumu derīgumu un iespējamību slēdz līgumus par finansējumu un nosaka tā īstenošanas termiņu. Izmitināšana ir ēkas daļa vai visa ēka ar neatkarīgu piekļuvi, kas sastāv no viena vai vairākiem dzīvojamiem nodalījumiem un papildu privātām telpām vai dzīvojamām vienībām vairāk nekā vienai mājsaimniecībai.</w:t>
            </w:r>
          </w:p>
        </w:tc>
      </w:tr>
      <w:tr w:rsidR="00776A1F" w14:paraId="301EE51C" w14:textId="77777777">
        <w:trPr>
          <w:trHeight w:val="2674"/>
        </w:trPr>
        <w:tc>
          <w:tcPr>
            <w:tcW w:w="1134" w:type="dxa"/>
            <w:shd w:val="clear" w:color="auto" w:fill="C5EFCE"/>
            <w:vAlign w:val="center"/>
            <w:hideMark/>
          </w:tcPr>
          <w:p w14:paraId="68B87CC0" w14:textId="77777777" w:rsidR="00776A1F" w:rsidRDefault="00D8574B">
            <w:pPr>
              <w:pStyle w:val="P68B1DB1-Normal7"/>
              <w:spacing w:after="0" w:line="240" w:lineRule="auto"/>
              <w:jc w:val="center"/>
              <w:rPr>
                <w:rFonts w:eastAsia="Times New Roman" w:cs="Calibri"/>
                <w:noProof/>
              </w:rPr>
            </w:pPr>
            <w:r>
              <w:rPr>
                <w:noProof/>
              </w:rPr>
              <w:t>2.5</w:t>
            </w:r>
          </w:p>
        </w:tc>
        <w:tc>
          <w:tcPr>
            <w:tcW w:w="1304" w:type="dxa"/>
            <w:shd w:val="clear" w:color="auto" w:fill="C4EFCE"/>
            <w:vAlign w:val="center"/>
            <w:hideMark/>
          </w:tcPr>
          <w:p w14:paraId="0896B5A2" w14:textId="77777777" w:rsidR="00776A1F" w:rsidRDefault="00D8574B">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18C2C033"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2542EC9" w14:textId="77777777" w:rsidR="00776A1F" w:rsidRDefault="00D8574B">
            <w:pPr>
              <w:pStyle w:val="P68B1DB1-Normal8"/>
              <w:spacing w:after="0" w:line="240" w:lineRule="auto"/>
              <w:jc w:val="center"/>
              <w:rPr>
                <w:rFonts w:eastAsia="Times New Roman" w:cs="Calibri"/>
                <w:noProof/>
              </w:rPr>
            </w:pPr>
            <w:r>
              <w:rPr>
                <w:noProof/>
              </w:rPr>
              <w:t>Valsts ārkārtas un pagaidu izmitināšanas dotācija — finansēšanas nolīgumu parakstīšana ārkārtas un pārejas mājokļiem</w:t>
            </w:r>
          </w:p>
        </w:tc>
        <w:tc>
          <w:tcPr>
            <w:tcW w:w="1355" w:type="dxa"/>
            <w:shd w:val="clear" w:color="auto" w:fill="C4EFCE"/>
            <w:vAlign w:val="center"/>
            <w:hideMark/>
          </w:tcPr>
          <w:p w14:paraId="729388B8"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0F0E16D" w14:textId="48C4EEB3"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5404D043" w14:textId="77777777" w:rsidR="00776A1F" w:rsidRDefault="00D8574B">
            <w:pPr>
              <w:pStyle w:val="P68B1DB1-Normal8"/>
              <w:spacing w:after="0" w:line="240" w:lineRule="auto"/>
              <w:jc w:val="center"/>
              <w:rPr>
                <w:rFonts w:eastAsia="Times New Roman" w:cs="Calibri"/>
                <w:noProof/>
              </w:rPr>
            </w:pPr>
            <w:r>
              <w:rPr>
                <w:noProof/>
              </w:rPr>
              <w:t>500</w:t>
            </w:r>
          </w:p>
        </w:tc>
        <w:tc>
          <w:tcPr>
            <w:tcW w:w="897" w:type="dxa"/>
            <w:shd w:val="clear" w:color="auto" w:fill="C4EFCE"/>
            <w:vAlign w:val="center"/>
            <w:hideMark/>
          </w:tcPr>
          <w:p w14:paraId="57B686FC" w14:textId="77777777" w:rsidR="00776A1F" w:rsidRDefault="00D8574B">
            <w:pPr>
              <w:pStyle w:val="P68B1DB1-Normal8"/>
              <w:spacing w:after="0" w:line="240" w:lineRule="auto"/>
              <w:jc w:val="center"/>
              <w:rPr>
                <w:rFonts w:eastAsia="Times New Roman" w:cs="Calibri"/>
                <w:noProof/>
              </w:rPr>
            </w:pPr>
            <w:r>
              <w:rPr>
                <w:noProof/>
              </w:rPr>
              <w:t>1 000</w:t>
            </w:r>
          </w:p>
        </w:tc>
        <w:tc>
          <w:tcPr>
            <w:tcW w:w="473" w:type="dxa"/>
            <w:shd w:val="clear" w:color="auto" w:fill="C4EFCE"/>
            <w:vAlign w:val="center"/>
            <w:hideMark/>
          </w:tcPr>
          <w:p w14:paraId="106559ED" w14:textId="77777777" w:rsidR="00776A1F" w:rsidRDefault="00D8574B">
            <w:pPr>
              <w:pStyle w:val="P68B1DB1-Normal8"/>
              <w:spacing w:after="0" w:line="240" w:lineRule="auto"/>
              <w:jc w:val="center"/>
              <w:rPr>
                <w:rFonts w:eastAsia="Times New Roman" w:cs="Calibri"/>
                <w:noProof/>
              </w:rPr>
            </w:pPr>
            <w:r>
              <w:rPr>
                <w:noProof/>
              </w:rPr>
              <w:t>3. CET.</w:t>
            </w:r>
          </w:p>
        </w:tc>
        <w:tc>
          <w:tcPr>
            <w:tcW w:w="625" w:type="dxa"/>
            <w:shd w:val="clear" w:color="auto" w:fill="C4EFCE"/>
            <w:vAlign w:val="center"/>
            <w:hideMark/>
          </w:tcPr>
          <w:p w14:paraId="1B378D8D" w14:textId="77777777" w:rsidR="00776A1F" w:rsidRDefault="00D8574B">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tcPr>
          <w:p w14:paraId="1296F222" w14:textId="08C6502C" w:rsidR="00776A1F" w:rsidRDefault="00D8574B">
            <w:pPr>
              <w:pStyle w:val="P68B1DB1-Normal8"/>
              <w:spacing w:after="0" w:line="240" w:lineRule="auto"/>
              <w:jc w:val="both"/>
              <w:rPr>
                <w:rFonts w:eastAsia="Times New Roman" w:cs="Calibri"/>
                <w:noProof/>
              </w:rPr>
            </w:pPr>
            <w:r>
              <w:rPr>
                <w:noProof/>
              </w:rPr>
              <w:t>Izmitināšanas vietu skaits, par kurām ir parakstīti finansēšanas nolīgumi.</w:t>
            </w:r>
          </w:p>
          <w:p w14:paraId="3D3E1365" w14:textId="769D7B7A" w:rsidR="00776A1F" w:rsidRDefault="00D8574B">
            <w:pPr>
              <w:pStyle w:val="P68B1DB1-Normal8"/>
              <w:spacing w:after="0" w:line="240" w:lineRule="auto"/>
              <w:jc w:val="both"/>
              <w:rPr>
                <w:rFonts w:eastAsia="Times New Roman" w:cs="Calibri"/>
                <w:noProof/>
              </w:rPr>
            </w:pPr>
            <w:r>
              <w:rPr>
                <w:noProof/>
              </w:rPr>
              <w:t>Subjekti iesniedz finansējuma pieteikumus IHRU (Mājokļu un pilsētu rehabilitācijas institūts) izsludinātajā uzaicinājumā iesniegt piedāvājumus, kas pēc ISS (Sociālā nodrošinājuma institūta) novērtējuma un atzinuma pieprasīšanas par iesniegto pieteikumu derīgumu un iespējamību slēdz līgumus par finansējumu un nosaka tā īstenošanas termiņu. Izmitināšana ir ēkas daļa vai visa ēka ar neatkarīgu piekļuvi, kas sastāv no viena vai vairākiem dzīvojamiem nodalījumiem un papildu privātām telpām vai dzīvojamām vienībām vairāk nekā vienai mājsaimniecībai.</w:t>
            </w:r>
          </w:p>
          <w:p w14:paraId="117AD3E0" w14:textId="77777777" w:rsidR="00776A1F" w:rsidRDefault="00776A1F">
            <w:pPr>
              <w:spacing w:after="0" w:line="240" w:lineRule="auto"/>
              <w:jc w:val="both"/>
              <w:rPr>
                <w:rFonts w:ascii="Calibri" w:eastAsia="Times New Roman" w:hAnsi="Calibri" w:cs="Calibri"/>
                <w:noProof/>
                <w:sz w:val="16"/>
              </w:rPr>
            </w:pPr>
          </w:p>
        </w:tc>
      </w:tr>
      <w:tr w:rsidR="00776A1F" w14:paraId="4D975256" w14:textId="77777777">
        <w:trPr>
          <w:trHeight w:val="2253"/>
        </w:trPr>
        <w:tc>
          <w:tcPr>
            <w:tcW w:w="1134" w:type="dxa"/>
            <w:shd w:val="clear" w:color="auto" w:fill="C5EFCE"/>
            <w:vAlign w:val="center"/>
            <w:hideMark/>
          </w:tcPr>
          <w:p w14:paraId="2C482782" w14:textId="77777777" w:rsidR="00776A1F" w:rsidRDefault="00D8574B">
            <w:pPr>
              <w:pStyle w:val="P68B1DB1-Normal7"/>
              <w:spacing w:after="0" w:line="240" w:lineRule="auto"/>
              <w:jc w:val="center"/>
              <w:rPr>
                <w:rFonts w:eastAsia="Times New Roman" w:cs="Calibri"/>
                <w:noProof/>
              </w:rPr>
            </w:pPr>
            <w:r>
              <w:rPr>
                <w:noProof/>
              </w:rPr>
              <w:t>2.6</w:t>
            </w:r>
          </w:p>
        </w:tc>
        <w:tc>
          <w:tcPr>
            <w:tcW w:w="1304" w:type="dxa"/>
            <w:shd w:val="clear" w:color="auto" w:fill="C4EFCE"/>
            <w:vAlign w:val="center"/>
            <w:hideMark/>
          </w:tcPr>
          <w:p w14:paraId="672072E0" w14:textId="77777777" w:rsidR="00776A1F" w:rsidRDefault="00D8574B">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62E3F49B"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E2BDA77" w14:textId="3AFE50BF" w:rsidR="00776A1F" w:rsidRDefault="00D8574B">
            <w:pPr>
              <w:pStyle w:val="P68B1DB1-Normal8"/>
              <w:spacing w:after="0" w:line="240" w:lineRule="auto"/>
              <w:jc w:val="center"/>
              <w:rPr>
                <w:rFonts w:eastAsia="Times New Roman" w:cs="Calibri"/>
                <w:noProof/>
              </w:rPr>
            </w:pPr>
            <w:r>
              <w:rPr>
                <w:noProof/>
              </w:rPr>
              <w:t>Valsts ārkārtas un pagaidu izmitināšanas dotācija — Izmitināšana ar celtniecības darbiem, kas uzsākti vai iegādāti ārkārtas un pārejas mītnēm (kas jābūvē vai jāiegādājas saskaņā ar energoefektivitātes standartu vai jāreģenerē ar uzlabotu energoefektivitāti)</w:t>
            </w:r>
          </w:p>
        </w:tc>
        <w:tc>
          <w:tcPr>
            <w:tcW w:w="1355" w:type="dxa"/>
            <w:shd w:val="clear" w:color="auto" w:fill="C4EFCE"/>
            <w:vAlign w:val="center"/>
            <w:hideMark/>
          </w:tcPr>
          <w:p w14:paraId="5368E03F"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796FA2A1" w14:textId="460620FE"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4ABF0136"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9E3EE0" w14:textId="496C8208" w:rsidR="00776A1F" w:rsidRDefault="00D8574B">
            <w:pPr>
              <w:pStyle w:val="P68B1DB1-Normal8"/>
              <w:spacing w:after="0" w:line="240" w:lineRule="auto"/>
              <w:jc w:val="center"/>
              <w:rPr>
                <w:rFonts w:eastAsia="Times New Roman" w:cs="Calibri"/>
                <w:noProof/>
              </w:rPr>
            </w:pPr>
            <w:r>
              <w:rPr>
                <w:noProof/>
              </w:rPr>
              <w:t>350</w:t>
            </w:r>
          </w:p>
        </w:tc>
        <w:tc>
          <w:tcPr>
            <w:tcW w:w="473" w:type="dxa"/>
            <w:shd w:val="clear" w:color="auto" w:fill="C4EFCE"/>
            <w:vAlign w:val="center"/>
            <w:hideMark/>
          </w:tcPr>
          <w:p w14:paraId="7DDECB12" w14:textId="77777777" w:rsidR="00776A1F" w:rsidRDefault="00D8574B">
            <w:pPr>
              <w:pStyle w:val="P68B1DB1-Normal8"/>
              <w:spacing w:after="0" w:line="240" w:lineRule="auto"/>
              <w:jc w:val="center"/>
              <w:rPr>
                <w:rFonts w:eastAsia="Times New Roman" w:cs="Calibri"/>
                <w:noProof/>
              </w:rPr>
            </w:pPr>
            <w:r>
              <w:rPr>
                <w:noProof/>
              </w:rPr>
              <w:t>3. CET.</w:t>
            </w:r>
          </w:p>
        </w:tc>
        <w:tc>
          <w:tcPr>
            <w:tcW w:w="625" w:type="dxa"/>
            <w:shd w:val="clear" w:color="auto" w:fill="C4EFCE"/>
            <w:vAlign w:val="center"/>
            <w:hideMark/>
          </w:tcPr>
          <w:p w14:paraId="67217E7A" w14:textId="77777777" w:rsidR="00776A1F" w:rsidRDefault="00D8574B">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0AFE01CA" w14:textId="473A67E9" w:rsidR="00776A1F" w:rsidRDefault="00D8574B">
            <w:pPr>
              <w:pStyle w:val="P68B1DB1-Normal8"/>
              <w:spacing w:after="0" w:line="240" w:lineRule="auto"/>
              <w:jc w:val="both"/>
              <w:rPr>
                <w:rFonts w:eastAsia="Times New Roman" w:cs="Calibri"/>
                <w:noProof/>
              </w:rPr>
            </w:pPr>
            <w:r>
              <w:rPr>
                <w:noProof/>
              </w:rPr>
              <w:t xml:space="preserve">Dzīvojamās telpas, kurās ir sākti būvdarbi vai iegādātas izmitināšanas vietas. Kad ir noslēgts līgums par finansējumu, summa tiek atbrīvota subjektiem atkarībā no līguma izpildes. Jaunām ēkām primārās enerģijas pieprasījums ir vismaz par 20 % mazāks par gandrīz nulles enerģijas ēku vajadzībām (izņemot projektus, kas tiek īstenoti un iekļauti 2021. un 2022. gada budžetā, proti, 14 800 000 EUR no kopējā piešķīruma šim pasākumam). </w:t>
            </w:r>
          </w:p>
        </w:tc>
      </w:tr>
      <w:tr w:rsidR="00776A1F" w14:paraId="5D93E105" w14:textId="77777777">
        <w:trPr>
          <w:trHeight w:val="509"/>
        </w:trPr>
        <w:tc>
          <w:tcPr>
            <w:tcW w:w="1134" w:type="dxa"/>
            <w:shd w:val="clear" w:color="auto" w:fill="C5EFCE"/>
            <w:vAlign w:val="center"/>
            <w:hideMark/>
          </w:tcPr>
          <w:p w14:paraId="413E90AC" w14:textId="77777777" w:rsidR="00776A1F" w:rsidRDefault="00D8574B">
            <w:pPr>
              <w:pStyle w:val="P68B1DB1-Normal7"/>
              <w:spacing w:after="0" w:line="240" w:lineRule="auto"/>
              <w:jc w:val="center"/>
              <w:rPr>
                <w:rFonts w:eastAsia="Times New Roman" w:cs="Calibri"/>
                <w:noProof/>
              </w:rPr>
            </w:pPr>
            <w:r>
              <w:rPr>
                <w:noProof/>
              </w:rPr>
              <w:t>2.7</w:t>
            </w:r>
          </w:p>
        </w:tc>
        <w:tc>
          <w:tcPr>
            <w:tcW w:w="1304" w:type="dxa"/>
            <w:shd w:val="clear" w:color="auto" w:fill="C4EFCE"/>
            <w:vAlign w:val="center"/>
            <w:hideMark/>
          </w:tcPr>
          <w:p w14:paraId="1840F1C0" w14:textId="77777777" w:rsidR="00776A1F" w:rsidRDefault="00D8574B">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E870F5F"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6E6560F6" w14:textId="5E9818E4" w:rsidR="00776A1F" w:rsidRDefault="00D8574B">
            <w:pPr>
              <w:pStyle w:val="P68B1DB1-Normal8"/>
              <w:spacing w:after="0" w:line="240" w:lineRule="auto"/>
              <w:jc w:val="center"/>
              <w:rPr>
                <w:rFonts w:eastAsia="Times New Roman" w:cs="Calibri"/>
                <w:noProof/>
              </w:rPr>
            </w:pPr>
            <w:r>
              <w:rPr>
                <w:noProof/>
              </w:rPr>
              <w:t>Valsts ārkārtas un pagaidu izmitināšanas dotācija — Izveidotas ārkārtas un pārejas izmitināšanas vietas (izgatavotas vai iegādātas saskaņā ar energoefektivitātes standartu vai atjaunotas, arī iegādātas, ar uzlabotu energoefektivitāti) un piegādātas attīstītājiem</w:t>
            </w:r>
          </w:p>
        </w:tc>
        <w:tc>
          <w:tcPr>
            <w:tcW w:w="1355" w:type="dxa"/>
            <w:shd w:val="clear" w:color="auto" w:fill="C4EFCE"/>
            <w:vAlign w:val="center"/>
            <w:hideMark/>
          </w:tcPr>
          <w:p w14:paraId="4245B913"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07D9E38D" w14:textId="742C938D"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4CFB3CF0"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D5D9D2D" w14:textId="77777777" w:rsidR="00776A1F" w:rsidRDefault="00D8574B">
            <w:pPr>
              <w:pStyle w:val="P68B1DB1-Normal8"/>
              <w:spacing w:after="0" w:line="240" w:lineRule="auto"/>
              <w:jc w:val="center"/>
              <w:rPr>
                <w:rFonts w:eastAsia="Times New Roman" w:cs="Calibri"/>
                <w:noProof/>
              </w:rPr>
            </w:pPr>
            <w:r>
              <w:rPr>
                <w:noProof/>
              </w:rPr>
              <w:t>2 000</w:t>
            </w:r>
          </w:p>
        </w:tc>
        <w:tc>
          <w:tcPr>
            <w:tcW w:w="473" w:type="dxa"/>
            <w:shd w:val="clear" w:color="auto" w:fill="C4EFCE"/>
            <w:vAlign w:val="center"/>
            <w:hideMark/>
          </w:tcPr>
          <w:p w14:paraId="6B63A6F4" w14:textId="77777777" w:rsidR="00776A1F" w:rsidRDefault="00D8574B">
            <w:pPr>
              <w:pStyle w:val="P68B1DB1-Normal8"/>
              <w:spacing w:after="0" w:line="240" w:lineRule="auto"/>
              <w:jc w:val="center"/>
              <w:rPr>
                <w:rFonts w:eastAsia="Times New Roman" w:cs="Calibri"/>
                <w:noProof/>
              </w:rPr>
            </w:pPr>
            <w:r>
              <w:rPr>
                <w:noProof/>
              </w:rPr>
              <w:t>2. CET.</w:t>
            </w:r>
          </w:p>
        </w:tc>
        <w:tc>
          <w:tcPr>
            <w:tcW w:w="625" w:type="dxa"/>
            <w:shd w:val="clear" w:color="auto" w:fill="C4EFCE"/>
            <w:vAlign w:val="center"/>
            <w:hideMark/>
          </w:tcPr>
          <w:p w14:paraId="6908D626" w14:textId="77777777" w:rsidR="00776A1F" w:rsidRDefault="00D8574B">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130C6538" w14:textId="26B12645" w:rsidR="00776A1F" w:rsidRDefault="00D8574B">
            <w:pPr>
              <w:pStyle w:val="P68B1DB1-Normal8"/>
              <w:spacing w:after="0" w:line="240" w:lineRule="auto"/>
              <w:jc w:val="both"/>
              <w:rPr>
                <w:rFonts w:eastAsia="Times New Roman" w:cs="Calibri"/>
                <w:noProof/>
              </w:rPr>
            </w:pPr>
            <w:r>
              <w:rPr>
                <w:noProof/>
              </w:rPr>
              <w:t xml:space="preserve">Izmitināšanas nodrošināšana sponsoru struktūrām. Izmitināšana ir ēkas daļa vai visa ēka ar neatkarīgu piekļuvi, kas sastāv no viena vai vairākiem dzīvojamiem nodalījumiem un papildu privātām telpām vai dzīvojamām vienībām vairāk nekā vienai mājsaimniecībai. Jaunām ēkām primārās enerģijas pieprasījums ir vismaz par 20 % mazāks par gandrīz nulles enerģijas ēku vajadzībām (izņemot projektus, kas tiek īstenoti un iekļauti 2021. un 2022. gada budžetā, proti, 14 800 000 EUR no kopējā piešķīruma šim pasākumam). Atskaites vienība ir vidēji 73 kvadrātmetri 2000. gada mītnēs. </w:t>
            </w:r>
          </w:p>
        </w:tc>
      </w:tr>
      <w:tr w:rsidR="00776A1F" w14:paraId="7427DF73" w14:textId="77777777">
        <w:trPr>
          <w:trHeight w:val="1114"/>
        </w:trPr>
        <w:tc>
          <w:tcPr>
            <w:tcW w:w="1134" w:type="dxa"/>
            <w:shd w:val="clear" w:color="auto" w:fill="C5EFCE"/>
            <w:vAlign w:val="center"/>
            <w:hideMark/>
          </w:tcPr>
          <w:p w14:paraId="0D2C6831" w14:textId="77777777" w:rsidR="00776A1F" w:rsidRDefault="00D8574B">
            <w:pPr>
              <w:pStyle w:val="P68B1DB1-Normal7"/>
              <w:spacing w:after="0" w:line="240" w:lineRule="auto"/>
              <w:jc w:val="center"/>
              <w:rPr>
                <w:rFonts w:eastAsia="Times New Roman" w:cs="Calibri"/>
                <w:noProof/>
              </w:rPr>
            </w:pPr>
            <w:r>
              <w:rPr>
                <w:noProof/>
              </w:rPr>
              <w:t>2.8</w:t>
            </w:r>
          </w:p>
        </w:tc>
        <w:tc>
          <w:tcPr>
            <w:tcW w:w="1304" w:type="dxa"/>
            <w:shd w:val="clear" w:color="auto" w:fill="C4EFCE"/>
            <w:vAlign w:val="center"/>
            <w:hideMark/>
          </w:tcPr>
          <w:p w14:paraId="7BA5DE70" w14:textId="77777777" w:rsidR="00776A1F" w:rsidRDefault="00D8574B">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25536932"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BF77C68" w14:textId="7515E99F" w:rsidR="00776A1F" w:rsidRDefault="00D8574B">
            <w:pPr>
              <w:pStyle w:val="P68B1DB1-Normal8"/>
              <w:spacing w:after="0" w:line="240" w:lineRule="auto"/>
              <w:jc w:val="center"/>
              <w:rPr>
                <w:rFonts w:eastAsia="Times New Roman" w:cs="Calibri"/>
                <w:noProof/>
              </w:rPr>
            </w:pPr>
            <w:r>
              <w:rPr>
                <w:noProof/>
              </w:rPr>
              <w:t>Izmitināšana, ko piegādā drošības spēkiem, un pagaidu izmitināšana humānu vai drošības apsvērumu dēļ</w:t>
            </w:r>
          </w:p>
        </w:tc>
        <w:tc>
          <w:tcPr>
            <w:tcW w:w="1355" w:type="dxa"/>
            <w:shd w:val="clear" w:color="auto" w:fill="C4EFCE"/>
            <w:vAlign w:val="center"/>
            <w:hideMark/>
          </w:tcPr>
          <w:p w14:paraId="306C6212"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FB2089" w14:textId="777777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651BF2FF"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7C46088F" w14:textId="77777777" w:rsidR="00776A1F" w:rsidRDefault="00D8574B">
            <w:pPr>
              <w:pStyle w:val="P68B1DB1-Normal8"/>
              <w:spacing w:after="0" w:line="240" w:lineRule="auto"/>
              <w:jc w:val="center"/>
              <w:rPr>
                <w:rFonts w:eastAsia="Times New Roman" w:cs="Calibri"/>
                <w:noProof/>
              </w:rPr>
            </w:pPr>
            <w:r>
              <w:rPr>
                <w:noProof/>
              </w:rPr>
              <w:t>473</w:t>
            </w:r>
          </w:p>
        </w:tc>
        <w:tc>
          <w:tcPr>
            <w:tcW w:w="473" w:type="dxa"/>
            <w:shd w:val="clear" w:color="auto" w:fill="C4EFCE"/>
            <w:vAlign w:val="center"/>
            <w:hideMark/>
          </w:tcPr>
          <w:p w14:paraId="25C353AE" w14:textId="77777777" w:rsidR="00776A1F" w:rsidRDefault="00D8574B">
            <w:pPr>
              <w:pStyle w:val="P68B1DB1-Normal8"/>
              <w:spacing w:after="0" w:line="240" w:lineRule="auto"/>
              <w:jc w:val="center"/>
              <w:rPr>
                <w:rFonts w:eastAsia="Times New Roman" w:cs="Calibri"/>
                <w:noProof/>
              </w:rPr>
            </w:pPr>
            <w:r>
              <w:rPr>
                <w:noProof/>
              </w:rPr>
              <w:t>2. CET.</w:t>
            </w:r>
          </w:p>
        </w:tc>
        <w:tc>
          <w:tcPr>
            <w:tcW w:w="625" w:type="dxa"/>
            <w:shd w:val="clear" w:color="auto" w:fill="C4EFCE"/>
            <w:vAlign w:val="center"/>
            <w:hideMark/>
          </w:tcPr>
          <w:p w14:paraId="516E0C42" w14:textId="77777777" w:rsidR="00776A1F" w:rsidRDefault="00D8574B">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05D915D9" w14:textId="6245803B" w:rsidR="00776A1F" w:rsidRDefault="00D8574B">
            <w:pPr>
              <w:pStyle w:val="P68B1DB1-Normal8"/>
              <w:spacing w:after="0" w:line="240" w:lineRule="auto"/>
              <w:jc w:val="both"/>
              <w:rPr>
                <w:rFonts w:eastAsia="Times New Roman" w:cs="Calibri"/>
                <w:noProof/>
              </w:rPr>
            </w:pPr>
            <w:r>
              <w:rPr>
                <w:noProof/>
              </w:rPr>
              <w:t>Drošības spēkiem piegādāto mājokļu skaits (SSGNR — sociālie dienesti Nacionālajai Republikas gvardei; SSPSP — Valsts drošības policijas sociālie dienesti) pagaidu izmitināšanas vajadzībām, tostarp trīs drošības spēku blokiem (gadījumos, ko pamato sabiedrības intereses). Ieguldījums ietver arī piecus centrus pagaidu izmitināšanai humānu vai drošības apsvērumu dēļ. Jaunu ēku primārās enerģijas pieprasījums ir vismaz par 20 % zemāks nekā prasības, kas noteiktas gandrīz nulles enerģijas ēkām.</w:t>
            </w:r>
          </w:p>
        </w:tc>
      </w:tr>
      <w:tr w:rsidR="00776A1F" w14:paraId="7B72B6C0" w14:textId="77777777">
        <w:trPr>
          <w:trHeight w:val="1299"/>
        </w:trPr>
        <w:tc>
          <w:tcPr>
            <w:tcW w:w="1134" w:type="dxa"/>
            <w:shd w:val="clear" w:color="auto" w:fill="C5EFCE"/>
            <w:vAlign w:val="center"/>
            <w:hideMark/>
          </w:tcPr>
          <w:p w14:paraId="516C1714" w14:textId="77777777" w:rsidR="00776A1F" w:rsidRDefault="00D8574B">
            <w:pPr>
              <w:pStyle w:val="P68B1DB1-Normal7"/>
              <w:spacing w:after="0" w:line="240" w:lineRule="auto"/>
              <w:jc w:val="center"/>
              <w:rPr>
                <w:rFonts w:eastAsia="Times New Roman" w:cs="Calibri"/>
                <w:noProof/>
              </w:rPr>
            </w:pPr>
            <w:r>
              <w:rPr>
                <w:noProof/>
              </w:rPr>
              <w:t>2.10</w:t>
            </w:r>
          </w:p>
        </w:tc>
        <w:tc>
          <w:tcPr>
            <w:tcW w:w="1304" w:type="dxa"/>
            <w:shd w:val="clear" w:color="auto" w:fill="C4EFCE"/>
            <w:vAlign w:val="center"/>
            <w:hideMark/>
          </w:tcPr>
          <w:p w14:paraId="3ABE46D6" w14:textId="77777777" w:rsidR="00776A1F" w:rsidRDefault="00D8574B">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30B06126"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798BCDBC" w14:textId="77777777" w:rsidR="00776A1F" w:rsidRDefault="00D8574B">
            <w:pPr>
              <w:pStyle w:val="P68B1DB1-Normal8"/>
              <w:spacing w:after="0" w:line="240" w:lineRule="auto"/>
              <w:jc w:val="center"/>
              <w:rPr>
                <w:rFonts w:eastAsia="Times New Roman" w:cs="Calibri"/>
                <w:noProof/>
              </w:rPr>
            </w:pPr>
            <w:r>
              <w:rPr>
                <w:noProof/>
              </w:rPr>
              <w:t>Atbalstīti mājokļi Madeiras autonomajā reģionā</w:t>
            </w:r>
          </w:p>
        </w:tc>
        <w:tc>
          <w:tcPr>
            <w:tcW w:w="1355" w:type="dxa"/>
            <w:shd w:val="clear" w:color="auto" w:fill="C4EFCE"/>
            <w:vAlign w:val="center"/>
            <w:hideMark/>
          </w:tcPr>
          <w:p w14:paraId="0360AAD3"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860824" w14:textId="520F84DE"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66F31C5A" w14:textId="6271036C"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7938948" w14:textId="77777777" w:rsidR="00776A1F" w:rsidRDefault="00D8574B">
            <w:pPr>
              <w:pStyle w:val="P68B1DB1-Normal8"/>
              <w:spacing w:after="0" w:line="240" w:lineRule="auto"/>
              <w:jc w:val="center"/>
              <w:rPr>
                <w:rFonts w:eastAsia="Times New Roman" w:cs="Calibri"/>
                <w:noProof/>
              </w:rPr>
            </w:pPr>
            <w:r>
              <w:rPr>
                <w:noProof/>
              </w:rPr>
              <w:t>590</w:t>
            </w:r>
          </w:p>
        </w:tc>
        <w:tc>
          <w:tcPr>
            <w:tcW w:w="473" w:type="dxa"/>
            <w:shd w:val="clear" w:color="auto" w:fill="C4EFCE"/>
            <w:vAlign w:val="center"/>
            <w:hideMark/>
          </w:tcPr>
          <w:p w14:paraId="120647CE" w14:textId="77777777" w:rsidR="00776A1F" w:rsidRDefault="00D8574B">
            <w:pPr>
              <w:pStyle w:val="P68B1DB1-Normal8"/>
              <w:spacing w:after="0" w:line="240" w:lineRule="auto"/>
              <w:jc w:val="center"/>
              <w:rPr>
                <w:rFonts w:eastAsia="Times New Roman" w:cs="Calibri"/>
                <w:noProof/>
              </w:rPr>
            </w:pPr>
            <w:r>
              <w:rPr>
                <w:noProof/>
              </w:rPr>
              <w:t>4. CET.</w:t>
            </w:r>
          </w:p>
        </w:tc>
        <w:tc>
          <w:tcPr>
            <w:tcW w:w="625" w:type="dxa"/>
            <w:shd w:val="clear" w:color="auto" w:fill="C4EFCE"/>
            <w:vAlign w:val="center"/>
            <w:hideMark/>
          </w:tcPr>
          <w:p w14:paraId="15FD699A" w14:textId="77777777" w:rsidR="00776A1F" w:rsidRDefault="00D8574B">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hideMark/>
          </w:tcPr>
          <w:p w14:paraId="35C90287" w14:textId="0A2F9A09" w:rsidR="00776A1F" w:rsidRDefault="00D8574B">
            <w:pPr>
              <w:pStyle w:val="P68B1DB1-Normal8"/>
              <w:spacing w:after="0" w:line="240" w:lineRule="auto"/>
              <w:jc w:val="both"/>
              <w:rPr>
                <w:rFonts w:eastAsia="Times New Roman" w:cs="Calibri"/>
                <w:noProof/>
              </w:rPr>
            </w:pPr>
            <w:r>
              <w:rPr>
                <w:noProof/>
              </w:rPr>
              <w:t xml:space="preserve">Mājokļu skaits, kas piešķirts atbalsttiesīgām mājsaimniecībām saistībā ar sociālo mājokļu būvniecību vai mājokļa iegādi atbalstītiem sociālajiem mājokļiem. Jaunu ēku primārās enerģijas pieprasījums ir vismaz par 20 % zemāks nekā prasības, kas noteiktas gandrīz nulles enerģijas ēkām. </w:t>
            </w:r>
          </w:p>
        </w:tc>
      </w:tr>
      <w:tr w:rsidR="00776A1F" w14:paraId="5BA4E6AD" w14:textId="77777777">
        <w:trPr>
          <w:trHeight w:val="1260"/>
        </w:trPr>
        <w:tc>
          <w:tcPr>
            <w:tcW w:w="1134" w:type="dxa"/>
            <w:shd w:val="clear" w:color="auto" w:fill="C5EFCE"/>
            <w:vAlign w:val="center"/>
            <w:hideMark/>
          </w:tcPr>
          <w:p w14:paraId="7AD9EF6A" w14:textId="77777777" w:rsidR="00776A1F" w:rsidRDefault="00D8574B">
            <w:pPr>
              <w:pStyle w:val="P68B1DB1-Normal7"/>
              <w:spacing w:after="0" w:line="240" w:lineRule="auto"/>
              <w:jc w:val="center"/>
              <w:rPr>
                <w:rFonts w:eastAsia="Times New Roman" w:cs="Calibri"/>
                <w:noProof/>
              </w:rPr>
            </w:pPr>
            <w:r>
              <w:rPr>
                <w:noProof/>
              </w:rPr>
              <w:t>2.11</w:t>
            </w:r>
          </w:p>
        </w:tc>
        <w:tc>
          <w:tcPr>
            <w:tcW w:w="1304" w:type="dxa"/>
            <w:shd w:val="clear" w:color="auto" w:fill="C4EFCE"/>
            <w:vAlign w:val="center"/>
            <w:hideMark/>
          </w:tcPr>
          <w:p w14:paraId="15C2A587" w14:textId="77777777" w:rsidR="00776A1F" w:rsidRDefault="00D8574B">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6754F4CC"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1401E43" w14:textId="77777777" w:rsidR="00776A1F" w:rsidRDefault="00D8574B">
            <w:pPr>
              <w:pStyle w:val="P68B1DB1-Normal8"/>
              <w:spacing w:after="0" w:line="240" w:lineRule="auto"/>
              <w:jc w:val="center"/>
              <w:rPr>
                <w:rFonts w:eastAsia="Times New Roman" w:cs="Calibri"/>
                <w:noProof/>
              </w:rPr>
            </w:pPr>
            <w:r>
              <w:rPr>
                <w:noProof/>
              </w:rPr>
              <w:t>Atbalstīti mājokļi Madeiras autonomajā reģionā</w:t>
            </w:r>
          </w:p>
        </w:tc>
        <w:tc>
          <w:tcPr>
            <w:tcW w:w="1355" w:type="dxa"/>
            <w:shd w:val="clear" w:color="auto" w:fill="C4EFCE"/>
            <w:vAlign w:val="center"/>
            <w:hideMark/>
          </w:tcPr>
          <w:p w14:paraId="53D5B63F"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BD7AC9" w14:textId="38690FCA"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281C3A14" w14:textId="77777777" w:rsidR="00776A1F" w:rsidRDefault="00D8574B">
            <w:pPr>
              <w:pStyle w:val="P68B1DB1-Normal8"/>
              <w:spacing w:after="0" w:line="240" w:lineRule="auto"/>
              <w:jc w:val="center"/>
              <w:rPr>
                <w:rFonts w:eastAsia="Times New Roman" w:cs="Calibri"/>
                <w:noProof/>
              </w:rPr>
            </w:pPr>
            <w:r>
              <w:rPr>
                <w:noProof/>
              </w:rPr>
              <w:t>590</w:t>
            </w:r>
          </w:p>
        </w:tc>
        <w:tc>
          <w:tcPr>
            <w:tcW w:w="897" w:type="dxa"/>
            <w:shd w:val="clear" w:color="auto" w:fill="C4EFCE"/>
            <w:vAlign w:val="center"/>
            <w:hideMark/>
          </w:tcPr>
          <w:p w14:paraId="5DECC890" w14:textId="5F34FF58" w:rsidR="00776A1F" w:rsidRDefault="00D8574B">
            <w:pPr>
              <w:pStyle w:val="P68B1DB1-Normal8"/>
              <w:spacing w:after="0" w:line="240" w:lineRule="auto"/>
              <w:jc w:val="center"/>
              <w:rPr>
                <w:rFonts w:eastAsia="Times New Roman" w:cs="Calibri"/>
                <w:noProof/>
              </w:rPr>
            </w:pPr>
            <w:r>
              <w:rPr>
                <w:noProof/>
              </w:rPr>
              <w:t>805</w:t>
            </w:r>
          </w:p>
        </w:tc>
        <w:tc>
          <w:tcPr>
            <w:tcW w:w="473" w:type="dxa"/>
            <w:shd w:val="clear" w:color="auto" w:fill="C4EFCE"/>
            <w:vAlign w:val="center"/>
            <w:hideMark/>
          </w:tcPr>
          <w:p w14:paraId="5FD71819" w14:textId="77777777" w:rsidR="00776A1F" w:rsidRDefault="00D8574B">
            <w:pPr>
              <w:pStyle w:val="P68B1DB1-Normal8"/>
              <w:spacing w:after="0" w:line="240" w:lineRule="auto"/>
              <w:jc w:val="center"/>
              <w:rPr>
                <w:rFonts w:eastAsia="Times New Roman" w:cs="Calibri"/>
                <w:noProof/>
              </w:rPr>
            </w:pPr>
            <w:r>
              <w:rPr>
                <w:noProof/>
              </w:rPr>
              <w:t>2. CET.</w:t>
            </w:r>
          </w:p>
        </w:tc>
        <w:tc>
          <w:tcPr>
            <w:tcW w:w="625" w:type="dxa"/>
            <w:shd w:val="clear" w:color="auto" w:fill="C4EFCE"/>
            <w:vAlign w:val="center"/>
            <w:hideMark/>
          </w:tcPr>
          <w:p w14:paraId="59C4647A" w14:textId="77777777" w:rsidR="00776A1F" w:rsidRDefault="00D8574B">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5E4F7DA7" w14:textId="16DA01F2" w:rsidR="00776A1F" w:rsidRDefault="00D8574B">
            <w:pPr>
              <w:pStyle w:val="P68B1DB1-Normal8"/>
              <w:spacing w:after="0" w:line="240" w:lineRule="auto"/>
              <w:jc w:val="both"/>
              <w:rPr>
                <w:rFonts w:eastAsia="Times New Roman" w:cs="Calibri"/>
                <w:noProof/>
              </w:rPr>
            </w:pPr>
            <w:r>
              <w:rPr>
                <w:noProof/>
              </w:rPr>
              <w:t xml:space="preserve">Mājokļu skaits, kas piešķirts atbalsttiesīgām mājsaimniecībām saistībā ar sociālo mājokļu būvniecību vai mājokļa iegādi atbalstītiem sociālajiem mājokļiem. Jaunu ēku primārās enerģijas pieprasījums ir vismaz par 20 % zemāks nekā prasības, kas noteiktas gandrīz nulles enerģijas ēkām. Atsauces vienība uz vienu mājokli ir vidēji 90 kvadrātmetri 805 mājokļiem. </w:t>
            </w:r>
          </w:p>
          <w:p w14:paraId="158CF522" w14:textId="7FF039D2" w:rsidR="00776A1F" w:rsidRDefault="00D8574B">
            <w:pPr>
              <w:pStyle w:val="P68B1DB1-Normal8"/>
              <w:spacing w:after="0" w:line="240" w:lineRule="auto"/>
              <w:jc w:val="both"/>
              <w:rPr>
                <w:rFonts w:eastAsia="Times New Roman" w:cs="Calibri"/>
                <w:noProof/>
              </w:rPr>
            </w:pPr>
            <w:r>
              <w:rPr>
                <w:noProof/>
              </w:rPr>
              <w:t>Turklāt ieguldījumi ietver arī pakalpojumu iepirkumu informācijas sistēmu un e-pārvaldes risinājumu izstrādei mājokļu nozarē.</w:t>
            </w:r>
          </w:p>
        </w:tc>
      </w:tr>
      <w:tr w:rsidR="00776A1F" w14:paraId="28EAD265" w14:textId="77777777">
        <w:trPr>
          <w:trHeight w:val="1049"/>
        </w:trPr>
        <w:tc>
          <w:tcPr>
            <w:tcW w:w="1134" w:type="dxa"/>
            <w:shd w:val="clear" w:color="auto" w:fill="C5EFCE"/>
            <w:vAlign w:val="center"/>
            <w:hideMark/>
          </w:tcPr>
          <w:p w14:paraId="60326612" w14:textId="77777777" w:rsidR="00776A1F" w:rsidRDefault="00D8574B">
            <w:pPr>
              <w:pStyle w:val="P68B1DB1-Normal7"/>
              <w:spacing w:after="0" w:line="240" w:lineRule="auto"/>
              <w:jc w:val="center"/>
              <w:rPr>
                <w:rFonts w:eastAsia="Times New Roman" w:cs="Calibri"/>
                <w:noProof/>
              </w:rPr>
            </w:pPr>
            <w:r>
              <w:rPr>
                <w:noProof/>
              </w:rPr>
              <w:t>2.12</w:t>
            </w:r>
          </w:p>
        </w:tc>
        <w:tc>
          <w:tcPr>
            <w:tcW w:w="1304" w:type="dxa"/>
            <w:shd w:val="clear" w:color="auto" w:fill="C4EFCE"/>
            <w:vAlign w:val="center"/>
            <w:hideMark/>
          </w:tcPr>
          <w:p w14:paraId="0882979C" w14:textId="77777777" w:rsidR="00776A1F" w:rsidRDefault="00D8574B">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14FEF1B3"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138B1215" w14:textId="77777777" w:rsidR="00776A1F" w:rsidRDefault="00D8574B">
            <w:pPr>
              <w:pStyle w:val="P68B1DB1-Normal8"/>
              <w:spacing w:after="0" w:line="240" w:lineRule="auto"/>
              <w:jc w:val="center"/>
              <w:rPr>
                <w:rFonts w:eastAsia="Times New Roman" w:cs="Calibri"/>
                <w:noProof/>
              </w:rPr>
            </w:pPr>
            <w:r>
              <w:rPr>
                <w:noProof/>
              </w:rPr>
              <w:t>Privāto īpašnieku apdzīvoto mājokļu skaits, kas renovēti, tostarp ar uzlabotu energoefektivitāti</w:t>
            </w:r>
          </w:p>
        </w:tc>
        <w:tc>
          <w:tcPr>
            <w:tcW w:w="1355" w:type="dxa"/>
            <w:shd w:val="clear" w:color="auto" w:fill="C4EFCE"/>
            <w:vAlign w:val="center"/>
            <w:hideMark/>
          </w:tcPr>
          <w:p w14:paraId="59416FFE"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E723E3D" w14:textId="777777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3FCA7144"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4682601" w14:textId="77777777" w:rsidR="00776A1F" w:rsidRDefault="00D8574B">
            <w:pPr>
              <w:pStyle w:val="P68B1DB1-Normal8"/>
              <w:spacing w:after="0" w:line="240" w:lineRule="auto"/>
              <w:jc w:val="center"/>
              <w:rPr>
                <w:rFonts w:eastAsia="Times New Roman" w:cs="Calibri"/>
                <w:noProof/>
              </w:rPr>
            </w:pPr>
            <w:r>
              <w:rPr>
                <w:noProof/>
              </w:rPr>
              <w:t>325</w:t>
            </w:r>
          </w:p>
        </w:tc>
        <w:tc>
          <w:tcPr>
            <w:tcW w:w="473" w:type="dxa"/>
            <w:shd w:val="clear" w:color="auto" w:fill="C4EFCE"/>
            <w:vAlign w:val="center"/>
            <w:hideMark/>
          </w:tcPr>
          <w:p w14:paraId="3A86C835" w14:textId="77777777" w:rsidR="00776A1F" w:rsidRDefault="00D8574B">
            <w:pPr>
              <w:pStyle w:val="P68B1DB1-Normal8"/>
              <w:spacing w:after="0" w:line="240" w:lineRule="auto"/>
              <w:jc w:val="center"/>
              <w:rPr>
                <w:rFonts w:eastAsia="Times New Roman" w:cs="Calibri"/>
                <w:noProof/>
              </w:rPr>
            </w:pPr>
            <w:r>
              <w:rPr>
                <w:noProof/>
              </w:rPr>
              <w:t>2. CET.</w:t>
            </w:r>
          </w:p>
        </w:tc>
        <w:tc>
          <w:tcPr>
            <w:tcW w:w="625" w:type="dxa"/>
            <w:shd w:val="clear" w:color="auto" w:fill="C4EFCE"/>
            <w:vAlign w:val="center"/>
            <w:hideMark/>
          </w:tcPr>
          <w:p w14:paraId="5FBB7CE8" w14:textId="77777777" w:rsidR="00776A1F" w:rsidRDefault="00D8574B">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6B3C073" w14:textId="77777777" w:rsidR="00776A1F" w:rsidRDefault="00D8574B">
            <w:pPr>
              <w:pStyle w:val="P68B1DB1-Normal8"/>
              <w:spacing w:after="0" w:line="240" w:lineRule="auto"/>
              <w:jc w:val="both"/>
              <w:rPr>
                <w:rFonts w:eastAsia="Times New Roman" w:cs="Calibri"/>
                <w:noProof/>
              </w:rPr>
            </w:pPr>
            <w:r>
              <w:rPr>
                <w:noProof/>
              </w:rPr>
              <w:t xml:space="preserve">To privāto īpašnieku apdzīvoto mājokļu skaits, kas renovēti mērķgrupām, kurām trūkst finanšu resursu rehabilitācijas darbu veikšanai. </w:t>
            </w:r>
          </w:p>
        </w:tc>
      </w:tr>
      <w:tr w:rsidR="00776A1F" w14:paraId="05FD9A8C" w14:textId="77777777">
        <w:trPr>
          <w:trHeight w:val="420"/>
        </w:trPr>
        <w:tc>
          <w:tcPr>
            <w:tcW w:w="1134" w:type="dxa"/>
            <w:shd w:val="clear" w:color="auto" w:fill="C5EFCE"/>
            <w:vAlign w:val="center"/>
            <w:hideMark/>
          </w:tcPr>
          <w:p w14:paraId="539645A1" w14:textId="77777777" w:rsidR="00776A1F" w:rsidRDefault="00D8574B">
            <w:pPr>
              <w:pStyle w:val="P68B1DB1-Normal7"/>
              <w:spacing w:after="0" w:line="240" w:lineRule="auto"/>
              <w:jc w:val="center"/>
              <w:rPr>
                <w:rFonts w:eastAsia="Times New Roman" w:cs="Calibri"/>
                <w:noProof/>
              </w:rPr>
            </w:pPr>
            <w:r>
              <w:rPr>
                <w:noProof/>
              </w:rPr>
              <w:t>2.13</w:t>
            </w:r>
          </w:p>
        </w:tc>
        <w:tc>
          <w:tcPr>
            <w:tcW w:w="1304" w:type="dxa"/>
            <w:shd w:val="clear" w:color="auto" w:fill="C4EFCE"/>
            <w:vAlign w:val="center"/>
            <w:hideMark/>
          </w:tcPr>
          <w:p w14:paraId="46FA22A1" w14:textId="77777777" w:rsidR="00776A1F" w:rsidRDefault="00D8574B">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50F5EF9"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9BB19D3" w14:textId="0F34B607" w:rsidR="00776A1F" w:rsidRDefault="00D8574B">
            <w:pPr>
              <w:pStyle w:val="P68B1DB1-Normal8"/>
              <w:spacing w:after="0" w:line="240" w:lineRule="auto"/>
              <w:jc w:val="center"/>
              <w:rPr>
                <w:rFonts w:eastAsia="Times New Roman" w:cs="Calibri"/>
                <w:noProof/>
              </w:rPr>
            </w:pPr>
            <w:r>
              <w:rPr>
                <w:noProof/>
              </w:rPr>
              <w:t xml:space="preserve">Intervences pasākumi valsts mājokļu fondā Azoru salu autonomajā reģionā </w:t>
            </w:r>
          </w:p>
        </w:tc>
        <w:tc>
          <w:tcPr>
            <w:tcW w:w="1355" w:type="dxa"/>
            <w:shd w:val="clear" w:color="auto" w:fill="C4EFCE"/>
            <w:vAlign w:val="center"/>
            <w:hideMark/>
          </w:tcPr>
          <w:p w14:paraId="59DA834D"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EBFE09" w14:textId="777777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2E7D69AD" w14:textId="77777777"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4BD37D" w14:textId="77777777" w:rsidR="00776A1F" w:rsidRDefault="00D8574B">
            <w:pPr>
              <w:pStyle w:val="P68B1DB1-Normal8"/>
              <w:spacing w:after="0" w:line="240" w:lineRule="auto"/>
              <w:jc w:val="center"/>
              <w:rPr>
                <w:rFonts w:eastAsia="Times New Roman" w:cs="Calibri"/>
                <w:noProof/>
              </w:rPr>
            </w:pPr>
            <w:r>
              <w:rPr>
                <w:noProof/>
              </w:rPr>
              <w:t>24</w:t>
            </w:r>
          </w:p>
        </w:tc>
        <w:tc>
          <w:tcPr>
            <w:tcW w:w="473" w:type="dxa"/>
            <w:shd w:val="clear" w:color="auto" w:fill="C4EFCE"/>
            <w:vAlign w:val="center"/>
            <w:hideMark/>
          </w:tcPr>
          <w:p w14:paraId="23FD1A62" w14:textId="77777777" w:rsidR="00776A1F" w:rsidRDefault="00D8574B">
            <w:pPr>
              <w:pStyle w:val="P68B1DB1-Normal8"/>
              <w:spacing w:after="0" w:line="240" w:lineRule="auto"/>
              <w:jc w:val="center"/>
              <w:rPr>
                <w:rFonts w:eastAsia="Times New Roman" w:cs="Calibri"/>
                <w:noProof/>
              </w:rPr>
            </w:pPr>
            <w:r>
              <w:rPr>
                <w:noProof/>
              </w:rPr>
              <w:t>4. CET.</w:t>
            </w:r>
          </w:p>
        </w:tc>
        <w:tc>
          <w:tcPr>
            <w:tcW w:w="625" w:type="dxa"/>
            <w:shd w:val="clear" w:color="auto" w:fill="C4EFCE"/>
            <w:vAlign w:val="center"/>
            <w:hideMark/>
          </w:tcPr>
          <w:p w14:paraId="3FE9EF61" w14:textId="77777777" w:rsidR="00776A1F" w:rsidRDefault="00D8574B">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0C91248C" w14:textId="77777777" w:rsidR="00776A1F" w:rsidRDefault="00D8574B">
            <w:pPr>
              <w:pStyle w:val="P68B1DB1-Normal8"/>
              <w:spacing w:after="0" w:line="240" w:lineRule="auto"/>
              <w:jc w:val="both"/>
              <w:rPr>
                <w:rFonts w:eastAsia="Times New Roman" w:cs="Calibri"/>
                <w:noProof/>
              </w:rPr>
            </w:pPr>
            <w:r>
              <w:rPr>
                <w:noProof/>
              </w:rPr>
              <w:t xml:space="preserve">Intervences pasākumu skaits, tostarp vajadzības gadījumā zemes urbanizācija, kā arī pabeigti darbi, lai palielinātu sociālo mājokļu fondu. </w:t>
            </w:r>
          </w:p>
          <w:p w14:paraId="3733CD33" w14:textId="77777777" w:rsidR="00776A1F" w:rsidRDefault="00D8574B">
            <w:pPr>
              <w:pStyle w:val="P68B1DB1-Normal8"/>
              <w:spacing w:after="0" w:line="240" w:lineRule="auto"/>
              <w:jc w:val="both"/>
              <w:rPr>
                <w:rFonts w:eastAsia="Times New Roman" w:cs="Calibri"/>
                <w:noProof/>
              </w:rPr>
            </w:pPr>
            <w:r>
              <w:rPr>
                <w:noProof/>
              </w:rPr>
              <w:t>Ja jaunu ēku būvniecība ir saistīta ar jaunu ēku būvniecību, primārās enerģijas pieprasījums ir vismaz par 20 % zemāks, nekā prasīts gandrīz nulles enerģijas ēkām.</w:t>
            </w:r>
          </w:p>
          <w:p w14:paraId="5953FC29" w14:textId="77777777" w:rsidR="00776A1F" w:rsidRDefault="00D8574B">
            <w:pPr>
              <w:pStyle w:val="P68B1DB1-Normal8"/>
              <w:spacing w:after="0" w:line="240" w:lineRule="auto"/>
              <w:jc w:val="both"/>
              <w:rPr>
                <w:rFonts w:eastAsia="Times New Roman" w:cs="Calibri"/>
                <w:noProof/>
              </w:rPr>
            </w:pPr>
            <w:r>
              <w:rPr>
                <w:noProof/>
              </w:rPr>
              <w:t>Mājokļu vidējais lielums ir aptuveni 120 kvadrātmetri.</w:t>
            </w:r>
          </w:p>
        </w:tc>
      </w:tr>
      <w:tr w:rsidR="00776A1F" w14:paraId="14A54223" w14:textId="77777777">
        <w:trPr>
          <w:trHeight w:val="420"/>
        </w:trPr>
        <w:tc>
          <w:tcPr>
            <w:tcW w:w="1134" w:type="dxa"/>
            <w:shd w:val="clear" w:color="auto" w:fill="C5EFCE"/>
            <w:vAlign w:val="center"/>
            <w:hideMark/>
          </w:tcPr>
          <w:p w14:paraId="6D1EA4AE" w14:textId="77777777" w:rsidR="00776A1F" w:rsidRDefault="00D8574B">
            <w:pPr>
              <w:pStyle w:val="P68B1DB1-Normal7"/>
              <w:spacing w:after="0" w:line="240" w:lineRule="auto"/>
              <w:jc w:val="center"/>
              <w:rPr>
                <w:rFonts w:eastAsia="Times New Roman" w:cs="Calibri"/>
                <w:noProof/>
              </w:rPr>
            </w:pPr>
            <w:r>
              <w:rPr>
                <w:noProof/>
              </w:rPr>
              <w:t>2.14</w:t>
            </w:r>
          </w:p>
        </w:tc>
        <w:tc>
          <w:tcPr>
            <w:tcW w:w="1304" w:type="dxa"/>
            <w:shd w:val="clear" w:color="auto" w:fill="C4EFCE"/>
            <w:vAlign w:val="center"/>
            <w:hideMark/>
          </w:tcPr>
          <w:p w14:paraId="4BA08D6A" w14:textId="77777777" w:rsidR="00776A1F" w:rsidRDefault="00D8574B">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695DEC0E"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335B90A" w14:textId="77777777" w:rsidR="00776A1F" w:rsidRDefault="00D8574B">
            <w:pPr>
              <w:pStyle w:val="P68B1DB1-Normal8"/>
              <w:spacing w:after="0" w:line="240" w:lineRule="auto"/>
              <w:jc w:val="center"/>
              <w:rPr>
                <w:rFonts w:eastAsia="Times New Roman" w:cs="Calibri"/>
                <w:noProof/>
              </w:rPr>
            </w:pPr>
            <w:r>
              <w:rPr>
                <w:noProof/>
              </w:rPr>
              <w:t xml:space="preserve">Intervences pasākumi Azoru salu autonomā reģiona publisko mājokļu fondā — renovācija </w:t>
            </w:r>
          </w:p>
        </w:tc>
        <w:tc>
          <w:tcPr>
            <w:tcW w:w="1355" w:type="dxa"/>
            <w:shd w:val="clear" w:color="auto" w:fill="C4EFCE"/>
            <w:vAlign w:val="center"/>
            <w:hideMark/>
          </w:tcPr>
          <w:p w14:paraId="4F089A4F"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814B533" w14:textId="318F9BBD"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6D78199A" w14:textId="6D5675F4" w:rsidR="00776A1F" w:rsidRDefault="00D8574B">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337B0C00" w14:textId="77777777" w:rsidR="00776A1F" w:rsidRDefault="00D8574B">
            <w:pPr>
              <w:pStyle w:val="P68B1DB1-Normal8"/>
              <w:spacing w:after="0" w:line="240" w:lineRule="auto"/>
              <w:jc w:val="center"/>
              <w:rPr>
                <w:rFonts w:eastAsia="Times New Roman" w:cs="Calibri"/>
                <w:noProof/>
              </w:rPr>
            </w:pPr>
            <w:r>
              <w:rPr>
                <w:noProof/>
              </w:rPr>
              <w:t>40</w:t>
            </w:r>
          </w:p>
        </w:tc>
        <w:tc>
          <w:tcPr>
            <w:tcW w:w="473" w:type="dxa"/>
            <w:shd w:val="clear" w:color="auto" w:fill="C4EFCE"/>
            <w:vAlign w:val="center"/>
            <w:hideMark/>
          </w:tcPr>
          <w:p w14:paraId="12883AF0" w14:textId="77777777" w:rsidR="00776A1F" w:rsidRDefault="00D8574B">
            <w:pPr>
              <w:pStyle w:val="P68B1DB1-Normal8"/>
              <w:spacing w:after="0" w:line="240" w:lineRule="auto"/>
              <w:jc w:val="center"/>
              <w:rPr>
                <w:rFonts w:eastAsia="Times New Roman" w:cs="Calibri"/>
                <w:noProof/>
              </w:rPr>
            </w:pPr>
            <w:r>
              <w:rPr>
                <w:noProof/>
              </w:rPr>
              <w:t>4. CET.</w:t>
            </w:r>
          </w:p>
        </w:tc>
        <w:tc>
          <w:tcPr>
            <w:tcW w:w="625" w:type="dxa"/>
            <w:shd w:val="clear" w:color="auto" w:fill="C4EFCE"/>
            <w:vAlign w:val="center"/>
            <w:hideMark/>
          </w:tcPr>
          <w:p w14:paraId="0F49C1FD" w14:textId="77777777" w:rsidR="00776A1F" w:rsidRDefault="00D8574B">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1BA3AE40" w14:textId="77777777" w:rsidR="00776A1F" w:rsidRDefault="00D8574B">
            <w:pPr>
              <w:pStyle w:val="P68B1DB1-Normal8"/>
              <w:spacing w:after="0" w:line="240" w:lineRule="auto"/>
              <w:jc w:val="both"/>
              <w:rPr>
                <w:rFonts w:eastAsia="Times New Roman" w:cs="Calibri"/>
                <w:noProof/>
              </w:rPr>
            </w:pPr>
            <w:r>
              <w:rPr>
                <w:noProof/>
              </w:rPr>
              <w:t xml:space="preserve">Ieguldījums ietver ēku un dzīvokļu renovāciju vai pabeigšanu, ko mēra pēc intervenču skaita. </w:t>
            </w:r>
          </w:p>
          <w:p w14:paraId="71608E96" w14:textId="77777777" w:rsidR="00776A1F" w:rsidRDefault="00D8574B">
            <w:pPr>
              <w:pStyle w:val="P68B1DB1-Normal8"/>
              <w:spacing w:after="0" w:line="240" w:lineRule="auto"/>
              <w:jc w:val="both"/>
              <w:rPr>
                <w:rFonts w:eastAsia="Times New Roman" w:cs="Calibri"/>
                <w:noProof/>
              </w:rPr>
            </w:pPr>
            <w:r>
              <w:rPr>
                <w:noProof/>
              </w:rPr>
              <w:t>Intervencēs ietilpst:</w:t>
            </w:r>
          </w:p>
          <w:p w14:paraId="204AF952" w14:textId="77777777" w:rsidR="00776A1F" w:rsidRDefault="00D8574B">
            <w:pPr>
              <w:pStyle w:val="P68B1DB1-Normal8"/>
              <w:spacing w:after="0" w:line="240" w:lineRule="auto"/>
              <w:jc w:val="both"/>
              <w:rPr>
                <w:rFonts w:eastAsia="Times New Roman" w:cs="Calibri"/>
                <w:noProof/>
              </w:rPr>
            </w:pPr>
            <w:r>
              <w:rPr>
                <w:noProof/>
              </w:rPr>
              <w:t xml:space="preserve">nedzīvojamo publisko ēku pārveidošana par mājokļiem, </w:t>
            </w:r>
          </w:p>
          <w:p w14:paraId="774B76C2" w14:textId="77777777" w:rsidR="00776A1F" w:rsidRDefault="00D8574B">
            <w:pPr>
              <w:pStyle w:val="P68B1DB1-Normal8"/>
              <w:spacing w:after="0" w:line="240" w:lineRule="auto"/>
              <w:jc w:val="both"/>
              <w:rPr>
                <w:rFonts w:eastAsia="Times New Roman" w:cs="Calibri"/>
                <w:noProof/>
              </w:rPr>
            </w:pPr>
            <w:r>
              <w:rPr>
                <w:noProof/>
              </w:rPr>
              <w:t>Finansiāls atbalsts degradētu sociālo ēku pārveidei (Bairros Sociais)</w:t>
            </w:r>
          </w:p>
          <w:p w14:paraId="2517E49E" w14:textId="77777777" w:rsidR="00776A1F" w:rsidRDefault="00D8574B">
            <w:pPr>
              <w:pStyle w:val="P68B1DB1-Normal8"/>
              <w:spacing w:after="0" w:line="240" w:lineRule="auto"/>
              <w:jc w:val="both"/>
              <w:rPr>
                <w:rFonts w:eastAsia="Times New Roman" w:cs="Calibri"/>
                <w:noProof/>
              </w:rPr>
            </w:pPr>
            <w:r>
              <w:rPr>
                <w:noProof/>
              </w:rPr>
              <w:t>—sabiedrisko mājokļu renovācija, lai nodrošinātu atbilstību spēkā esošajiem mājokļu tiesību aktiem, galvenokārt energoefektivitātes prasībām.</w:t>
            </w:r>
          </w:p>
          <w:p w14:paraId="20AA49DB" w14:textId="77777777" w:rsidR="00776A1F" w:rsidRDefault="00D8574B">
            <w:pPr>
              <w:pStyle w:val="P68B1DB1-Normal8"/>
              <w:spacing w:after="0" w:line="240" w:lineRule="auto"/>
              <w:jc w:val="both"/>
              <w:rPr>
                <w:rFonts w:eastAsia="Times New Roman" w:cs="Calibri"/>
                <w:noProof/>
              </w:rPr>
            </w:pPr>
            <w:r>
              <w:rPr>
                <w:noProof/>
              </w:rPr>
              <w:t>Ar energoefektivitātes renovāciju vidēji panāk vismaz vidēja līmeņa renovāciju, kā noteikts Komisijas Ieteikumā (ES) 2019/786 par ēku renovāciju.</w:t>
            </w:r>
          </w:p>
          <w:p w14:paraId="3FE022D6" w14:textId="77777777" w:rsidR="00776A1F" w:rsidRDefault="00D8574B">
            <w:pPr>
              <w:pStyle w:val="P68B1DB1-Normal8"/>
              <w:spacing w:after="0" w:line="240" w:lineRule="auto"/>
              <w:jc w:val="both"/>
              <w:rPr>
                <w:rFonts w:eastAsia="Times New Roman" w:cs="Calibri"/>
                <w:noProof/>
              </w:rPr>
            </w:pPr>
            <w:r>
              <w:rPr>
                <w:noProof/>
              </w:rPr>
              <w:t>Attiecīgā mājokļa vidējais lielums ir aptuveni 100 kvadrātmetri.</w:t>
            </w:r>
          </w:p>
        </w:tc>
      </w:tr>
      <w:tr w:rsidR="00776A1F" w14:paraId="0FFD0E64" w14:textId="77777777">
        <w:trPr>
          <w:trHeight w:val="2824"/>
        </w:trPr>
        <w:tc>
          <w:tcPr>
            <w:tcW w:w="1134" w:type="dxa"/>
            <w:shd w:val="clear" w:color="auto" w:fill="C5EFCE"/>
            <w:vAlign w:val="center"/>
            <w:hideMark/>
          </w:tcPr>
          <w:p w14:paraId="55203759" w14:textId="77777777" w:rsidR="00776A1F" w:rsidRDefault="00D8574B">
            <w:pPr>
              <w:pStyle w:val="P68B1DB1-Normal7"/>
              <w:spacing w:after="0" w:line="240" w:lineRule="auto"/>
              <w:jc w:val="center"/>
              <w:rPr>
                <w:rFonts w:eastAsia="Times New Roman" w:cs="Calibri"/>
                <w:noProof/>
              </w:rPr>
            </w:pPr>
            <w:r>
              <w:rPr>
                <w:noProof/>
              </w:rPr>
              <w:t>2.16</w:t>
            </w:r>
          </w:p>
        </w:tc>
        <w:tc>
          <w:tcPr>
            <w:tcW w:w="1304" w:type="dxa"/>
            <w:shd w:val="clear" w:color="auto" w:fill="C4EFCE"/>
            <w:vAlign w:val="center"/>
            <w:hideMark/>
          </w:tcPr>
          <w:p w14:paraId="4FF83330" w14:textId="77777777" w:rsidR="00776A1F" w:rsidRDefault="00D8574B">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7FD09AD1"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0D030BA" w14:textId="77777777" w:rsidR="00776A1F" w:rsidRDefault="00D8574B">
            <w:pPr>
              <w:pStyle w:val="P68B1DB1-Normal8"/>
              <w:spacing w:after="0" w:line="240" w:lineRule="auto"/>
              <w:jc w:val="center"/>
              <w:rPr>
                <w:rFonts w:eastAsia="Times New Roman" w:cs="Calibri"/>
                <w:noProof/>
              </w:rPr>
            </w:pPr>
            <w:r>
              <w:rPr>
                <w:noProof/>
              </w:rPr>
              <w:t xml:space="preserve">Intervences pasākumi Azoru salu autonomā reģiona publisko mājokļu fondā — renovācija </w:t>
            </w:r>
          </w:p>
        </w:tc>
        <w:tc>
          <w:tcPr>
            <w:tcW w:w="1355" w:type="dxa"/>
            <w:shd w:val="clear" w:color="auto" w:fill="C4EFCE"/>
            <w:vAlign w:val="center"/>
            <w:hideMark/>
          </w:tcPr>
          <w:p w14:paraId="4DE9F928"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408461B" w14:textId="4C0E6877"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6C763F31" w14:textId="77777777" w:rsidR="00776A1F" w:rsidRDefault="00D8574B">
            <w:pPr>
              <w:pStyle w:val="P68B1DB1-Normal8"/>
              <w:spacing w:after="0" w:line="240" w:lineRule="auto"/>
              <w:jc w:val="center"/>
              <w:rPr>
                <w:rFonts w:eastAsia="Times New Roman" w:cs="Calibri"/>
                <w:noProof/>
              </w:rPr>
            </w:pPr>
            <w:r>
              <w:rPr>
                <w:noProof/>
              </w:rPr>
              <w:t>40</w:t>
            </w:r>
          </w:p>
        </w:tc>
        <w:tc>
          <w:tcPr>
            <w:tcW w:w="897" w:type="dxa"/>
            <w:shd w:val="clear" w:color="auto" w:fill="C4EFCE"/>
            <w:vAlign w:val="center"/>
            <w:hideMark/>
          </w:tcPr>
          <w:p w14:paraId="0F631C49" w14:textId="32CD02EE" w:rsidR="00776A1F" w:rsidRDefault="00D8574B">
            <w:pPr>
              <w:pStyle w:val="P68B1DB1-Normal8"/>
              <w:spacing w:after="0" w:line="240" w:lineRule="auto"/>
              <w:jc w:val="center"/>
              <w:rPr>
                <w:rFonts w:eastAsia="Times New Roman" w:cs="Calibri"/>
                <w:noProof/>
              </w:rPr>
            </w:pPr>
            <w:r>
              <w:rPr>
                <w:noProof/>
              </w:rPr>
              <w:t>101</w:t>
            </w:r>
          </w:p>
        </w:tc>
        <w:tc>
          <w:tcPr>
            <w:tcW w:w="473" w:type="dxa"/>
            <w:shd w:val="clear" w:color="auto" w:fill="C4EFCE"/>
            <w:vAlign w:val="center"/>
            <w:hideMark/>
          </w:tcPr>
          <w:p w14:paraId="6840DC22" w14:textId="77777777" w:rsidR="00776A1F" w:rsidRDefault="00D8574B">
            <w:pPr>
              <w:pStyle w:val="P68B1DB1-Normal8"/>
              <w:spacing w:after="0" w:line="240" w:lineRule="auto"/>
              <w:jc w:val="center"/>
              <w:rPr>
                <w:rFonts w:eastAsia="Times New Roman" w:cs="Calibri"/>
                <w:noProof/>
              </w:rPr>
            </w:pPr>
            <w:r>
              <w:rPr>
                <w:noProof/>
              </w:rPr>
              <w:t>4. CET.</w:t>
            </w:r>
          </w:p>
        </w:tc>
        <w:tc>
          <w:tcPr>
            <w:tcW w:w="625" w:type="dxa"/>
            <w:shd w:val="clear" w:color="auto" w:fill="C4EFCE"/>
            <w:vAlign w:val="center"/>
            <w:hideMark/>
          </w:tcPr>
          <w:p w14:paraId="1B49E65C" w14:textId="77777777" w:rsidR="00776A1F" w:rsidRDefault="00D8574B">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7D17215F" w14:textId="091C177D" w:rsidR="00776A1F" w:rsidRDefault="00D8574B">
            <w:pPr>
              <w:pStyle w:val="P68B1DB1-Normal8"/>
              <w:spacing w:after="0" w:line="240" w:lineRule="auto"/>
              <w:jc w:val="both"/>
              <w:rPr>
                <w:rFonts w:eastAsia="Times New Roman" w:cs="Calibri"/>
                <w:noProof/>
              </w:rPr>
            </w:pPr>
            <w:r>
              <w:rPr>
                <w:noProof/>
              </w:rPr>
              <w:t xml:space="preserve">Ieguldījums ietver ēku un dzīvokļu renovāciju vai pabeigšanu, ko mēra pēc intervences pasākumu skaita, un darbi ir pabeigti. </w:t>
            </w:r>
          </w:p>
          <w:p w14:paraId="7B68446D" w14:textId="11D8397B" w:rsidR="00776A1F" w:rsidRDefault="00D8574B">
            <w:pPr>
              <w:pStyle w:val="P68B1DB1-Normal8"/>
              <w:spacing w:after="0" w:line="240" w:lineRule="auto"/>
              <w:jc w:val="both"/>
              <w:rPr>
                <w:rFonts w:eastAsia="Times New Roman" w:cs="Calibri"/>
                <w:noProof/>
              </w:rPr>
            </w:pPr>
            <w:r>
              <w:rPr>
                <w:noProof/>
              </w:rPr>
              <w:t>Intervencēs var ietilpt:</w:t>
            </w:r>
          </w:p>
          <w:p w14:paraId="6A1600CE" w14:textId="3C884396" w:rsidR="00776A1F" w:rsidRDefault="00D8574B">
            <w:pPr>
              <w:pStyle w:val="P68B1DB1-Normal8"/>
              <w:spacing w:after="0" w:line="240" w:lineRule="auto"/>
              <w:jc w:val="both"/>
              <w:rPr>
                <w:rFonts w:eastAsia="Times New Roman" w:cs="Calibri"/>
                <w:noProof/>
              </w:rPr>
            </w:pPr>
            <w:r>
              <w:rPr>
                <w:noProof/>
              </w:rPr>
              <w:t xml:space="preserve">nedzīvojamo publisko ēku pārveidošana par mājokļiem, </w:t>
            </w:r>
          </w:p>
          <w:p w14:paraId="6929DEBD" w14:textId="5295AB7B" w:rsidR="00776A1F" w:rsidRDefault="00D8574B">
            <w:pPr>
              <w:pStyle w:val="P68B1DB1-Normal8"/>
              <w:spacing w:after="0" w:line="240" w:lineRule="auto"/>
              <w:jc w:val="both"/>
              <w:rPr>
                <w:rFonts w:eastAsia="Times New Roman" w:cs="Calibri"/>
                <w:noProof/>
              </w:rPr>
            </w:pPr>
            <w:r>
              <w:rPr>
                <w:noProof/>
              </w:rPr>
              <w:t>Finansiāls atbalsts degradētu sociālo ēku pārveidei (Bairros Sociais)</w:t>
            </w:r>
          </w:p>
          <w:p w14:paraId="0652D4D3" w14:textId="77777777" w:rsidR="00776A1F" w:rsidRDefault="00D8574B">
            <w:pPr>
              <w:pStyle w:val="P68B1DB1-Normal8"/>
              <w:spacing w:after="0" w:line="240" w:lineRule="auto"/>
              <w:jc w:val="both"/>
              <w:rPr>
                <w:rFonts w:eastAsia="Times New Roman" w:cs="Calibri"/>
                <w:noProof/>
              </w:rPr>
            </w:pPr>
            <w:r>
              <w:rPr>
                <w:noProof/>
              </w:rPr>
              <w:t>—Sabiedrisko mājokļu renovācija, lai nodrošinātu atbilstību spēkā esošajiem mājokļu tiesību aktiem, galvenokārt energoefektivitātes prasībām.</w:t>
            </w:r>
          </w:p>
          <w:p w14:paraId="32BB662A" w14:textId="77777777" w:rsidR="00776A1F" w:rsidRDefault="00D8574B">
            <w:pPr>
              <w:pStyle w:val="P68B1DB1-Normal8"/>
              <w:spacing w:after="0" w:line="240" w:lineRule="auto"/>
              <w:jc w:val="both"/>
              <w:rPr>
                <w:rFonts w:eastAsia="Times New Roman" w:cs="Calibri"/>
                <w:noProof/>
              </w:rPr>
            </w:pPr>
            <w:r>
              <w:rPr>
                <w:noProof/>
              </w:rPr>
              <w:t>Ar energoefektivitātes renovāciju vidēji panāk vismaz vidēja līmeņa renovāciju, kā noteikts Komisijas Ieteikumā (ES) 2019/786 par ēku renovāciju.</w:t>
            </w:r>
          </w:p>
          <w:p w14:paraId="5A4B25FC" w14:textId="77777777" w:rsidR="00776A1F" w:rsidRDefault="00D8574B">
            <w:pPr>
              <w:pStyle w:val="P68B1DB1-Normal8"/>
              <w:spacing w:after="0" w:line="240" w:lineRule="auto"/>
              <w:jc w:val="both"/>
              <w:rPr>
                <w:rFonts w:eastAsia="Times New Roman" w:cs="Calibri"/>
                <w:noProof/>
              </w:rPr>
            </w:pPr>
            <w:r>
              <w:rPr>
                <w:noProof/>
              </w:rPr>
              <w:t>Attiecīgā mājokļa vidējais lielums ir aptuveni 100 kvadrātmetri.</w:t>
            </w:r>
          </w:p>
        </w:tc>
      </w:tr>
      <w:tr w:rsidR="00776A1F" w14:paraId="0FEE8F26" w14:textId="77777777">
        <w:trPr>
          <w:trHeight w:val="420"/>
        </w:trPr>
        <w:tc>
          <w:tcPr>
            <w:tcW w:w="1134" w:type="dxa"/>
            <w:shd w:val="clear" w:color="auto" w:fill="C5EFCE"/>
            <w:vAlign w:val="center"/>
            <w:hideMark/>
          </w:tcPr>
          <w:p w14:paraId="7A1DBDA2" w14:textId="77777777" w:rsidR="00776A1F" w:rsidRDefault="00D8574B">
            <w:pPr>
              <w:pStyle w:val="P68B1DB1-Normal7"/>
              <w:spacing w:after="0" w:line="240" w:lineRule="auto"/>
              <w:jc w:val="center"/>
              <w:rPr>
                <w:rFonts w:eastAsia="Times New Roman" w:cs="Calibri"/>
                <w:noProof/>
              </w:rPr>
            </w:pPr>
            <w:r>
              <w:rPr>
                <w:noProof/>
              </w:rPr>
              <w:t>2.17</w:t>
            </w:r>
          </w:p>
        </w:tc>
        <w:tc>
          <w:tcPr>
            <w:tcW w:w="1304" w:type="dxa"/>
            <w:shd w:val="clear" w:color="auto" w:fill="C4EFCE"/>
            <w:vAlign w:val="center"/>
            <w:hideMark/>
          </w:tcPr>
          <w:p w14:paraId="6200EF9A" w14:textId="77777777" w:rsidR="00776A1F" w:rsidRDefault="00D8574B">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58F4DB9C"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499C265" w14:textId="77777777" w:rsidR="00776A1F" w:rsidRDefault="00D8574B">
            <w:pPr>
              <w:pStyle w:val="P68B1DB1-Normal8"/>
              <w:spacing w:after="0" w:line="240" w:lineRule="auto"/>
              <w:jc w:val="center"/>
              <w:rPr>
                <w:rFonts w:eastAsia="Times New Roman" w:cs="Calibri"/>
                <w:noProof/>
              </w:rPr>
            </w:pPr>
            <w:r>
              <w:rPr>
                <w:noProof/>
              </w:rPr>
              <w:t>Intervences pasākumi Azoru salu autonomā reģiona valsts mājokļu fondā — ēku būvniecība</w:t>
            </w:r>
          </w:p>
        </w:tc>
        <w:tc>
          <w:tcPr>
            <w:tcW w:w="1355" w:type="dxa"/>
            <w:shd w:val="clear" w:color="auto" w:fill="C4EFCE"/>
            <w:vAlign w:val="center"/>
            <w:hideMark/>
          </w:tcPr>
          <w:p w14:paraId="59C3648C"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7F5301E" w14:textId="5FCA7618"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5443BFE5" w14:textId="7DF628DE" w:rsidR="00776A1F" w:rsidRDefault="00D8574B">
            <w:pPr>
              <w:pStyle w:val="P68B1DB1-Normal8"/>
              <w:spacing w:after="0" w:line="240" w:lineRule="auto"/>
              <w:jc w:val="center"/>
              <w:rPr>
                <w:rFonts w:eastAsia="Times New Roman" w:cs="Calibri"/>
                <w:noProof/>
              </w:rPr>
            </w:pPr>
            <w:r>
              <w:rPr>
                <w:noProof/>
              </w:rPr>
              <w:t>24</w:t>
            </w:r>
          </w:p>
        </w:tc>
        <w:tc>
          <w:tcPr>
            <w:tcW w:w="897" w:type="dxa"/>
            <w:shd w:val="clear" w:color="auto" w:fill="C4EFCE"/>
            <w:vAlign w:val="center"/>
            <w:hideMark/>
          </w:tcPr>
          <w:p w14:paraId="46259B98" w14:textId="678AC6A1" w:rsidR="00776A1F" w:rsidRDefault="00D8574B">
            <w:pPr>
              <w:pStyle w:val="P68B1DB1-Normal8"/>
              <w:spacing w:after="0" w:line="240" w:lineRule="auto"/>
              <w:jc w:val="center"/>
              <w:rPr>
                <w:rFonts w:eastAsia="Times New Roman" w:cs="Calibri"/>
                <w:noProof/>
              </w:rPr>
            </w:pPr>
            <w:r>
              <w:rPr>
                <w:noProof/>
              </w:rPr>
              <w:t>100</w:t>
            </w:r>
          </w:p>
        </w:tc>
        <w:tc>
          <w:tcPr>
            <w:tcW w:w="473" w:type="dxa"/>
            <w:shd w:val="clear" w:color="auto" w:fill="C4EFCE"/>
            <w:vAlign w:val="center"/>
            <w:hideMark/>
          </w:tcPr>
          <w:p w14:paraId="2BCEE32C" w14:textId="77777777" w:rsidR="00776A1F" w:rsidRDefault="00D8574B">
            <w:pPr>
              <w:pStyle w:val="P68B1DB1-Normal8"/>
              <w:spacing w:after="0" w:line="240" w:lineRule="auto"/>
              <w:jc w:val="center"/>
              <w:rPr>
                <w:rFonts w:eastAsia="Times New Roman" w:cs="Calibri"/>
                <w:noProof/>
              </w:rPr>
            </w:pPr>
            <w:r>
              <w:rPr>
                <w:noProof/>
              </w:rPr>
              <w:t>4. CET.</w:t>
            </w:r>
          </w:p>
        </w:tc>
        <w:tc>
          <w:tcPr>
            <w:tcW w:w="625" w:type="dxa"/>
            <w:shd w:val="clear" w:color="auto" w:fill="C4EFCE"/>
            <w:vAlign w:val="center"/>
            <w:hideMark/>
          </w:tcPr>
          <w:p w14:paraId="3AEDD75E" w14:textId="77777777" w:rsidR="00776A1F" w:rsidRDefault="00D8574B">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516BF675" w14:textId="77777777" w:rsidR="00776A1F" w:rsidRDefault="00D8574B">
            <w:pPr>
              <w:pStyle w:val="P68B1DB1-Normal8"/>
              <w:spacing w:after="0" w:line="240" w:lineRule="auto"/>
              <w:jc w:val="both"/>
              <w:rPr>
                <w:rFonts w:eastAsia="Times New Roman" w:cs="Calibri"/>
                <w:noProof/>
              </w:rPr>
            </w:pPr>
            <w:r>
              <w:rPr>
                <w:noProof/>
              </w:rPr>
              <w:t xml:space="preserve">Intervences pasākumu skaits, tostarp vajadzības gadījumā zemes urbanizācija, kā arī pabeigti darbi, lai palielinātu sociālo mājokļu fondu. </w:t>
            </w:r>
          </w:p>
          <w:p w14:paraId="35DAC105" w14:textId="77777777" w:rsidR="00776A1F" w:rsidRDefault="00D8574B">
            <w:pPr>
              <w:pStyle w:val="P68B1DB1-Normal8"/>
              <w:spacing w:after="0" w:line="240" w:lineRule="auto"/>
              <w:jc w:val="both"/>
              <w:rPr>
                <w:rFonts w:eastAsia="Times New Roman" w:cs="Calibri"/>
                <w:noProof/>
              </w:rPr>
            </w:pPr>
            <w:r>
              <w:rPr>
                <w:noProof/>
              </w:rPr>
              <w:t>Ja jaunu ēku būvniecība ir saistīta ar jaunu ēku būvniecību, primārās enerģijas pieprasījums ir vismaz par 20 % zemāks, nekā prasīts gandrīz nulles enerģijas ēkām.</w:t>
            </w:r>
          </w:p>
          <w:p w14:paraId="38B842FC" w14:textId="0042F4F2" w:rsidR="00776A1F" w:rsidRDefault="00D8574B">
            <w:pPr>
              <w:pStyle w:val="P68B1DB1-Normal8"/>
              <w:spacing w:after="0" w:line="240" w:lineRule="auto"/>
              <w:jc w:val="both"/>
              <w:rPr>
                <w:rFonts w:eastAsia="Times New Roman" w:cs="Calibri"/>
                <w:noProof/>
              </w:rPr>
            </w:pPr>
            <w:r>
              <w:rPr>
                <w:noProof/>
              </w:rPr>
              <w:t>Mājokļu vidējais lielums ir aptuveni 120 kvadrātmetri.</w:t>
            </w:r>
          </w:p>
        </w:tc>
      </w:tr>
      <w:tr w:rsidR="00776A1F" w14:paraId="25FEA8B5" w14:textId="77777777">
        <w:trPr>
          <w:trHeight w:val="831"/>
        </w:trPr>
        <w:tc>
          <w:tcPr>
            <w:tcW w:w="1134" w:type="dxa"/>
            <w:shd w:val="clear" w:color="auto" w:fill="C5EFCE"/>
            <w:vAlign w:val="center"/>
            <w:hideMark/>
          </w:tcPr>
          <w:p w14:paraId="4DF650DD" w14:textId="77777777" w:rsidR="00776A1F" w:rsidRDefault="00D8574B">
            <w:pPr>
              <w:pStyle w:val="P68B1DB1-Normal7"/>
              <w:spacing w:after="0" w:line="240" w:lineRule="auto"/>
              <w:jc w:val="center"/>
              <w:rPr>
                <w:rFonts w:eastAsia="Times New Roman" w:cs="Calibri"/>
                <w:noProof/>
              </w:rPr>
            </w:pPr>
            <w:r>
              <w:rPr>
                <w:noProof/>
              </w:rPr>
              <w:t>2.18</w:t>
            </w:r>
          </w:p>
        </w:tc>
        <w:tc>
          <w:tcPr>
            <w:tcW w:w="1304" w:type="dxa"/>
            <w:shd w:val="clear" w:color="auto" w:fill="C4EFCE"/>
            <w:vAlign w:val="center"/>
            <w:hideMark/>
          </w:tcPr>
          <w:p w14:paraId="7D8900A1" w14:textId="77777777" w:rsidR="00776A1F" w:rsidRDefault="00D8574B">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BEA123C" w14:textId="77777777" w:rsidR="00776A1F" w:rsidRDefault="00D8574B">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DCA3115" w14:textId="77777777" w:rsidR="00776A1F" w:rsidRDefault="00D8574B">
            <w:pPr>
              <w:pStyle w:val="P68B1DB1-Normal8"/>
              <w:spacing w:after="0" w:line="240" w:lineRule="auto"/>
              <w:jc w:val="center"/>
              <w:rPr>
                <w:rFonts w:eastAsia="Times New Roman" w:cs="Calibri"/>
                <w:noProof/>
              </w:rPr>
            </w:pPr>
            <w:r>
              <w:rPr>
                <w:noProof/>
              </w:rPr>
              <w:t>Intervences pasākumi Azoru salu autonomā reģiona publisko mājokļu fondā — renovācija</w:t>
            </w:r>
          </w:p>
        </w:tc>
        <w:tc>
          <w:tcPr>
            <w:tcW w:w="1355" w:type="dxa"/>
            <w:shd w:val="clear" w:color="auto" w:fill="C4EFCE"/>
            <w:vAlign w:val="center"/>
            <w:hideMark/>
          </w:tcPr>
          <w:p w14:paraId="40C9CFB1" w14:textId="77777777" w:rsidR="00776A1F" w:rsidRDefault="00D8574B">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93183B5" w14:textId="752160E4" w:rsidR="00776A1F" w:rsidRDefault="00D8574B">
            <w:pPr>
              <w:pStyle w:val="P68B1DB1-Normal8"/>
              <w:spacing w:after="0" w:line="240" w:lineRule="auto"/>
              <w:jc w:val="center"/>
              <w:rPr>
                <w:rFonts w:eastAsia="Times New Roman" w:cs="Calibri"/>
                <w:noProof/>
              </w:rPr>
            </w:pPr>
            <w:r>
              <w:rPr>
                <w:noProof/>
              </w:rPr>
              <w:t>Skaits</w:t>
            </w:r>
          </w:p>
        </w:tc>
        <w:tc>
          <w:tcPr>
            <w:tcW w:w="1134" w:type="dxa"/>
            <w:shd w:val="clear" w:color="auto" w:fill="C4EFCE"/>
            <w:vAlign w:val="center"/>
            <w:hideMark/>
          </w:tcPr>
          <w:p w14:paraId="1B967865" w14:textId="51F3039A" w:rsidR="00776A1F" w:rsidRDefault="00D8574B">
            <w:pPr>
              <w:pStyle w:val="P68B1DB1-Normal8"/>
              <w:spacing w:after="0" w:line="240" w:lineRule="auto"/>
              <w:jc w:val="center"/>
              <w:rPr>
                <w:rFonts w:eastAsia="Times New Roman" w:cs="Calibri"/>
                <w:noProof/>
              </w:rPr>
            </w:pPr>
            <w:r>
              <w:rPr>
                <w:noProof/>
              </w:rPr>
              <w:t>101</w:t>
            </w:r>
          </w:p>
        </w:tc>
        <w:tc>
          <w:tcPr>
            <w:tcW w:w="897" w:type="dxa"/>
            <w:shd w:val="clear" w:color="auto" w:fill="C4EFCE"/>
            <w:vAlign w:val="center"/>
            <w:hideMark/>
          </w:tcPr>
          <w:p w14:paraId="769572A9" w14:textId="49DD8B07" w:rsidR="00776A1F" w:rsidRDefault="00D8574B">
            <w:pPr>
              <w:pStyle w:val="P68B1DB1-Normal8"/>
              <w:spacing w:after="0" w:line="240" w:lineRule="auto"/>
              <w:jc w:val="center"/>
              <w:rPr>
                <w:rFonts w:eastAsia="Times New Roman" w:cs="Calibri"/>
                <w:noProof/>
              </w:rPr>
            </w:pPr>
            <w:r>
              <w:rPr>
                <w:noProof/>
              </w:rPr>
              <w:t>602</w:t>
            </w:r>
          </w:p>
        </w:tc>
        <w:tc>
          <w:tcPr>
            <w:tcW w:w="473" w:type="dxa"/>
            <w:shd w:val="clear" w:color="auto" w:fill="C4EFCE"/>
            <w:vAlign w:val="center"/>
            <w:hideMark/>
          </w:tcPr>
          <w:p w14:paraId="5E5CB188" w14:textId="77777777" w:rsidR="00776A1F" w:rsidRDefault="00D8574B">
            <w:pPr>
              <w:pStyle w:val="P68B1DB1-Normal8"/>
              <w:spacing w:after="0" w:line="240" w:lineRule="auto"/>
              <w:jc w:val="center"/>
              <w:rPr>
                <w:rFonts w:eastAsia="Times New Roman" w:cs="Calibri"/>
                <w:noProof/>
              </w:rPr>
            </w:pPr>
            <w:r>
              <w:rPr>
                <w:noProof/>
              </w:rPr>
              <w:t>4. CET.</w:t>
            </w:r>
          </w:p>
        </w:tc>
        <w:tc>
          <w:tcPr>
            <w:tcW w:w="625" w:type="dxa"/>
            <w:shd w:val="clear" w:color="auto" w:fill="C4EFCE"/>
            <w:vAlign w:val="center"/>
            <w:hideMark/>
          </w:tcPr>
          <w:p w14:paraId="25139D3A" w14:textId="77777777" w:rsidR="00776A1F" w:rsidRDefault="00D8574B">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7C838658" w14:textId="2AF73229" w:rsidR="00776A1F" w:rsidRDefault="00D8574B">
            <w:pPr>
              <w:pStyle w:val="P68B1DB1-Normal8"/>
              <w:spacing w:after="0" w:line="240" w:lineRule="auto"/>
              <w:jc w:val="both"/>
              <w:rPr>
                <w:rFonts w:eastAsia="Times New Roman" w:cs="Calibri"/>
                <w:noProof/>
              </w:rPr>
            </w:pPr>
            <w:r>
              <w:rPr>
                <w:noProof/>
              </w:rPr>
              <w:t xml:space="preserve">Ieguldījums ietver ēku un dzīvokļu renovāciju vai pabeigšanu, ko mēra pēc intervenču skaita. </w:t>
            </w:r>
          </w:p>
          <w:p w14:paraId="5CC5DAB9" w14:textId="0CE72A03" w:rsidR="00776A1F" w:rsidRDefault="00D8574B">
            <w:pPr>
              <w:pStyle w:val="P68B1DB1-Normal8"/>
              <w:spacing w:after="0" w:line="240" w:lineRule="auto"/>
              <w:jc w:val="both"/>
              <w:rPr>
                <w:rFonts w:eastAsia="Times New Roman" w:cs="Calibri"/>
                <w:noProof/>
              </w:rPr>
            </w:pPr>
            <w:r>
              <w:rPr>
                <w:noProof/>
              </w:rPr>
              <w:t>Intervencēs var ietilpt:</w:t>
            </w:r>
          </w:p>
          <w:p w14:paraId="2D64D5AE" w14:textId="684C0690" w:rsidR="00776A1F" w:rsidRDefault="00D8574B">
            <w:pPr>
              <w:pStyle w:val="P68B1DB1-Normal8"/>
              <w:spacing w:after="0" w:line="240" w:lineRule="auto"/>
              <w:jc w:val="both"/>
              <w:rPr>
                <w:rFonts w:eastAsia="Times New Roman" w:cs="Calibri"/>
                <w:noProof/>
              </w:rPr>
            </w:pPr>
            <w:r>
              <w:rPr>
                <w:noProof/>
              </w:rPr>
              <w:t xml:space="preserve">nedzīvojamo publisko ēku pārveidošana par mājokļiem, </w:t>
            </w:r>
          </w:p>
          <w:p w14:paraId="10665253" w14:textId="532B6F1F" w:rsidR="00776A1F" w:rsidRDefault="00D8574B">
            <w:pPr>
              <w:pStyle w:val="P68B1DB1-Normal8"/>
              <w:spacing w:after="0" w:line="240" w:lineRule="auto"/>
              <w:jc w:val="both"/>
              <w:rPr>
                <w:rFonts w:eastAsia="Times New Roman" w:cs="Calibri"/>
                <w:noProof/>
              </w:rPr>
            </w:pPr>
            <w:r>
              <w:rPr>
                <w:noProof/>
              </w:rPr>
              <w:t xml:space="preserve">jauniešu īres veicināšanas plāna īstenošana (piemēram, vietējo mājokļu — Alojamento Local pārveidošana par ilgtermiņa īri, pilsētu centru rehabilitācija). </w:t>
            </w:r>
          </w:p>
          <w:p w14:paraId="4070F306" w14:textId="0A1C2EF3" w:rsidR="00776A1F" w:rsidRDefault="00D8574B">
            <w:pPr>
              <w:pStyle w:val="P68B1DB1-Normal8"/>
              <w:spacing w:after="0" w:line="240" w:lineRule="auto"/>
              <w:jc w:val="both"/>
              <w:rPr>
                <w:rFonts w:eastAsia="Times New Roman" w:cs="Calibri"/>
                <w:noProof/>
              </w:rPr>
            </w:pPr>
            <w:r>
              <w:rPr>
                <w:noProof/>
              </w:rPr>
              <w:t>Finansiāls atbalsts degradētu sociālo ēku pārveidei (Bairros Sociais)</w:t>
            </w:r>
          </w:p>
          <w:p w14:paraId="482801D9" w14:textId="77777777" w:rsidR="00776A1F" w:rsidRDefault="00D8574B">
            <w:pPr>
              <w:pStyle w:val="P68B1DB1-Normal8"/>
              <w:spacing w:after="0" w:line="240" w:lineRule="auto"/>
              <w:jc w:val="both"/>
              <w:rPr>
                <w:rFonts w:eastAsia="Times New Roman" w:cs="Calibri"/>
                <w:noProof/>
              </w:rPr>
            </w:pPr>
            <w:r>
              <w:rPr>
                <w:noProof/>
              </w:rPr>
              <w:t>—sabiedrisko mājokļu renovācija, lai nodrošinātu atbilstību spēkā esošajiem mājokļu tiesību aktiem, galvenokārt energoefektivitātes prasībām.</w:t>
            </w:r>
          </w:p>
          <w:p w14:paraId="41DBC569" w14:textId="77777777" w:rsidR="00776A1F" w:rsidRDefault="00D8574B">
            <w:pPr>
              <w:pStyle w:val="P68B1DB1-Normal8"/>
              <w:spacing w:after="0" w:line="240" w:lineRule="auto"/>
              <w:jc w:val="both"/>
              <w:rPr>
                <w:rFonts w:eastAsia="Times New Roman" w:cs="Calibri"/>
                <w:noProof/>
              </w:rPr>
            </w:pPr>
            <w:r>
              <w:rPr>
                <w:noProof/>
              </w:rPr>
              <w:t>Ar energoefektivitātes renovāciju vidēji panāk vismaz vidēja līmeņa renovāciju, kā noteikts Komisijas Ieteikumā (ES) 2019/786 par ēku renovāciju.</w:t>
            </w:r>
          </w:p>
          <w:p w14:paraId="27313658" w14:textId="77777777" w:rsidR="00776A1F" w:rsidRDefault="00D8574B">
            <w:pPr>
              <w:pStyle w:val="P68B1DB1-Normal8"/>
              <w:spacing w:after="0" w:line="240" w:lineRule="auto"/>
              <w:jc w:val="both"/>
              <w:rPr>
                <w:rFonts w:eastAsia="Times New Roman" w:cs="Calibri"/>
                <w:noProof/>
              </w:rPr>
            </w:pPr>
            <w:r>
              <w:rPr>
                <w:noProof/>
              </w:rPr>
              <w:t>Attiecīgo mājokļu vidējais lielums ir aptuveni 100 kvadrātmetri.</w:t>
            </w:r>
          </w:p>
        </w:tc>
      </w:tr>
      <w:tr w:rsidR="00776A1F" w14:paraId="347B37FF" w14:textId="77777777">
        <w:trPr>
          <w:trHeight w:val="1897"/>
        </w:trPr>
        <w:tc>
          <w:tcPr>
            <w:tcW w:w="1134" w:type="dxa"/>
            <w:shd w:val="clear" w:color="auto" w:fill="C4EFCE"/>
            <w:vAlign w:val="center"/>
          </w:tcPr>
          <w:p w14:paraId="55D5B2CB" w14:textId="77777777" w:rsidR="00776A1F" w:rsidRDefault="00D8574B">
            <w:pPr>
              <w:pStyle w:val="P68B1DB1-Normal7"/>
              <w:spacing w:after="0" w:line="240" w:lineRule="auto"/>
              <w:jc w:val="center"/>
              <w:rPr>
                <w:rFonts w:eastAsia="Times New Roman" w:cs="Calibri"/>
                <w:noProof/>
              </w:rPr>
            </w:pPr>
            <w:r>
              <w:rPr>
                <w:noProof/>
              </w:rPr>
              <w:t>2.19</w:t>
            </w:r>
          </w:p>
        </w:tc>
        <w:tc>
          <w:tcPr>
            <w:tcW w:w="1304" w:type="dxa"/>
            <w:shd w:val="clear" w:color="auto" w:fill="C4EFCE"/>
            <w:vAlign w:val="center"/>
          </w:tcPr>
          <w:p w14:paraId="02390AF0" w14:textId="77777777" w:rsidR="00776A1F" w:rsidRDefault="00D8574B">
            <w:pPr>
              <w:pStyle w:val="P68B1DB1-Normal8"/>
              <w:spacing w:after="0" w:line="240" w:lineRule="auto"/>
              <w:jc w:val="center"/>
              <w:rPr>
                <w:rFonts w:eastAsia="Times New Roman" w:cs="Calibri"/>
                <w:noProof/>
              </w:rPr>
            </w:pPr>
            <w:r>
              <w:rPr>
                <w:noProof/>
              </w:rPr>
              <w:t>Re-C02-r04</w:t>
            </w:r>
          </w:p>
        </w:tc>
        <w:tc>
          <w:tcPr>
            <w:tcW w:w="1077" w:type="dxa"/>
            <w:shd w:val="clear" w:color="auto" w:fill="C4EFCE"/>
            <w:vAlign w:val="center"/>
          </w:tcPr>
          <w:p w14:paraId="61654FF5" w14:textId="77777777" w:rsidR="00776A1F" w:rsidRDefault="00D8574B">
            <w:pPr>
              <w:pStyle w:val="P68B1DB1-Normal8"/>
              <w:spacing w:after="0" w:line="240" w:lineRule="auto"/>
              <w:jc w:val="center"/>
              <w:rPr>
                <w:rFonts w:eastAsia="Times New Roman" w:cs="Calibri"/>
                <w:noProof/>
              </w:rPr>
            </w:pPr>
            <w:r>
              <w:rPr>
                <w:noProof/>
              </w:rPr>
              <w:t>M</w:t>
            </w:r>
          </w:p>
        </w:tc>
        <w:tc>
          <w:tcPr>
            <w:tcW w:w="2026" w:type="dxa"/>
            <w:shd w:val="clear" w:color="auto" w:fill="C4EFCE"/>
            <w:vAlign w:val="center"/>
          </w:tcPr>
          <w:p w14:paraId="06B961BF" w14:textId="77777777" w:rsidR="00776A1F" w:rsidRDefault="00D8574B">
            <w:pPr>
              <w:pStyle w:val="P68B1DB1-Normal9"/>
              <w:spacing w:after="0" w:line="240" w:lineRule="auto"/>
              <w:rPr>
                <w:rFonts w:eastAsia="Times New Roman" w:cs="Calibri"/>
                <w:noProof/>
                <w:sz w:val="16"/>
              </w:rPr>
            </w:pPr>
            <w:r>
              <w:rPr>
                <w:noProof/>
                <w:sz w:val="16"/>
              </w:rPr>
              <w:t>Stājas spēkā Dekrētlikums, ar ko apstiprina valsts steidzamā un pagaidu mājokļu plānatiesisko regulējumu</w:t>
            </w:r>
          </w:p>
        </w:tc>
        <w:tc>
          <w:tcPr>
            <w:tcW w:w="1355" w:type="dxa"/>
            <w:shd w:val="clear" w:color="auto" w:fill="C4EFCE"/>
            <w:vAlign w:val="center"/>
          </w:tcPr>
          <w:p w14:paraId="10E78A8C" w14:textId="77777777" w:rsidR="00776A1F" w:rsidRDefault="00D8574B">
            <w:pPr>
              <w:pStyle w:val="P68B1DB1-Normal8"/>
              <w:spacing w:after="0" w:line="240" w:lineRule="auto"/>
              <w:rPr>
                <w:rFonts w:eastAsia="Times New Roman" w:cs="Calibri"/>
                <w:noProof/>
              </w:rPr>
            </w:pPr>
            <w:r>
              <w:rPr>
                <w:noProof/>
              </w:rPr>
              <w:t>Dekrētlikuma stāšanās spēkā</w:t>
            </w:r>
          </w:p>
        </w:tc>
        <w:tc>
          <w:tcPr>
            <w:tcW w:w="1021" w:type="dxa"/>
            <w:shd w:val="clear" w:color="auto" w:fill="C4EFCE"/>
            <w:vAlign w:val="center"/>
          </w:tcPr>
          <w:p w14:paraId="1DBACC24" w14:textId="1C8EF36E" w:rsidR="00776A1F" w:rsidRDefault="00776A1F">
            <w:pPr>
              <w:spacing w:after="0" w:line="240" w:lineRule="auto"/>
              <w:jc w:val="center"/>
              <w:rPr>
                <w:rFonts w:ascii="Calibri" w:eastAsia="Times New Roman" w:hAnsi="Calibri" w:cs="Calibri"/>
                <w:noProof/>
                <w:sz w:val="16"/>
              </w:rPr>
            </w:pPr>
          </w:p>
        </w:tc>
        <w:tc>
          <w:tcPr>
            <w:tcW w:w="1134" w:type="dxa"/>
            <w:shd w:val="clear" w:color="auto" w:fill="C4EFCE"/>
            <w:vAlign w:val="center"/>
          </w:tcPr>
          <w:p w14:paraId="22364C29" w14:textId="331D8C51" w:rsidR="00776A1F" w:rsidRDefault="00776A1F">
            <w:pPr>
              <w:spacing w:after="0" w:line="240" w:lineRule="auto"/>
              <w:jc w:val="center"/>
              <w:rPr>
                <w:rFonts w:ascii="Calibri" w:eastAsia="Times New Roman" w:hAnsi="Calibri" w:cs="Calibri"/>
                <w:noProof/>
                <w:sz w:val="16"/>
              </w:rPr>
            </w:pPr>
          </w:p>
        </w:tc>
        <w:tc>
          <w:tcPr>
            <w:tcW w:w="897" w:type="dxa"/>
            <w:shd w:val="clear" w:color="auto" w:fill="C4EFCE"/>
            <w:vAlign w:val="center"/>
          </w:tcPr>
          <w:p w14:paraId="18147486" w14:textId="0F9CD299" w:rsidR="00776A1F" w:rsidRDefault="00776A1F">
            <w:pPr>
              <w:spacing w:after="0" w:line="240" w:lineRule="auto"/>
              <w:jc w:val="center"/>
              <w:rPr>
                <w:rFonts w:ascii="Calibri" w:eastAsia="Times New Roman" w:hAnsi="Calibri" w:cs="Calibri"/>
                <w:noProof/>
                <w:sz w:val="16"/>
              </w:rPr>
            </w:pPr>
          </w:p>
        </w:tc>
        <w:tc>
          <w:tcPr>
            <w:tcW w:w="473" w:type="dxa"/>
            <w:shd w:val="clear" w:color="auto" w:fill="C4EFCE"/>
            <w:vAlign w:val="center"/>
          </w:tcPr>
          <w:p w14:paraId="63C6F1EC" w14:textId="77777777" w:rsidR="00776A1F" w:rsidRDefault="00D8574B">
            <w:pPr>
              <w:pStyle w:val="P68B1DB1-Normal8"/>
              <w:spacing w:after="0" w:line="240" w:lineRule="auto"/>
              <w:rPr>
                <w:rFonts w:eastAsia="Times New Roman" w:cs="Calibri"/>
                <w:noProof/>
              </w:rPr>
            </w:pPr>
            <w:r>
              <w:rPr>
                <w:noProof/>
              </w:rPr>
              <w:t>2. CET.</w:t>
            </w:r>
          </w:p>
        </w:tc>
        <w:tc>
          <w:tcPr>
            <w:tcW w:w="625" w:type="dxa"/>
            <w:shd w:val="clear" w:color="auto" w:fill="C4EFCE"/>
            <w:vAlign w:val="center"/>
          </w:tcPr>
          <w:p w14:paraId="623BE23E" w14:textId="77777777" w:rsidR="00776A1F" w:rsidRDefault="00D8574B">
            <w:pPr>
              <w:pStyle w:val="P68B1DB1-Normal8"/>
              <w:spacing w:after="0" w:line="240" w:lineRule="auto"/>
              <w:rPr>
                <w:rFonts w:eastAsia="Times New Roman" w:cs="Calibri"/>
                <w:noProof/>
              </w:rPr>
            </w:pPr>
            <w:r>
              <w:rPr>
                <w:noProof/>
              </w:rPr>
              <w:t>2021</w:t>
            </w:r>
          </w:p>
        </w:tc>
        <w:tc>
          <w:tcPr>
            <w:tcW w:w="4969" w:type="dxa"/>
            <w:shd w:val="clear" w:color="auto" w:fill="C4EFCE"/>
            <w:vAlign w:val="center"/>
          </w:tcPr>
          <w:p w14:paraId="2E6359DD" w14:textId="77777777" w:rsidR="00776A1F" w:rsidRDefault="00D8574B">
            <w:pPr>
              <w:pStyle w:val="P68B1DB1-Normal8"/>
              <w:spacing w:after="0" w:line="240" w:lineRule="auto"/>
              <w:jc w:val="both"/>
              <w:rPr>
                <w:rFonts w:eastAsia="Times New Roman" w:cs="Calibri"/>
                <w:noProof/>
              </w:rPr>
            </w:pPr>
            <w:r>
              <w:rPr>
                <w:noProof/>
              </w:rPr>
              <w:t>Dekrētlikumā ir noteikta plāna un dzīvojamā fonda struktūra, jo īpaši attiecībā uz tiesīgajiem saņēmējiem, mājokļu risinājumiem un finansēšanas modeli. Līdztekus tiesiskajam regulējumam valdība iesniedz un apstiprina Nacionālo mājokļu plānu, kas ietver atbalstāmo mājokļu risinājumu stratēģisko plānošanu un šim nolūkam nepieciešamo atbalstu atkarībā no vietējām vajadzībām un īpatnībām, kā arī sociāli teritoriālās kohēzijas.</w:t>
            </w:r>
          </w:p>
        </w:tc>
      </w:tr>
      <w:tr w:rsidR="00776A1F" w14:paraId="4A43709F" w14:textId="77777777">
        <w:trPr>
          <w:trHeight w:val="982"/>
        </w:trPr>
        <w:tc>
          <w:tcPr>
            <w:tcW w:w="1134" w:type="dxa"/>
            <w:shd w:val="clear" w:color="auto" w:fill="C4EFCE"/>
            <w:vAlign w:val="center"/>
          </w:tcPr>
          <w:p w14:paraId="4CC0270E" w14:textId="60006A58" w:rsidR="00776A1F" w:rsidRDefault="00D8574B">
            <w:pPr>
              <w:pStyle w:val="P68B1DB1-Normal11"/>
              <w:spacing w:after="0" w:line="240" w:lineRule="auto"/>
              <w:jc w:val="center"/>
              <w:rPr>
                <w:rFonts w:eastAsia="Times New Roman" w:cstheme="minorHAnsi"/>
                <w:noProof/>
              </w:rPr>
            </w:pPr>
            <w:r>
              <w:rPr>
                <w:noProof/>
              </w:rPr>
              <w:t>2.30</w:t>
            </w:r>
          </w:p>
        </w:tc>
        <w:tc>
          <w:tcPr>
            <w:tcW w:w="1304" w:type="dxa"/>
            <w:shd w:val="clear" w:color="auto" w:fill="C4EFCE"/>
            <w:vAlign w:val="center"/>
          </w:tcPr>
          <w:p w14:paraId="02A729EB" w14:textId="0AFCA7AF" w:rsidR="00776A1F" w:rsidRDefault="00D8574B">
            <w:pPr>
              <w:pStyle w:val="P68B1DB1-Normal12"/>
              <w:spacing w:after="0" w:line="240" w:lineRule="auto"/>
              <w:jc w:val="center"/>
              <w:rPr>
                <w:rFonts w:eastAsia="Times New Roman" w:cstheme="minorHAnsi"/>
                <w:noProof/>
              </w:rPr>
            </w:pPr>
            <w:r>
              <w:rPr>
                <w:noProof/>
              </w:rPr>
              <w:t>Re-C02-i07-RAA</w:t>
            </w:r>
          </w:p>
        </w:tc>
        <w:tc>
          <w:tcPr>
            <w:tcW w:w="1077" w:type="dxa"/>
            <w:shd w:val="clear" w:color="auto" w:fill="C4EFCE"/>
            <w:vAlign w:val="center"/>
          </w:tcPr>
          <w:p w14:paraId="61FFCA13" w14:textId="7B8D2070" w:rsidR="00776A1F" w:rsidRDefault="00D8574B">
            <w:pPr>
              <w:pStyle w:val="P68B1DB1-Normal12"/>
              <w:spacing w:after="0" w:line="240" w:lineRule="auto"/>
              <w:jc w:val="center"/>
              <w:rPr>
                <w:rFonts w:eastAsia="Times New Roman" w:cstheme="minorHAnsi"/>
                <w:noProof/>
              </w:rPr>
            </w:pPr>
            <w:r>
              <w:rPr>
                <w:noProof/>
              </w:rPr>
              <w:t>T</w:t>
            </w:r>
          </w:p>
        </w:tc>
        <w:tc>
          <w:tcPr>
            <w:tcW w:w="2026" w:type="dxa"/>
            <w:shd w:val="clear" w:color="auto" w:fill="C4EFCE"/>
            <w:vAlign w:val="center"/>
          </w:tcPr>
          <w:p w14:paraId="2CF83377" w14:textId="702263B8" w:rsidR="00776A1F" w:rsidRDefault="00D8574B">
            <w:pPr>
              <w:pStyle w:val="P68B1DB1-Normal12"/>
              <w:spacing w:after="0" w:line="240" w:lineRule="auto"/>
              <w:rPr>
                <w:rFonts w:eastAsia="Times New Roman" w:cstheme="minorHAnsi"/>
                <w:noProof/>
              </w:rPr>
            </w:pPr>
            <w:r>
              <w:rPr>
                <w:noProof/>
              </w:rPr>
              <w:t>Zemes gabalu infrastruktūra</w:t>
            </w:r>
          </w:p>
        </w:tc>
        <w:tc>
          <w:tcPr>
            <w:tcW w:w="1355" w:type="dxa"/>
            <w:shd w:val="clear" w:color="auto" w:fill="C4EFCE"/>
            <w:vAlign w:val="center"/>
          </w:tcPr>
          <w:p w14:paraId="48DB30AD" w14:textId="77777777" w:rsidR="00776A1F" w:rsidRDefault="00776A1F">
            <w:pPr>
              <w:spacing w:after="0" w:line="240" w:lineRule="auto"/>
              <w:rPr>
                <w:rFonts w:eastAsia="Times New Roman" w:cstheme="minorHAnsi"/>
                <w:noProof/>
                <w:sz w:val="16"/>
              </w:rPr>
            </w:pPr>
          </w:p>
        </w:tc>
        <w:tc>
          <w:tcPr>
            <w:tcW w:w="1021" w:type="dxa"/>
            <w:shd w:val="clear" w:color="auto" w:fill="C4EFCE"/>
            <w:vAlign w:val="center"/>
          </w:tcPr>
          <w:p w14:paraId="1BE72B86" w14:textId="72586D92" w:rsidR="00776A1F" w:rsidRDefault="00D8574B">
            <w:pPr>
              <w:pStyle w:val="P68B1DB1-Normal12"/>
              <w:spacing w:after="0" w:line="240" w:lineRule="auto"/>
              <w:jc w:val="center"/>
              <w:rPr>
                <w:rFonts w:eastAsia="Times New Roman" w:cstheme="minorHAnsi"/>
                <w:noProof/>
              </w:rPr>
            </w:pPr>
            <w:r>
              <w:rPr>
                <w:noProof/>
              </w:rPr>
              <w:t>Skaits</w:t>
            </w:r>
          </w:p>
        </w:tc>
        <w:tc>
          <w:tcPr>
            <w:tcW w:w="1134" w:type="dxa"/>
            <w:shd w:val="clear" w:color="auto" w:fill="C4EFCE"/>
            <w:vAlign w:val="center"/>
          </w:tcPr>
          <w:p w14:paraId="0E7D82E2" w14:textId="45707140" w:rsidR="00776A1F" w:rsidRDefault="00D8574B">
            <w:pPr>
              <w:pStyle w:val="P68B1DB1-Normal12"/>
              <w:spacing w:after="0" w:line="240" w:lineRule="auto"/>
              <w:jc w:val="center"/>
              <w:rPr>
                <w:rFonts w:eastAsia="Times New Roman" w:cstheme="minorHAnsi"/>
                <w:noProof/>
              </w:rPr>
            </w:pPr>
            <w:r>
              <w:rPr>
                <w:noProof/>
              </w:rPr>
              <w:t>0</w:t>
            </w:r>
          </w:p>
        </w:tc>
        <w:tc>
          <w:tcPr>
            <w:tcW w:w="897" w:type="dxa"/>
            <w:shd w:val="clear" w:color="auto" w:fill="C4EFCE"/>
            <w:vAlign w:val="center"/>
          </w:tcPr>
          <w:p w14:paraId="0012CB5B" w14:textId="05B57DCB" w:rsidR="00776A1F" w:rsidRDefault="00D8574B">
            <w:pPr>
              <w:pStyle w:val="P68B1DB1-Normal12"/>
              <w:spacing w:after="0" w:line="240" w:lineRule="auto"/>
              <w:jc w:val="center"/>
              <w:rPr>
                <w:rFonts w:eastAsia="Times New Roman" w:cstheme="minorHAnsi"/>
                <w:noProof/>
              </w:rPr>
            </w:pPr>
            <w:r>
              <w:rPr>
                <w:noProof/>
              </w:rPr>
              <w:t>145</w:t>
            </w:r>
          </w:p>
        </w:tc>
        <w:tc>
          <w:tcPr>
            <w:tcW w:w="473" w:type="dxa"/>
            <w:shd w:val="clear" w:color="auto" w:fill="C4EFCE"/>
            <w:vAlign w:val="center"/>
          </w:tcPr>
          <w:p w14:paraId="6C101ED3" w14:textId="1EA78A8C" w:rsidR="00776A1F" w:rsidRDefault="00D8574B">
            <w:pPr>
              <w:pStyle w:val="P68B1DB1-Normal12"/>
              <w:spacing w:after="0" w:line="240" w:lineRule="auto"/>
              <w:rPr>
                <w:rFonts w:eastAsia="Times New Roman" w:cstheme="minorHAnsi"/>
                <w:noProof/>
              </w:rPr>
            </w:pPr>
            <w:r>
              <w:rPr>
                <w:noProof/>
              </w:rPr>
              <w:t>2. CET.</w:t>
            </w:r>
          </w:p>
        </w:tc>
        <w:tc>
          <w:tcPr>
            <w:tcW w:w="625" w:type="dxa"/>
            <w:shd w:val="clear" w:color="auto" w:fill="C4EFCE"/>
            <w:vAlign w:val="center"/>
          </w:tcPr>
          <w:p w14:paraId="417B6A68" w14:textId="1C7AE05F" w:rsidR="00776A1F" w:rsidRDefault="00D8574B">
            <w:pPr>
              <w:pStyle w:val="P68B1DB1-Normal12"/>
              <w:spacing w:after="0" w:line="240" w:lineRule="auto"/>
              <w:rPr>
                <w:rFonts w:eastAsia="Times New Roman" w:cstheme="minorHAnsi"/>
                <w:noProof/>
              </w:rPr>
            </w:pPr>
            <w:r>
              <w:rPr>
                <w:noProof/>
              </w:rPr>
              <w:t>2026</w:t>
            </w:r>
          </w:p>
        </w:tc>
        <w:tc>
          <w:tcPr>
            <w:tcW w:w="4969" w:type="dxa"/>
            <w:shd w:val="clear" w:color="auto" w:fill="C4EFCE"/>
            <w:vAlign w:val="center"/>
          </w:tcPr>
          <w:p w14:paraId="36ADF2AC" w14:textId="5E49F17C" w:rsidR="00776A1F" w:rsidRDefault="00D8574B">
            <w:pPr>
              <w:pStyle w:val="P68B1DB1-Normal12"/>
              <w:spacing w:after="0" w:line="240" w:lineRule="auto"/>
              <w:jc w:val="both"/>
              <w:rPr>
                <w:rFonts w:eastAsia="Times New Roman" w:cstheme="minorHAnsi"/>
                <w:noProof/>
              </w:rPr>
            </w:pPr>
            <w:r>
              <w:rPr>
                <w:noProof/>
              </w:rPr>
              <w:t>To zemes gabalu skaits, kuros ir infrastruktūra, kas izveidota vai uzlabota un piešķirta atlasītajiem kandidātiem saskaņā ar atlases procedūru, kurā tika noteikti atlases nosacījumi un prasības. Jauniešiem piešķir prioritāti, kā norādīts ieguldījuma aprakstā.</w:t>
            </w:r>
          </w:p>
        </w:tc>
      </w:tr>
      <w:tr w:rsidR="00776A1F" w14:paraId="01719C1D" w14:textId="77777777">
        <w:trPr>
          <w:trHeight w:val="981"/>
        </w:trPr>
        <w:tc>
          <w:tcPr>
            <w:tcW w:w="1134" w:type="dxa"/>
            <w:shd w:val="clear" w:color="auto" w:fill="C4EFCE"/>
            <w:vAlign w:val="center"/>
          </w:tcPr>
          <w:p w14:paraId="364FFF3B" w14:textId="22B6B22B" w:rsidR="00776A1F" w:rsidRDefault="00D8574B">
            <w:pPr>
              <w:pStyle w:val="P68B1DB1-Normal11"/>
              <w:spacing w:after="0" w:line="240" w:lineRule="auto"/>
              <w:jc w:val="center"/>
              <w:rPr>
                <w:rFonts w:cstheme="minorHAnsi"/>
                <w:noProof/>
              </w:rPr>
            </w:pPr>
            <w:r>
              <w:rPr>
                <w:noProof/>
              </w:rPr>
              <w:t>2.31</w:t>
            </w:r>
          </w:p>
        </w:tc>
        <w:tc>
          <w:tcPr>
            <w:tcW w:w="1304" w:type="dxa"/>
            <w:shd w:val="clear" w:color="auto" w:fill="C4EFCE"/>
            <w:vAlign w:val="center"/>
          </w:tcPr>
          <w:p w14:paraId="35FF57B8" w14:textId="021904BB" w:rsidR="00776A1F" w:rsidRDefault="00D8574B">
            <w:pPr>
              <w:pStyle w:val="P68B1DB1-Normal12"/>
              <w:spacing w:after="0" w:line="240" w:lineRule="auto"/>
              <w:jc w:val="center"/>
              <w:rPr>
                <w:rFonts w:cstheme="minorHAnsi"/>
                <w:noProof/>
              </w:rPr>
            </w:pPr>
            <w:r>
              <w:rPr>
                <w:noProof/>
              </w:rPr>
              <w:t>Re-C02-i08-RAA</w:t>
            </w:r>
          </w:p>
        </w:tc>
        <w:tc>
          <w:tcPr>
            <w:tcW w:w="1077" w:type="dxa"/>
            <w:shd w:val="clear" w:color="auto" w:fill="C4EFCE"/>
            <w:vAlign w:val="center"/>
          </w:tcPr>
          <w:p w14:paraId="1FD50D28" w14:textId="3A075D13" w:rsidR="00776A1F" w:rsidRDefault="00D8574B">
            <w:pPr>
              <w:pStyle w:val="P68B1DB1-Normal12"/>
              <w:spacing w:after="0" w:line="240" w:lineRule="auto"/>
              <w:jc w:val="center"/>
              <w:rPr>
                <w:rFonts w:cstheme="minorHAnsi"/>
                <w:noProof/>
              </w:rPr>
            </w:pPr>
            <w:r>
              <w:rPr>
                <w:noProof/>
              </w:rPr>
              <w:t>T</w:t>
            </w:r>
          </w:p>
        </w:tc>
        <w:tc>
          <w:tcPr>
            <w:tcW w:w="2026" w:type="dxa"/>
            <w:shd w:val="clear" w:color="auto" w:fill="C4EFCE"/>
            <w:vAlign w:val="center"/>
          </w:tcPr>
          <w:p w14:paraId="4B666CCE" w14:textId="478A7D51" w:rsidR="00776A1F" w:rsidRDefault="00D8574B">
            <w:pPr>
              <w:pStyle w:val="P68B1DB1-Normal12"/>
              <w:spacing w:after="0" w:line="240" w:lineRule="auto"/>
              <w:rPr>
                <w:rFonts w:cstheme="minorHAnsi"/>
                <w:noProof/>
              </w:rPr>
            </w:pPr>
            <w:r>
              <w:rPr>
                <w:noProof/>
              </w:rPr>
              <w:t>Azoru salu autonomā reģiona sociālo mājokļu fonda nostiprināšana — uzbūvētie mājokļi</w:t>
            </w:r>
          </w:p>
        </w:tc>
        <w:tc>
          <w:tcPr>
            <w:tcW w:w="1355" w:type="dxa"/>
            <w:shd w:val="clear" w:color="auto" w:fill="C4EFCE"/>
            <w:vAlign w:val="center"/>
          </w:tcPr>
          <w:p w14:paraId="3368FA4C" w14:textId="77777777" w:rsidR="00776A1F" w:rsidRDefault="00776A1F">
            <w:pPr>
              <w:spacing w:after="0" w:line="240" w:lineRule="auto"/>
              <w:rPr>
                <w:rFonts w:eastAsia="Times New Roman" w:cstheme="minorHAnsi"/>
                <w:noProof/>
                <w:sz w:val="16"/>
              </w:rPr>
            </w:pPr>
          </w:p>
        </w:tc>
        <w:tc>
          <w:tcPr>
            <w:tcW w:w="1021" w:type="dxa"/>
            <w:shd w:val="clear" w:color="auto" w:fill="C4EFCE"/>
            <w:vAlign w:val="center"/>
          </w:tcPr>
          <w:p w14:paraId="5D56F8D2" w14:textId="26F656FB" w:rsidR="00776A1F" w:rsidRDefault="00D8574B">
            <w:pPr>
              <w:pStyle w:val="P68B1DB1-Normal12"/>
              <w:spacing w:after="0" w:line="240" w:lineRule="auto"/>
              <w:jc w:val="center"/>
              <w:rPr>
                <w:rFonts w:cstheme="minorHAnsi"/>
                <w:noProof/>
              </w:rPr>
            </w:pPr>
            <w:r>
              <w:rPr>
                <w:noProof/>
              </w:rPr>
              <w:t>Skaits</w:t>
            </w:r>
          </w:p>
        </w:tc>
        <w:tc>
          <w:tcPr>
            <w:tcW w:w="1134" w:type="dxa"/>
            <w:shd w:val="clear" w:color="auto" w:fill="C4EFCE"/>
            <w:vAlign w:val="center"/>
          </w:tcPr>
          <w:p w14:paraId="6C946781" w14:textId="5373AAC2" w:rsidR="00776A1F" w:rsidRDefault="00D8574B">
            <w:pPr>
              <w:pStyle w:val="P68B1DB1-Normal12"/>
              <w:spacing w:after="0" w:line="240" w:lineRule="auto"/>
              <w:jc w:val="center"/>
              <w:rPr>
                <w:rFonts w:cstheme="minorHAnsi"/>
                <w:noProof/>
              </w:rPr>
            </w:pPr>
            <w:r>
              <w:rPr>
                <w:noProof/>
              </w:rPr>
              <w:t>0</w:t>
            </w:r>
          </w:p>
        </w:tc>
        <w:tc>
          <w:tcPr>
            <w:tcW w:w="897" w:type="dxa"/>
            <w:shd w:val="clear" w:color="auto" w:fill="C4EFCE"/>
            <w:vAlign w:val="center"/>
          </w:tcPr>
          <w:p w14:paraId="1453AA31" w14:textId="176AAA92" w:rsidR="00776A1F" w:rsidRDefault="00D8574B">
            <w:pPr>
              <w:pStyle w:val="P68B1DB1-Normal12"/>
              <w:spacing w:after="0" w:line="240" w:lineRule="auto"/>
              <w:jc w:val="center"/>
              <w:rPr>
                <w:rFonts w:cstheme="minorHAnsi"/>
                <w:noProof/>
              </w:rPr>
            </w:pPr>
            <w:r>
              <w:rPr>
                <w:noProof/>
              </w:rPr>
              <w:t>126</w:t>
            </w:r>
          </w:p>
        </w:tc>
        <w:tc>
          <w:tcPr>
            <w:tcW w:w="473" w:type="dxa"/>
            <w:shd w:val="clear" w:color="auto" w:fill="C4EFCE"/>
            <w:vAlign w:val="center"/>
          </w:tcPr>
          <w:p w14:paraId="68B4C3AF" w14:textId="721E7190" w:rsidR="00776A1F" w:rsidRDefault="00D8574B">
            <w:pPr>
              <w:pStyle w:val="P68B1DB1-Normal12"/>
              <w:spacing w:after="0" w:line="240" w:lineRule="auto"/>
              <w:rPr>
                <w:rFonts w:cstheme="minorHAnsi"/>
                <w:noProof/>
              </w:rPr>
            </w:pPr>
            <w:r>
              <w:rPr>
                <w:noProof/>
              </w:rPr>
              <w:t>4. CET.</w:t>
            </w:r>
          </w:p>
        </w:tc>
        <w:tc>
          <w:tcPr>
            <w:tcW w:w="625" w:type="dxa"/>
            <w:shd w:val="clear" w:color="auto" w:fill="C4EFCE"/>
            <w:vAlign w:val="center"/>
          </w:tcPr>
          <w:p w14:paraId="79C3FF04" w14:textId="14F788F1" w:rsidR="00776A1F" w:rsidRDefault="00D8574B">
            <w:pPr>
              <w:pStyle w:val="P68B1DB1-Normal12"/>
              <w:spacing w:after="0" w:line="240" w:lineRule="auto"/>
              <w:rPr>
                <w:rFonts w:cstheme="minorHAnsi"/>
                <w:noProof/>
              </w:rPr>
            </w:pPr>
            <w:r>
              <w:rPr>
                <w:noProof/>
              </w:rPr>
              <w:t>2025</w:t>
            </w:r>
          </w:p>
        </w:tc>
        <w:tc>
          <w:tcPr>
            <w:tcW w:w="4969" w:type="dxa"/>
            <w:shd w:val="clear" w:color="auto" w:fill="C4EFCE"/>
            <w:vAlign w:val="center"/>
          </w:tcPr>
          <w:p w14:paraId="6F1B329D" w14:textId="70FC1EBF" w:rsidR="00776A1F" w:rsidRDefault="00D8574B">
            <w:pPr>
              <w:pStyle w:val="P68B1DB1-Normal12"/>
              <w:spacing w:after="0" w:line="240" w:lineRule="auto"/>
              <w:jc w:val="both"/>
              <w:rPr>
                <w:rFonts w:cstheme="minorHAnsi"/>
                <w:noProof/>
              </w:rPr>
            </w:pPr>
            <w:r>
              <w:rPr>
                <w:noProof/>
              </w:rPr>
              <w:t xml:space="preserve">Pabeigto uzbūvēto mājokļu skaits. Jaunu ēku primārās enerģijas pieprasījums ir vismaz par 20 % zemāks nekā prasības, kas noteiktas gandrīz nulles enerģijas ēkām. Mājokļu vidējais lielums ir aptuveni 101 kvadrātmetru. </w:t>
            </w:r>
          </w:p>
        </w:tc>
      </w:tr>
    </w:tbl>
    <w:p w14:paraId="4EA37B94" w14:textId="77777777" w:rsidR="00776A1F" w:rsidRDefault="00776A1F">
      <w:pPr>
        <w:spacing w:before="40" w:after="0" w:line="259" w:lineRule="auto"/>
        <w:jc w:val="both"/>
        <w:rPr>
          <w:rFonts w:ascii="Times New Roman" w:eastAsiaTheme="minorEastAsia" w:hAnsi="Times New Roman" w:cs="Times New Roman"/>
          <w:b/>
          <w:noProof/>
          <w:sz w:val="24"/>
        </w:rPr>
      </w:pPr>
    </w:p>
    <w:p w14:paraId="5E20B4D8" w14:textId="77777777" w:rsidR="00776A1F" w:rsidRDefault="00776A1F">
      <w:pPr>
        <w:spacing w:before="40" w:after="0" w:line="259" w:lineRule="auto"/>
        <w:jc w:val="both"/>
        <w:rPr>
          <w:rFonts w:ascii="Times New Roman" w:eastAsiaTheme="minorEastAsia" w:hAnsi="Times New Roman" w:cs="Times New Roman"/>
          <w:b/>
          <w:noProof/>
          <w:sz w:val="24"/>
        </w:rPr>
      </w:pPr>
    </w:p>
    <w:p w14:paraId="097E5357" w14:textId="77777777" w:rsidR="00776A1F" w:rsidRDefault="00776A1F">
      <w:pPr>
        <w:spacing w:before="40" w:after="0" w:line="259" w:lineRule="auto"/>
        <w:jc w:val="both"/>
        <w:rPr>
          <w:rFonts w:ascii="Times New Roman" w:eastAsiaTheme="minorEastAsia" w:hAnsi="Times New Roman" w:cs="Times New Roman"/>
          <w:b/>
          <w:noProof/>
          <w:sz w:val="24"/>
        </w:rPr>
      </w:pPr>
    </w:p>
    <w:p w14:paraId="4E113063" w14:textId="77777777" w:rsidR="00776A1F" w:rsidRDefault="00776A1F">
      <w:pPr>
        <w:spacing w:before="40" w:after="0" w:line="259" w:lineRule="auto"/>
        <w:jc w:val="both"/>
        <w:rPr>
          <w:rFonts w:ascii="Times New Roman" w:eastAsiaTheme="minorEastAsia" w:hAnsi="Times New Roman" w:cs="Times New Roman"/>
          <w:b/>
          <w:noProof/>
          <w:sz w:val="24"/>
        </w:rPr>
        <w:sectPr w:rsidR="00776A1F" w:rsidSect="00E00EDD">
          <w:headerReference w:type="even" r:id="rId54"/>
          <w:headerReference w:type="default" r:id="rId55"/>
          <w:footerReference w:type="even" r:id="rId56"/>
          <w:footerReference w:type="default" r:id="rId57"/>
          <w:headerReference w:type="first" r:id="rId58"/>
          <w:footerReference w:type="first" r:id="rId59"/>
          <w:pgSz w:w="16839" w:h="11907" w:orient="landscape"/>
          <w:pgMar w:top="1134" w:right="1134" w:bottom="1134" w:left="1134" w:header="567" w:footer="567" w:gutter="0"/>
          <w:cols w:space="720"/>
          <w:docGrid w:linePitch="360"/>
        </w:sectPr>
      </w:pPr>
    </w:p>
    <w:p w14:paraId="047A1851" w14:textId="77777777" w:rsidR="00776A1F" w:rsidRDefault="00776A1F">
      <w:pPr>
        <w:spacing w:before="40" w:after="0" w:line="259" w:lineRule="auto"/>
        <w:jc w:val="both"/>
        <w:rPr>
          <w:rFonts w:ascii="Times New Roman" w:eastAsiaTheme="minorEastAsia" w:hAnsi="Times New Roman" w:cs="Times New Roman"/>
          <w:noProof/>
          <w:sz w:val="24"/>
        </w:rPr>
      </w:pPr>
    </w:p>
    <w:p w14:paraId="5B038070" w14:textId="77777777" w:rsidR="00776A1F" w:rsidRDefault="00D8574B">
      <w:pPr>
        <w:pStyle w:val="P68B1DB1-Normal3"/>
        <w:spacing w:before="40" w:after="0" w:line="259" w:lineRule="auto"/>
        <w:ind w:left="130" w:firstLine="720"/>
        <w:jc w:val="both"/>
        <w:outlineLvl w:val="2"/>
        <w:rPr>
          <w:rFonts w:eastAsiaTheme="minorEastAsia" w:cs="Times New Roman"/>
          <w:noProof/>
        </w:rPr>
      </w:pPr>
      <w:r>
        <w:rPr>
          <w:noProof/>
        </w:rPr>
        <w:t>B.3. Aizdevumam pieteikto reformu un investīciju apraksts</w:t>
      </w:r>
    </w:p>
    <w:p w14:paraId="30633E8D" w14:textId="77777777" w:rsidR="00776A1F" w:rsidRDefault="00D8574B">
      <w:pPr>
        <w:pStyle w:val="P68B1DB1-Normal5"/>
        <w:spacing w:before="240" w:after="0" w:line="259" w:lineRule="auto"/>
        <w:ind w:left="851"/>
        <w:jc w:val="both"/>
        <w:outlineLvl w:val="3"/>
        <w:rPr>
          <w:rFonts w:eastAsiaTheme="minorEastAsia" w:cs="Times New Roman"/>
          <w:b/>
          <w:noProof/>
        </w:rPr>
      </w:pPr>
      <w:r>
        <w:rPr>
          <w:noProof/>
        </w:rPr>
        <w:t>Ieguldījums RE-C02-i05: Valsts mājokļu fonds par pieņemamu cenu</w:t>
      </w:r>
    </w:p>
    <w:p w14:paraId="6A637658"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Ieguldījuma mērķis ir reaģēt uz pašreizējo mājokļu cenu dinamiku attiecībā pret Portugāles mājsaimniecību ienākumu līmeni, jo īpaši lielās pilsētvidēs, nodrošinot publisku mājokļu fondu, ko var izīrēt par pieņemamām cenām konkrētām mērķgrupām. </w:t>
      </w:r>
    </w:p>
    <w:p w14:paraId="04C006FB"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Ieguldījums ietver jaunu ēku būvniecību, tostarp iegādi, un publisko mājokļu atjaunošanu, lai nodrošinātu 6800 mājokļus, un vēlāku īri par pieņemamām cenām noteiktajām mērķgrupām. </w:t>
      </w:r>
    </w:p>
    <w:p w14:paraId="55D88C12"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6F8273EA"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Ieguldījums RE-C02–06: Studentu izmitināšana par pieņemamām cenām</w:t>
      </w:r>
    </w:p>
    <w:p w14:paraId="7AA5CEFE"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ieguldījuma mērķis ir palielināt cenas ziņā pieejamu studentu izmitināšanas piedāvājumu valstī, jo tas joprojām ir viens no lielākajiem šķēršļiem terciārās izglītības pieejamībai. Šī izmitināšana palīdz samazināt studentu un viņu ģimeņu tiešās izmaksas, īpašu uzmanību pievēršot sociāli un ekonomiski visneaizsargātākajiem studentiem. Pašreizējais piedāvājums atbalsta tikai nelielu daļu (aptuveni 10 %) studentu, kuriem nepieciešama izmitināšana, ņemot vērā mājokļu izmaksu ievērojamu pieaugumu, jo īpaši lielākajos pilsētu centros, kur ir koncentrētas augstākās izglītības iestādes. </w:t>
      </w:r>
    </w:p>
    <w:p w14:paraId="4602D132" w14:textId="51E322E5" w:rsidR="00776A1F" w:rsidRDefault="00D8574B">
      <w:pPr>
        <w:pStyle w:val="P68B1DB1-Normal4"/>
        <w:keepNext/>
        <w:spacing w:before="40" w:after="0" w:line="259" w:lineRule="auto"/>
        <w:jc w:val="both"/>
        <w:rPr>
          <w:rFonts w:eastAsiaTheme="minorEastAsia" w:cs="Times New Roman"/>
          <w:noProof/>
        </w:rPr>
      </w:pPr>
      <w:r>
        <w:rPr>
          <w:noProof/>
        </w:rPr>
        <w:t>Ieguldījumu veido 18000 jaunu un renovētu gultu nodrošināšana, būvējot jaunas ēkas, atjaunojot esošās ēkas un modernizējot un paplašinot esošās studentu izmitināšanas vienības prioritārām vajadzībām. Turklāt tikai pēc tam, kad ir apmierinātas studentu vajadzības, gultas var darīt pieejamas arī augstākās izglītības iestāžu pētniekiem, skolotājiem un ar mācīšanu nesaistītam personālam, jo īpaši valsts vai starptautiskajā mobilitātē, tostarp saskaņā ar ERASMUS+, “Eiropas universitāšu” tīkliem un citiem starptautiskiem mobilitātes nolīgumiem ar Portugāles valsti.</w:t>
      </w:r>
    </w:p>
    <w:p w14:paraId="75204CCB"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Investīciju īstenošanu pabeidz līdz 2026. gada 31. martam. </w:t>
      </w:r>
    </w:p>
    <w:p w14:paraId="1558FB4C" w14:textId="1B1EAE65" w:rsidR="00776A1F" w:rsidRDefault="00D8574B">
      <w:pPr>
        <w:pStyle w:val="P68B1DB1-Normal5"/>
        <w:spacing w:before="240" w:after="0" w:line="259" w:lineRule="auto"/>
        <w:ind w:left="851"/>
        <w:jc w:val="both"/>
        <w:outlineLvl w:val="3"/>
        <w:rPr>
          <w:rFonts w:eastAsiaTheme="minorEastAsia" w:cs="Times New Roman"/>
          <w:noProof/>
        </w:rPr>
      </w:pPr>
      <w:bookmarkStart w:id="4" w:name="_Hlk143873116"/>
      <w:r>
        <w:rPr>
          <w:noProof/>
        </w:rPr>
        <w:t>Ieguldījums RE-C02-i09: Izvērsts pasākums: Atbalsta programma mājokļu pieejamībai (aizdevums)</w:t>
      </w:r>
    </w:p>
    <w:p w14:paraId="11AD560D" w14:textId="5F5C3FC8" w:rsidR="00776A1F" w:rsidRDefault="00D8574B">
      <w:pPr>
        <w:pStyle w:val="P68B1DB1-Normal4"/>
        <w:keepNext/>
        <w:spacing w:before="40" w:after="0" w:line="259" w:lineRule="auto"/>
        <w:jc w:val="both"/>
        <w:rPr>
          <w:rFonts w:eastAsiaTheme="minorEastAsia" w:cs="Times New Roman"/>
          <w:noProof/>
        </w:rPr>
      </w:pPr>
      <w:r>
        <w:rPr>
          <w:noProof/>
        </w:rPr>
        <w:t>Ieguldījuma mērķis ir palielināt ieguldījumus RE-C02-i01: Atbalsta programma mājokļu pieejamībai saskaņā ar 2. komponentu. Palielinātā pasākuma daļa palielina mājsaimniecībām nodrošināto mājokļu skaitu.</w:t>
      </w:r>
    </w:p>
    <w:p w14:paraId="41CADB9F"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bookmarkEnd w:id="4"/>
    <w:p w14:paraId="3A847D52" w14:textId="77777777" w:rsidR="00776A1F" w:rsidRDefault="00776A1F">
      <w:pPr>
        <w:keepNext/>
        <w:spacing w:before="40" w:after="0" w:line="259" w:lineRule="auto"/>
        <w:jc w:val="both"/>
        <w:rPr>
          <w:rFonts w:ascii="Times New Roman" w:eastAsia="Times New Roman" w:hAnsi="Times New Roman" w:cs="Times New Roman"/>
          <w:noProof/>
          <w:sz w:val="24"/>
        </w:rPr>
      </w:pPr>
    </w:p>
    <w:p w14:paraId="0CBADF13" w14:textId="77777777" w:rsidR="00776A1F" w:rsidRDefault="00776A1F">
      <w:pPr>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60"/>
          <w:headerReference w:type="default" r:id="rId61"/>
          <w:footerReference w:type="even" r:id="rId62"/>
          <w:footerReference w:type="default" r:id="rId63"/>
          <w:headerReference w:type="first" r:id="rId64"/>
          <w:footerReference w:type="first" r:id="rId65"/>
          <w:pgSz w:w="11907" w:h="16839"/>
          <w:pgMar w:top="1134" w:right="1134" w:bottom="1134" w:left="1134" w:header="567" w:footer="567" w:gutter="0"/>
          <w:cols w:space="720"/>
          <w:docGrid w:linePitch="360"/>
        </w:sectPr>
      </w:pPr>
    </w:p>
    <w:p w14:paraId="780C899B" w14:textId="77777777" w:rsidR="00776A1F" w:rsidRDefault="00D8574B">
      <w:pPr>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B.4. </w:t>
      </w:r>
      <w:r>
        <w:rPr>
          <w:noProof/>
        </w:rPr>
        <w:tab/>
      </w:r>
      <w:r>
        <w:rPr>
          <w:rFonts w:ascii="Times New Roman" w:hAnsi="Times New Roman"/>
          <w:b/>
          <w:noProof/>
          <w:sz w:val="24"/>
          <w:u w:val="single"/>
        </w:rPr>
        <w:t>Atskaites punkti, mērķrādītāji, citi rādītāji un aizdevuma uzraudzības un īstenošanas grafiks</w:t>
      </w:r>
    </w:p>
    <w:p w14:paraId="1407F7DF" w14:textId="77777777" w:rsidR="00776A1F" w:rsidRDefault="00776A1F">
      <w:pPr>
        <w:spacing w:before="40" w:after="0" w:line="259" w:lineRule="auto"/>
        <w:jc w:val="both"/>
        <w:rPr>
          <w:rFonts w:ascii="Times New Roman" w:eastAsiaTheme="minorEastAsia" w:hAnsi="Times New Roman" w:cs="Times New Roman"/>
          <w:noProof/>
          <w:sz w:val="24"/>
        </w:rPr>
      </w:pPr>
    </w:p>
    <w:tbl>
      <w:tblPr>
        <w:tblW w:w="149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259"/>
        <w:gridCol w:w="1119"/>
        <w:gridCol w:w="1677"/>
        <w:gridCol w:w="1258"/>
        <w:gridCol w:w="981"/>
        <w:gridCol w:w="980"/>
        <w:gridCol w:w="701"/>
        <w:gridCol w:w="561"/>
        <w:gridCol w:w="700"/>
        <w:gridCol w:w="4606"/>
      </w:tblGrid>
      <w:tr w:rsidR="00776A1F" w14:paraId="4C665869" w14:textId="77777777">
        <w:trPr>
          <w:trHeight w:val="910"/>
          <w:tblHeader/>
        </w:trPr>
        <w:tc>
          <w:tcPr>
            <w:tcW w:w="1121" w:type="dxa"/>
            <w:vMerge w:val="restart"/>
            <w:shd w:val="clear" w:color="auto" w:fill="BDD6EE"/>
            <w:vAlign w:val="center"/>
            <w:hideMark/>
          </w:tcPr>
          <w:p w14:paraId="10BCE388"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59" w:type="dxa"/>
            <w:vMerge w:val="restart"/>
            <w:shd w:val="clear" w:color="auto" w:fill="BDD6EE"/>
            <w:vAlign w:val="center"/>
            <w:hideMark/>
          </w:tcPr>
          <w:p w14:paraId="397190C1"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19" w:type="dxa"/>
            <w:vMerge w:val="restart"/>
            <w:shd w:val="clear" w:color="auto" w:fill="BDD6EE"/>
            <w:vAlign w:val="center"/>
            <w:hideMark/>
          </w:tcPr>
          <w:p w14:paraId="42500290" w14:textId="77777777" w:rsidR="00776A1F" w:rsidRDefault="00D8574B">
            <w:pPr>
              <w:pStyle w:val="P68B1DB1-Normal6"/>
              <w:spacing w:after="0" w:line="240" w:lineRule="auto"/>
              <w:jc w:val="center"/>
              <w:rPr>
                <w:rFonts w:eastAsia="Times New Roman" w:cs="Times New Roman"/>
                <w:noProof/>
              </w:rPr>
            </w:pPr>
            <w:r>
              <w:rPr>
                <w:noProof/>
              </w:rPr>
              <w:t>Stūrakmens/</w:t>
            </w:r>
          </w:p>
          <w:p w14:paraId="54CB065E" w14:textId="127F2F46" w:rsidR="00776A1F" w:rsidRDefault="00D8574B">
            <w:pPr>
              <w:pStyle w:val="P68B1DB1-Normal6"/>
              <w:spacing w:after="0" w:line="240" w:lineRule="auto"/>
              <w:jc w:val="center"/>
              <w:rPr>
                <w:rFonts w:eastAsia="Times New Roman" w:cs="Times New Roman"/>
                <w:noProof/>
              </w:rPr>
            </w:pPr>
            <w:r>
              <w:rPr>
                <w:noProof/>
              </w:rPr>
              <w:t>Mērķa</w:t>
            </w:r>
          </w:p>
        </w:tc>
        <w:tc>
          <w:tcPr>
            <w:tcW w:w="1677" w:type="dxa"/>
            <w:vMerge w:val="restart"/>
            <w:shd w:val="clear" w:color="auto" w:fill="BDD6EE"/>
            <w:vAlign w:val="center"/>
            <w:hideMark/>
          </w:tcPr>
          <w:p w14:paraId="0BC01E37"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58" w:type="dxa"/>
            <w:vMerge w:val="restart"/>
            <w:shd w:val="clear" w:color="auto" w:fill="BDD6EE"/>
            <w:vAlign w:val="center"/>
            <w:hideMark/>
          </w:tcPr>
          <w:p w14:paraId="6453E431"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62" w:type="dxa"/>
            <w:gridSpan w:val="3"/>
            <w:shd w:val="clear" w:color="auto" w:fill="BDD6EE"/>
            <w:vAlign w:val="center"/>
            <w:hideMark/>
          </w:tcPr>
          <w:p w14:paraId="01661F32"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61" w:type="dxa"/>
            <w:gridSpan w:val="2"/>
            <w:shd w:val="clear" w:color="auto" w:fill="BDD6EE"/>
            <w:vAlign w:val="center"/>
            <w:hideMark/>
          </w:tcPr>
          <w:p w14:paraId="45C76A26"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606" w:type="dxa"/>
            <w:vMerge w:val="restart"/>
            <w:shd w:val="clear" w:color="auto" w:fill="BDD6EE"/>
            <w:noWrap/>
            <w:vAlign w:val="center"/>
            <w:hideMark/>
          </w:tcPr>
          <w:p w14:paraId="0E401B5C"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5F9D413E" w14:textId="77777777">
        <w:trPr>
          <w:trHeight w:val="470"/>
          <w:tblHeader/>
        </w:trPr>
        <w:tc>
          <w:tcPr>
            <w:tcW w:w="1121" w:type="dxa"/>
            <w:vMerge/>
            <w:vAlign w:val="center"/>
            <w:hideMark/>
          </w:tcPr>
          <w:p w14:paraId="0D5A92A2" w14:textId="77777777" w:rsidR="00776A1F" w:rsidRDefault="00776A1F">
            <w:pPr>
              <w:spacing w:after="0" w:line="240" w:lineRule="auto"/>
              <w:rPr>
                <w:rFonts w:ascii="Times New Roman" w:eastAsia="Times New Roman" w:hAnsi="Times New Roman" w:cs="Times New Roman"/>
                <w:b/>
                <w:noProof/>
                <w:sz w:val="18"/>
              </w:rPr>
            </w:pPr>
          </w:p>
        </w:tc>
        <w:tc>
          <w:tcPr>
            <w:tcW w:w="1259" w:type="dxa"/>
            <w:vMerge/>
            <w:vAlign w:val="center"/>
            <w:hideMark/>
          </w:tcPr>
          <w:p w14:paraId="66B80633" w14:textId="77777777" w:rsidR="00776A1F" w:rsidRDefault="00776A1F">
            <w:pPr>
              <w:spacing w:after="0" w:line="240" w:lineRule="auto"/>
              <w:rPr>
                <w:rFonts w:ascii="Times New Roman" w:eastAsia="Times New Roman" w:hAnsi="Times New Roman" w:cs="Times New Roman"/>
                <w:b/>
                <w:noProof/>
                <w:sz w:val="18"/>
              </w:rPr>
            </w:pPr>
          </w:p>
        </w:tc>
        <w:tc>
          <w:tcPr>
            <w:tcW w:w="1119" w:type="dxa"/>
            <w:vMerge/>
            <w:vAlign w:val="center"/>
            <w:hideMark/>
          </w:tcPr>
          <w:p w14:paraId="3CD2B8F4" w14:textId="5872AC7C" w:rsidR="00776A1F" w:rsidRDefault="00776A1F">
            <w:pPr>
              <w:spacing w:after="0" w:line="240" w:lineRule="auto"/>
              <w:jc w:val="center"/>
              <w:rPr>
                <w:rFonts w:ascii="Times New Roman" w:eastAsia="Times New Roman" w:hAnsi="Times New Roman" w:cs="Times New Roman"/>
                <w:b/>
                <w:noProof/>
                <w:sz w:val="18"/>
              </w:rPr>
            </w:pPr>
          </w:p>
        </w:tc>
        <w:tc>
          <w:tcPr>
            <w:tcW w:w="1677" w:type="dxa"/>
            <w:vMerge/>
            <w:vAlign w:val="center"/>
            <w:hideMark/>
          </w:tcPr>
          <w:p w14:paraId="7B0E4E17" w14:textId="77777777" w:rsidR="00776A1F" w:rsidRDefault="00776A1F">
            <w:pPr>
              <w:spacing w:after="0" w:line="240" w:lineRule="auto"/>
              <w:rPr>
                <w:rFonts w:ascii="Times New Roman" w:eastAsia="Times New Roman" w:hAnsi="Times New Roman" w:cs="Times New Roman"/>
                <w:b/>
                <w:noProof/>
                <w:sz w:val="18"/>
              </w:rPr>
            </w:pPr>
          </w:p>
        </w:tc>
        <w:tc>
          <w:tcPr>
            <w:tcW w:w="1258" w:type="dxa"/>
            <w:vMerge/>
            <w:vAlign w:val="center"/>
            <w:hideMark/>
          </w:tcPr>
          <w:p w14:paraId="6ED6C64F" w14:textId="77777777" w:rsidR="00776A1F" w:rsidRDefault="00776A1F">
            <w:pPr>
              <w:spacing w:after="0" w:line="240" w:lineRule="auto"/>
              <w:rPr>
                <w:rFonts w:ascii="Times New Roman" w:eastAsia="Times New Roman" w:hAnsi="Times New Roman" w:cs="Times New Roman"/>
                <w:b/>
                <w:noProof/>
                <w:sz w:val="18"/>
              </w:rPr>
            </w:pPr>
          </w:p>
        </w:tc>
        <w:tc>
          <w:tcPr>
            <w:tcW w:w="981" w:type="dxa"/>
            <w:shd w:val="clear" w:color="auto" w:fill="BDD6EE"/>
            <w:vAlign w:val="center"/>
            <w:hideMark/>
          </w:tcPr>
          <w:p w14:paraId="4082AB93"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80" w:type="dxa"/>
            <w:shd w:val="clear" w:color="auto" w:fill="BDD6EE"/>
            <w:vAlign w:val="center"/>
            <w:hideMark/>
          </w:tcPr>
          <w:p w14:paraId="6FFD0F60"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1" w:type="dxa"/>
            <w:shd w:val="clear" w:color="auto" w:fill="BDD6EE"/>
            <w:vAlign w:val="center"/>
            <w:hideMark/>
          </w:tcPr>
          <w:p w14:paraId="5A43C212"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1" w:type="dxa"/>
            <w:shd w:val="clear" w:color="auto" w:fill="BDD6EE"/>
            <w:vAlign w:val="center"/>
            <w:hideMark/>
          </w:tcPr>
          <w:p w14:paraId="74791177" w14:textId="77777777" w:rsidR="00776A1F" w:rsidRDefault="00D8574B">
            <w:pPr>
              <w:pStyle w:val="P68B1DB1-Normal6"/>
              <w:spacing w:after="0" w:line="240" w:lineRule="auto"/>
              <w:jc w:val="center"/>
              <w:rPr>
                <w:rFonts w:eastAsia="Times New Roman" w:cs="Times New Roman"/>
                <w:noProof/>
              </w:rPr>
            </w:pPr>
            <w:r>
              <w:rPr>
                <w:noProof/>
              </w:rPr>
              <w:t>Q</w:t>
            </w:r>
          </w:p>
        </w:tc>
        <w:tc>
          <w:tcPr>
            <w:tcW w:w="700" w:type="dxa"/>
            <w:shd w:val="clear" w:color="auto" w:fill="BDD6EE"/>
            <w:vAlign w:val="center"/>
            <w:hideMark/>
          </w:tcPr>
          <w:p w14:paraId="639FF5C5"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606" w:type="dxa"/>
            <w:vMerge/>
            <w:vAlign w:val="center"/>
            <w:hideMark/>
          </w:tcPr>
          <w:p w14:paraId="0AA46401" w14:textId="77777777" w:rsidR="00776A1F" w:rsidRDefault="00776A1F">
            <w:pPr>
              <w:spacing w:after="0" w:line="240" w:lineRule="auto"/>
              <w:rPr>
                <w:rFonts w:ascii="Times New Roman" w:eastAsia="Times New Roman" w:hAnsi="Times New Roman" w:cs="Times New Roman"/>
                <w:b/>
                <w:noProof/>
                <w:sz w:val="18"/>
              </w:rPr>
            </w:pPr>
          </w:p>
        </w:tc>
      </w:tr>
      <w:tr w:rsidR="00776A1F" w14:paraId="6365BE4E" w14:textId="77777777">
        <w:trPr>
          <w:trHeight w:val="1260"/>
        </w:trPr>
        <w:tc>
          <w:tcPr>
            <w:tcW w:w="1121" w:type="dxa"/>
            <w:shd w:val="clear" w:color="auto" w:fill="C4EFCE"/>
            <w:vAlign w:val="center"/>
            <w:hideMark/>
          </w:tcPr>
          <w:p w14:paraId="2EDCE149" w14:textId="77777777" w:rsidR="00776A1F" w:rsidRDefault="00D8574B">
            <w:pPr>
              <w:pStyle w:val="P68B1DB1-Normal7"/>
              <w:spacing w:after="0" w:line="240" w:lineRule="auto"/>
              <w:jc w:val="center"/>
              <w:rPr>
                <w:rFonts w:eastAsia="Times New Roman" w:cs="Calibri"/>
                <w:noProof/>
              </w:rPr>
            </w:pPr>
            <w:r>
              <w:rPr>
                <w:noProof/>
              </w:rPr>
              <w:t>2.20</w:t>
            </w:r>
          </w:p>
        </w:tc>
        <w:tc>
          <w:tcPr>
            <w:tcW w:w="1259" w:type="dxa"/>
            <w:shd w:val="clear" w:color="auto" w:fill="C4EFCE"/>
            <w:vAlign w:val="center"/>
            <w:hideMark/>
          </w:tcPr>
          <w:p w14:paraId="6ABB675D" w14:textId="77777777" w:rsidR="00776A1F" w:rsidRDefault="00D8574B">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2793D51"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03220CB" w14:textId="5E5D9102" w:rsidR="00776A1F" w:rsidRDefault="00D8574B">
            <w:pPr>
              <w:pStyle w:val="P68B1DB1-Normal8"/>
              <w:spacing w:after="0" w:line="240" w:lineRule="auto"/>
              <w:jc w:val="center"/>
              <w:rPr>
                <w:rFonts w:eastAsia="Times New Roman" w:cs="Calibri"/>
                <w:noProof/>
              </w:rPr>
            </w:pPr>
            <w:r>
              <w:rPr>
                <w:noProof/>
              </w:rPr>
              <w:t>Cenas ziņā pieejams publisko mājokļu fonds — mājokļi, kuros sākts darbs (kas būvēti ar augstu energoefektivitāti vai atjaunoti ar uzlabotu energoefektivitāti)</w:t>
            </w:r>
          </w:p>
        </w:tc>
        <w:tc>
          <w:tcPr>
            <w:tcW w:w="1258" w:type="dxa"/>
            <w:shd w:val="clear" w:color="auto" w:fill="C4EFCE"/>
            <w:vAlign w:val="center"/>
            <w:hideMark/>
          </w:tcPr>
          <w:p w14:paraId="4E20F9D1"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621C9A52"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7E591BFE" w14:textId="77777777" w:rsidR="00776A1F" w:rsidRDefault="00D8574B">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3B93E82B" w14:textId="77777777" w:rsidR="00776A1F" w:rsidRDefault="00D8574B">
            <w:pPr>
              <w:pStyle w:val="P68B1DB1-Normal8"/>
              <w:spacing w:after="0" w:line="240" w:lineRule="auto"/>
              <w:jc w:val="center"/>
              <w:rPr>
                <w:rFonts w:eastAsia="Times New Roman" w:cs="Calibri"/>
                <w:noProof/>
              </w:rPr>
            </w:pPr>
            <w:r>
              <w:rPr>
                <w:noProof/>
              </w:rPr>
              <w:t>520</w:t>
            </w:r>
          </w:p>
        </w:tc>
        <w:tc>
          <w:tcPr>
            <w:tcW w:w="561" w:type="dxa"/>
            <w:shd w:val="clear" w:color="auto" w:fill="C4EFCE"/>
            <w:vAlign w:val="center"/>
            <w:hideMark/>
          </w:tcPr>
          <w:p w14:paraId="343E8E11"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5EDCF0D9" w14:textId="77777777" w:rsidR="00776A1F" w:rsidRDefault="00D8574B">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5D10AA65" w14:textId="77777777" w:rsidR="00776A1F" w:rsidRDefault="00D8574B">
            <w:pPr>
              <w:pStyle w:val="P68B1DB1-Normal8"/>
              <w:spacing w:after="0" w:line="240" w:lineRule="auto"/>
              <w:jc w:val="both"/>
              <w:rPr>
                <w:rFonts w:eastAsia="Times New Roman" w:cs="Calibri"/>
                <w:noProof/>
              </w:rPr>
            </w:pPr>
            <w:r>
              <w:rPr>
                <w:noProof/>
              </w:rPr>
              <w:t>Mājokļu skaits, kuros darbi sākas pēc konkursa procedūras un līguma parakstīšanas. Ja jaunu ēku būvniecība ir saistīta ar jaunu ēku būvniecību, primārās enerģijas pieprasījums ir vismaz par 20 % zemāks, nekā prasīts gandrīz nulles enerģijas ēkām.</w:t>
            </w:r>
          </w:p>
        </w:tc>
      </w:tr>
      <w:tr w:rsidR="00776A1F" w14:paraId="33B4307F" w14:textId="77777777">
        <w:trPr>
          <w:trHeight w:val="1066"/>
        </w:trPr>
        <w:tc>
          <w:tcPr>
            <w:tcW w:w="1121" w:type="dxa"/>
            <w:shd w:val="clear" w:color="auto" w:fill="C4EFCE"/>
            <w:vAlign w:val="center"/>
            <w:hideMark/>
          </w:tcPr>
          <w:p w14:paraId="0EA394FE" w14:textId="77777777" w:rsidR="00776A1F" w:rsidRDefault="00D8574B">
            <w:pPr>
              <w:pStyle w:val="P68B1DB1-Normal7"/>
              <w:spacing w:after="0" w:line="240" w:lineRule="auto"/>
              <w:jc w:val="center"/>
              <w:rPr>
                <w:rFonts w:eastAsia="Times New Roman" w:cs="Calibri"/>
                <w:noProof/>
              </w:rPr>
            </w:pPr>
            <w:r>
              <w:rPr>
                <w:noProof/>
              </w:rPr>
              <w:t>2.21</w:t>
            </w:r>
          </w:p>
        </w:tc>
        <w:tc>
          <w:tcPr>
            <w:tcW w:w="1259" w:type="dxa"/>
            <w:shd w:val="clear" w:color="auto" w:fill="C4EFCE"/>
            <w:vAlign w:val="center"/>
            <w:hideMark/>
          </w:tcPr>
          <w:p w14:paraId="34979C95" w14:textId="77777777" w:rsidR="00776A1F" w:rsidRDefault="00D8574B">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75EBE78"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8BDE03A" w14:textId="7879BBFF" w:rsidR="00776A1F" w:rsidRDefault="00D8574B">
            <w:pPr>
              <w:pStyle w:val="P68B1DB1-Normal8"/>
              <w:spacing w:after="0" w:line="240" w:lineRule="auto"/>
              <w:jc w:val="center"/>
              <w:rPr>
                <w:rFonts w:eastAsia="Times New Roman" w:cs="Calibri"/>
                <w:noProof/>
              </w:rPr>
            </w:pPr>
            <w:r>
              <w:rPr>
                <w:noProof/>
              </w:rPr>
              <w:t>Cenas ziņā pieejams publisko mājokļu fonds — mājokļi, kuros sākts darbs (kas būvēti ar augstu energoefektivitāti vai atjaunoti ar uzlabotu energoefektivitāti)</w:t>
            </w:r>
          </w:p>
        </w:tc>
        <w:tc>
          <w:tcPr>
            <w:tcW w:w="1258" w:type="dxa"/>
            <w:shd w:val="clear" w:color="auto" w:fill="C4EFCE"/>
            <w:vAlign w:val="center"/>
            <w:hideMark/>
          </w:tcPr>
          <w:p w14:paraId="374FFAB8"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2524308"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78E249BE" w14:textId="77777777" w:rsidR="00776A1F" w:rsidRDefault="00D8574B">
            <w:pPr>
              <w:pStyle w:val="P68B1DB1-Normal8"/>
              <w:spacing w:after="0" w:line="240" w:lineRule="auto"/>
              <w:jc w:val="center"/>
              <w:rPr>
                <w:rFonts w:eastAsia="Times New Roman" w:cs="Calibri"/>
                <w:noProof/>
              </w:rPr>
            </w:pPr>
            <w:r>
              <w:rPr>
                <w:noProof/>
              </w:rPr>
              <w:t>520</w:t>
            </w:r>
          </w:p>
        </w:tc>
        <w:tc>
          <w:tcPr>
            <w:tcW w:w="701" w:type="dxa"/>
            <w:shd w:val="clear" w:color="auto" w:fill="C4EFCE"/>
            <w:vAlign w:val="center"/>
            <w:hideMark/>
          </w:tcPr>
          <w:p w14:paraId="1C33F4F0" w14:textId="11BE8C74" w:rsidR="00776A1F" w:rsidRDefault="00D8574B">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104858DB"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42858FD7" w14:textId="77777777" w:rsidR="00776A1F" w:rsidRDefault="00D8574B">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18EC137C" w14:textId="77777777" w:rsidR="00776A1F" w:rsidRDefault="00D8574B">
            <w:pPr>
              <w:pStyle w:val="P68B1DB1-Normal8"/>
              <w:spacing w:after="0" w:line="240" w:lineRule="auto"/>
              <w:jc w:val="both"/>
              <w:rPr>
                <w:rFonts w:eastAsia="Times New Roman" w:cs="Calibri"/>
                <w:noProof/>
              </w:rPr>
            </w:pPr>
            <w:r>
              <w:rPr>
                <w:noProof/>
              </w:rPr>
              <w:t>Mājokļu skaits, kuros darbi sākas pēc konkursa procedūras un līguma parakstīšanas. Ja jaunu ēku būvniecība ir saistīta ar jaunu ēku būvniecību, primārās enerģijas pieprasījums ir vismaz par 20 % zemāks, nekā prasīts gandrīz nulles enerģijas ēkām.</w:t>
            </w:r>
          </w:p>
        </w:tc>
      </w:tr>
      <w:tr w:rsidR="00776A1F" w14:paraId="367756BF" w14:textId="77777777">
        <w:trPr>
          <w:trHeight w:val="1050"/>
        </w:trPr>
        <w:tc>
          <w:tcPr>
            <w:tcW w:w="1121" w:type="dxa"/>
            <w:shd w:val="clear" w:color="auto" w:fill="C4EFCE"/>
            <w:vAlign w:val="center"/>
            <w:hideMark/>
          </w:tcPr>
          <w:p w14:paraId="06EC68F7" w14:textId="77777777" w:rsidR="00776A1F" w:rsidRDefault="00D8574B">
            <w:pPr>
              <w:pStyle w:val="P68B1DB1-Normal7"/>
              <w:spacing w:after="0" w:line="240" w:lineRule="auto"/>
              <w:jc w:val="center"/>
              <w:rPr>
                <w:rFonts w:eastAsia="Times New Roman" w:cs="Calibri"/>
                <w:noProof/>
              </w:rPr>
            </w:pPr>
            <w:r>
              <w:rPr>
                <w:noProof/>
              </w:rPr>
              <w:t>2.22</w:t>
            </w:r>
          </w:p>
        </w:tc>
        <w:tc>
          <w:tcPr>
            <w:tcW w:w="1259" w:type="dxa"/>
            <w:shd w:val="clear" w:color="auto" w:fill="C4EFCE"/>
            <w:vAlign w:val="center"/>
            <w:hideMark/>
          </w:tcPr>
          <w:p w14:paraId="36837DB5" w14:textId="77777777" w:rsidR="00776A1F" w:rsidRDefault="00D8574B">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D7A6883"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0C0848AD" w14:textId="599D6981" w:rsidR="00776A1F" w:rsidRDefault="00D8574B">
            <w:pPr>
              <w:pStyle w:val="P68B1DB1-Normal8"/>
              <w:spacing w:after="0" w:line="240" w:lineRule="auto"/>
              <w:jc w:val="center"/>
              <w:rPr>
                <w:rFonts w:eastAsia="Times New Roman" w:cs="Calibri"/>
                <w:noProof/>
              </w:rPr>
            </w:pPr>
            <w:r>
              <w:rPr>
                <w:noProof/>
              </w:rPr>
              <w:t>Publisko mājokļu fonds par pieņemamu cenu. Piešķirtie mājokļi (kas būvēti ar augstu energoefektivitāti vai atjaunoti ar uzlabotu energoefektivitāti)</w:t>
            </w:r>
          </w:p>
        </w:tc>
        <w:tc>
          <w:tcPr>
            <w:tcW w:w="1258" w:type="dxa"/>
            <w:shd w:val="clear" w:color="auto" w:fill="C4EFCE"/>
            <w:vAlign w:val="center"/>
            <w:hideMark/>
          </w:tcPr>
          <w:p w14:paraId="34D8DBA8"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E6F8874"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17D2D4D6" w14:textId="77777777" w:rsidR="00776A1F" w:rsidRDefault="00D8574B">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0E3BD19D" w14:textId="561EE8C6" w:rsidR="00776A1F" w:rsidRDefault="00D8574B">
            <w:pPr>
              <w:pStyle w:val="P68B1DB1-Normal8"/>
              <w:spacing w:after="0" w:line="240" w:lineRule="auto"/>
              <w:jc w:val="center"/>
              <w:rPr>
                <w:rFonts w:eastAsia="Calibri" w:cs="Calibri"/>
                <w:noProof/>
              </w:rPr>
            </w:pPr>
            <w:r>
              <w:rPr>
                <w:noProof/>
              </w:rPr>
              <w:t>520</w:t>
            </w:r>
          </w:p>
        </w:tc>
        <w:tc>
          <w:tcPr>
            <w:tcW w:w="561" w:type="dxa"/>
            <w:shd w:val="clear" w:color="auto" w:fill="C4EFCE"/>
            <w:vAlign w:val="center"/>
            <w:hideMark/>
          </w:tcPr>
          <w:p w14:paraId="27E52C88"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1DEA3599" w14:textId="77777777" w:rsidR="00776A1F" w:rsidRDefault="00D8574B">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3D170067" w14:textId="77777777" w:rsidR="00776A1F" w:rsidRDefault="00D8574B">
            <w:pPr>
              <w:pStyle w:val="P68B1DB1-Normal8"/>
              <w:spacing w:after="0" w:line="240" w:lineRule="auto"/>
              <w:jc w:val="both"/>
              <w:rPr>
                <w:rFonts w:eastAsia="Times New Roman" w:cs="Calibri"/>
                <w:noProof/>
              </w:rPr>
            </w:pPr>
            <w:r>
              <w:rPr>
                <w:noProof/>
              </w:rPr>
              <w:t>Atbalsttiesīgajām mājsaimniecībām piegādāto mājokļu skaits, izmantojot mājokļu apmaiņu par pieņemamām izmaksām (DL 82/2020, 2. oktobris) vai pašvaldību programmu. Cenas ziņā pieejami mājokļi tiek definēti kā tādi, kas darīti pieejami saskaņā ar piekļuves nomas programmu, kas izveidota ar 22. maija Dekrētlikumu Nr. 68/2019, īres shēmu, kas izveidota ar 19. decembra Likumu Nr. 81/2014, ar grozījumiem, nosacīto īres shēmu, kas izveidota ar 19. decembra Likumu Nr. 80/2014, kontrolēto izmaksu sistēmu, ko reglamentē ministrijas 19. februāra Īstenošanas rīkojums Nr. 65/2019, vai īpašām pašvaldību programmām. Ja jaunu ēku būvniecība ir saistīta ar jaunu ēku būvniecību, primārās enerģijas pieprasījums ir vismaz par 20 % zemāks, nekā prasīts gandrīz nulles enerģijas ēkām.</w:t>
            </w:r>
          </w:p>
        </w:tc>
      </w:tr>
      <w:tr w:rsidR="00776A1F" w14:paraId="3D12978B" w14:textId="77777777">
        <w:trPr>
          <w:trHeight w:val="1050"/>
        </w:trPr>
        <w:tc>
          <w:tcPr>
            <w:tcW w:w="1121" w:type="dxa"/>
            <w:shd w:val="clear" w:color="auto" w:fill="C4EFCE"/>
            <w:vAlign w:val="center"/>
            <w:hideMark/>
          </w:tcPr>
          <w:p w14:paraId="1C8AA54B" w14:textId="77777777" w:rsidR="00776A1F" w:rsidRDefault="00D8574B">
            <w:pPr>
              <w:pStyle w:val="P68B1DB1-Normal7"/>
              <w:spacing w:after="0" w:line="240" w:lineRule="auto"/>
              <w:jc w:val="center"/>
              <w:rPr>
                <w:rFonts w:eastAsia="Times New Roman" w:cs="Calibri"/>
                <w:noProof/>
              </w:rPr>
            </w:pPr>
            <w:r>
              <w:rPr>
                <w:noProof/>
              </w:rPr>
              <w:t>2.23</w:t>
            </w:r>
          </w:p>
        </w:tc>
        <w:tc>
          <w:tcPr>
            <w:tcW w:w="1259" w:type="dxa"/>
            <w:shd w:val="clear" w:color="auto" w:fill="C4EFCE"/>
            <w:vAlign w:val="center"/>
            <w:hideMark/>
          </w:tcPr>
          <w:p w14:paraId="0DF3ED6A" w14:textId="77777777" w:rsidR="00776A1F" w:rsidRDefault="00D8574B">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1E7B3B4"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10E5E313" w14:textId="292E0959" w:rsidR="00776A1F" w:rsidRDefault="00D8574B">
            <w:pPr>
              <w:pStyle w:val="P68B1DB1-Normal8"/>
              <w:spacing w:after="0" w:line="240" w:lineRule="auto"/>
              <w:jc w:val="center"/>
              <w:rPr>
                <w:rFonts w:eastAsia="Times New Roman" w:cs="Calibri"/>
                <w:noProof/>
              </w:rPr>
            </w:pPr>
            <w:r>
              <w:rPr>
                <w:noProof/>
              </w:rPr>
              <w:t>Publisko mājokļu fonds par pieņemamu cenu. Piešķirtie mājokļi (kas būvēti ar augstu energoefektivitāti vai atjaunoti ar uzlabotu energoefektivitāti)</w:t>
            </w:r>
          </w:p>
        </w:tc>
        <w:tc>
          <w:tcPr>
            <w:tcW w:w="1258" w:type="dxa"/>
            <w:shd w:val="clear" w:color="auto" w:fill="C4EFCE"/>
            <w:vAlign w:val="center"/>
            <w:hideMark/>
          </w:tcPr>
          <w:p w14:paraId="5E450BD8"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9E4434D"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64F68EAD" w14:textId="7AD4DB54" w:rsidR="00776A1F" w:rsidRDefault="00D8574B">
            <w:pPr>
              <w:pStyle w:val="P68B1DB1-Normal8"/>
              <w:spacing w:after="0" w:line="240" w:lineRule="auto"/>
              <w:jc w:val="center"/>
              <w:rPr>
                <w:rFonts w:eastAsia="Calibri" w:cs="Calibri"/>
                <w:noProof/>
              </w:rPr>
            </w:pPr>
            <w:r>
              <w:rPr>
                <w:noProof/>
              </w:rPr>
              <w:t>520</w:t>
            </w:r>
          </w:p>
        </w:tc>
        <w:tc>
          <w:tcPr>
            <w:tcW w:w="701" w:type="dxa"/>
            <w:shd w:val="clear" w:color="auto" w:fill="C4EFCE"/>
            <w:vAlign w:val="center"/>
            <w:hideMark/>
          </w:tcPr>
          <w:p w14:paraId="61CC7B68" w14:textId="52EF18D4" w:rsidR="00776A1F" w:rsidRDefault="00D8574B">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7CA72895"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33CCDA3C" w14:textId="77777777" w:rsidR="00776A1F" w:rsidRDefault="00D8574B">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54DCFE3F" w14:textId="77777777" w:rsidR="00776A1F" w:rsidRDefault="00D8574B">
            <w:pPr>
              <w:pStyle w:val="P68B1DB1-Normal8"/>
              <w:spacing w:after="0" w:line="240" w:lineRule="auto"/>
              <w:jc w:val="both"/>
              <w:rPr>
                <w:rFonts w:eastAsia="Times New Roman" w:cs="Calibri"/>
                <w:noProof/>
              </w:rPr>
            </w:pPr>
            <w:r>
              <w:rPr>
                <w:noProof/>
              </w:rPr>
              <w:t>Atbalsttiesīgajām mājsaimniecībām piegādāto mājokļu skaits, izmantojot mājokļu apmaiņu par pieņemamām izmaksām (DL 82/2020, 2. oktobris) vai pašvaldību programmu. Cenas ziņā pieejami mājokļi tiek definēti kā tādi, kas darīti pieejami saskaņā ar piekļuves nomas programmu, kas izveidota ar 22. maija Dekrētlikumu Nr. 68/2019, īres shēmu, kas izveidota ar 19. decembra Likumu Nr. 81/2014, ar grozījumiem, nosacīto īres shēmu, kas izveidota ar 19. decembra Likumu Nr. 80/2014, kontrolēto izmaksu sistēmu, ko reglamentē ministrijas 19. februāra Īstenošanas rīkojums Nr. 65/2019, vai īpašām pašvaldību programmām. Ja jaunu ēku būvniecība ir saistīta ar jaunu ēku būvniecību, primārās enerģijas pieprasījums ir vismaz par 20 % zemāks, nekā prasīts gandrīz nulles enerģijas ēkām.</w:t>
            </w:r>
          </w:p>
        </w:tc>
      </w:tr>
      <w:tr w:rsidR="00776A1F" w14:paraId="609C4778" w14:textId="77777777">
        <w:trPr>
          <w:trHeight w:val="1050"/>
        </w:trPr>
        <w:tc>
          <w:tcPr>
            <w:tcW w:w="1121" w:type="dxa"/>
            <w:shd w:val="clear" w:color="auto" w:fill="C4EFCE"/>
            <w:vAlign w:val="center"/>
            <w:hideMark/>
          </w:tcPr>
          <w:p w14:paraId="30CCA252" w14:textId="77777777" w:rsidR="00776A1F" w:rsidRDefault="00D8574B">
            <w:pPr>
              <w:pStyle w:val="P68B1DB1-Normal7"/>
              <w:spacing w:after="0" w:line="240" w:lineRule="auto"/>
              <w:jc w:val="center"/>
              <w:rPr>
                <w:rFonts w:eastAsia="Times New Roman" w:cs="Calibri"/>
                <w:noProof/>
              </w:rPr>
            </w:pPr>
            <w:r>
              <w:rPr>
                <w:noProof/>
              </w:rPr>
              <w:t>2.24</w:t>
            </w:r>
          </w:p>
        </w:tc>
        <w:tc>
          <w:tcPr>
            <w:tcW w:w="1259" w:type="dxa"/>
            <w:shd w:val="clear" w:color="auto" w:fill="C4EFCE"/>
            <w:vAlign w:val="center"/>
            <w:hideMark/>
          </w:tcPr>
          <w:p w14:paraId="357BE13B" w14:textId="77777777" w:rsidR="00776A1F" w:rsidRDefault="00D8574B">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C7C6C2C"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C4EC8B8" w14:textId="7569987A" w:rsidR="00776A1F" w:rsidRDefault="00D8574B">
            <w:pPr>
              <w:pStyle w:val="P68B1DB1-Normal8"/>
              <w:spacing w:after="0" w:line="240" w:lineRule="auto"/>
              <w:jc w:val="center"/>
              <w:rPr>
                <w:rFonts w:eastAsia="Times New Roman" w:cs="Calibri"/>
                <w:noProof/>
              </w:rPr>
            </w:pPr>
            <w:r>
              <w:rPr>
                <w:noProof/>
              </w:rPr>
              <w:t>Publisko mājokļu fonds par pieņemamu cenu. Piešķirtie mājokļi (kas būvēti ar augstu energoefektivitāti vai atjaunoti ar uzlabotu energoefektivitāti)</w:t>
            </w:r>
          </w:p>
        </w:tc>
        <w:tc>
          <w:tcPr>
            <w:tcW w:w="1258" w:type="dxa"/>
            <w:shd w:val="clear" w:color="auto" w:fill="C4EFCE"/>
            <w:vAlign w:val="center"/>
            <w:hideMark/>
          </w:tcPr>
          <w:p w14:paraId="75773B0B"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A210D1A"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6100A53D" w14:textId="39986BD6" w:rsidR="00776A1F" w:rsidRDefault="00D8574B">
            <w:pPr>
              <w:pStyle w:val="P68B1DB1-Normal8"/>
              <w:spacing w:after="0" w:line="240" w:lineRule="auto"/>
              <w:jc w:val="center"/>
              <w:rPr>
                <w:rFonts w:eastAsia="Calibri" w:cs="Calibri"/>
                <w:noProof/>
              </w:rPr>
            </w:pPr>
            <w:r>
              <w:rPr>
                <w:noProof/>
              </w:rPr>
              <w:t>1400</w:t>
            </w:r>
          </w:p>
        </w:tc>
        <w:tc>
          <w:tcPr>
            <w:tcW w:w="701" w:type="dxa"/>
            <w:shd w:val="clear" w:color="auto" w:fill="C4EFCE"/>
            <w:vAlign w:val="center"/>
            <w:hideMark/>
          </w:tcPr>
          <w:p w14:paraId="70D00CAB" w14:textId="77777777" w:rsidR="00776A1F" w:rsidRDefault="00D8574B">
            <w:pPr>
              <w:pStyle w:val="P68B1DB1-Normal8"/>
              <w:spacing w:after="0" w:line="240" w:lineRule="auto"/>
              <w:jc w:val="center"/>
              <w:rPr>
                <w:rFonts w:eastAsia="Times New Roman" w:cs="Calibri"/>
                <w:noProof/>
              </w:rPr>
            </w:pPr>
            <w:r>
              <w:rPr>
                <w:noProof/>
              </w:rPr>
              <w:t>6 800</w:t>
            </w:r>
          </w:p>
        </w:tc>
        <w:tc>
          <w:tcPr>
            <w:tcW w:w="561" w:type="dxa"/>
            <w:shd w:val="clear" w:color="auto" w:fill="C4EFCE"/>
            <w:vAlign w:val="center"/>
            <w:hideMark/>
          </w:tcPr>
          <w:p w14:paraId="7882F175" w14:textId="77777777" w:rsidR="00776A1F" w:rsidRDefault="00D8574B">
            <w:pPr>
              <w:pStyle w:val="P68B1DB1-Normal8"/>
              <w:spacing w:after="0" w:line="240" w:lineRule="auto"/>
              <w:jc w:val="center"/>
              <w:rPr>
                <w:rFonts w:eastAsia="Times New Roman" w:cs="Calibri"/>
                <w:noProof/>
              </w:rPr>
            </w:pPr>
            <w:r>
              <w:rPr>
                <w:noProof/>
              </w:rPr>
              <w:t>2. CET.</w:t>
            </w:r>
          </w:p>
        </w:tc>
        <w:tc>
          <w:tcPr>
            <w:tcW w:w="700" w:type="dxa"/>
            <w:shd w:val="clear" w:color="auto" w:fill="C4EFCE"/>
            <w:vAlign w:val="center"/>
            <w:hideMark/>
          </w:tcPr>
          <w:p w14:paraId="527600BA" w14:textId="77777777" w:rsidR="00776A1F" w:rsidRDefault="00D8574B">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1406B6B7" w14:textId="77777777" w:rsidR="00776A1F" w:rsidRDefault="00D8574B">
            <w:pPr>
              <w:pStyle w:val="P68B1DB1-Normal8"/>
              <w:spacing w:after="0" w:line="240" w:lineRule="auto"/>
              <w:jc w:val="both"/>
              <w:rPr>
                <w:rFonts w:eastAsia="Times New Roman" w:cs="Calibri"/>
                <w:noProof/>
              </w:rPr>
            </w:pPr>
            <w:r>
              <w:rPr>
                <w:noProof/>
              </w:rPr>
              <w:t>Atbalsttiesīgajām mājsaimniecībām piegādāto mājokļu skaits, izmantojot mājokļu apmaiņu par pieņemamām izmaksām (DL 82/2020, 2. oktobris) vai pašvaldību programmu. Cenas ziņā pieejami mājokļi tiek definēti kā tādi, kas darīti pieejami saskaņā ar piekļuves nomas programmu, kas izveidota ar 22. maija Dekrētlikumu Nr. 68/2019, īres shēmu, kas izveidota ar 19. decembra Likumu Nr. 81/2014, ar grozījumiem, nosacīto īres shēmu, kas izveidota ar 19. decembra Likumu Nr. 80/2014, kontrolēto izmaksu sistēmu, ko reglamentē ministrijas 19. februāra Īstenošanas rīkojums Nr. 65/2019, vai īpašām pašvaldību programmām. Ja jaunu ēku būvniecība ir saistīta ar jaunu ēku būvniecību, primārās enerģijas pieprasījums ir vismaz par 20 % zemāks, nekā prasīts gandrīz nulles enerģijas ēkām.</w:t>
            </w:r>
          </w:p>
        </w:tc>
      </w:tr>
      <w:tr w:rsidR="00776A1F" w14:paraId="0C0D0EA3" w14:textId="77777777">
        <w:trPr>
          <w:trHeight w:val="2254"/>
        </w:trPr>
        <w:tc>
          <w:tcPr>
            <w:tcW w:w="1121" w:type="dxa"/>
            <w:shd w:val="clear" w:color="auto" w:fill="C4EFCE"/>
            <w:vAlign w:val="center"/>
            <w:hideMark/>
          </w:tcPr>
          <w:p w14:paraId="4DFAE66D" w14:textId="77777777" w:rsidR="00776A1F" w:rsidRDefault="00D8574B">
            <w:pPr>
              <w:pStyle w:val="P68B1DB1-Normal7"/>
              <w:spacing w:after="0" w:line="240" w:lineRule="auto"/>
              <w:jc w:val="center"/>
              <w:rPr>
                <w:rFonts w:eastAsia="Times New Roman" w:cs="Calibri"/>
                <w:noProof/>
              </w:rPr>
            </w:pPr>
            <w:r>
              <w:rPr>
                <w:noProof/>
              </w:rPr>
              <w:t>2.25</w:t>
            </w:r>
          </w:p>
        </w:tc>
        <w:tc>
          <w:tcPr>
            <w:tcW w:w="1259" w:type="dxa"/>
            <w:shd w:val="clear" w:color="auto" w:fill="C4EFCE"/>
            <w:vAlign w:val="center"/>
            <w:hideMark/>
          </w:tcPr>
          <w:p w14:paraId="2D66C9F3" w14:textId="77777777" w:rsidR="00776A1F" w:rsidRDefault="00D8574B">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B5E4DC3"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05985C2" w14:textId="52462DC9" w:rsidR="00776A1F" w:rsidRDefault="00D8574B">
            <w:pPr>
              <w:pStyle w:val="P68B1DB1-Normal8"/>
              <w:spacing w:after="0" w:line="240" w:lineRule="auto"/>
              <w:jc w:val="center"/>
              <w:rPr>
                <w:rFonts w:eastAsia="Times New Roman" w:cs="Calibri"/>
                <w:noProof/>
              </w:rPr>
            </w:pPr>
            <w:r>
              <w:rPr>
                <w:noProof/>
              </w:rPr>
              <w:t>Studentu izmitināšana par pieņemamu cenu — studentu izmitināšanas vietu skaits ar izsludinātiem konkursiem</w:t>
            </w:r>
          </w:p>
        </w:tc>
        <w:tc>
          <w:tcPr>
            <w:tcW w:w="1258" w:type="dxa"/>
            <w:shd w:val="clear" w:color="auto" w:fill="C4EFCE"/>
            <w:vAlign w:val="center"/>
            <w:hideMark/>
          </w:tcPr>
          <w:p w14:paraId="456D3B11"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0A7FE1FB"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670D15C0" w14:textId="77777777" w:rsidR="00776A1F" w:rsidRDefault="00D8574B">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7C085019" w14:textId="77777777" w:rsidR="00776A1F" w:rsidRDefault="00D8574B">
            <w:pPr>
              <w:pStyle w:val="P68B1DB1-Normal8"/>
              <w:spacing w:after="0" w:line="240" w:lineRule="auto"/>
              <w:jc w:val="center"/>
              <w:rPr>
                <w:rFonts w:eastAsia="Times New Roman" w:cs="Calibri"/>
                <w:noProof/>
              </w:rPr>
            </w:pPr>
            <w:r>
              <w:rPr>
                <w:noProof/>
              </w:rPr>
              <w:t>7000</w:t>
            </w:r>
          </w:p>
        </w:tc>
        <w:tc>
          <w:tcPr>
            <w:tcW w:w="561" w:type="dxa"/>
            <w:shd w:val="clear" w:color="auto" w:fill="C4EFCE"/>
            <w:vAlign w:val="center"/>
            <w:hideMark/>
          </w:tcPr>
          <w:p w14:paraId="65F5B7C1"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1E975DE1" w14:textId="77777777" w:rsidR="00776A1F" w:rsidRDefault="00D8574B">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2FF93065" w14:textId="787D3203" w:rsidR="00776A1F" w:rsidRDefault="00D8574B">
            <w:pPr>
              <w:pStyle w:val="P68B1DB1-Normal8"/>
              <w:spacing w:after="0" w:line="240" w:lineRule="auto"/>
              <w:jc w:val="both"/>
              <w:rPr>
                <w:rFonts w:eastAsia="Times New Roman" w:cs="Calibri"/>
                <w:noProof/>
              </w:rPr>
            </w:pPr>
            <w:r>
              <w:rPr>
                <w:noProof/>
              </w:rPr>
              <w:t>Jaunu un renovētu izmitināšanas vietu skaits galvenokārt augstākās izglītības studentiem, par kurām ir izsludināti publiskie konkursi.</w:t>
            </w:r>
          </w:p>
          <w:p w14:paraId="05C25A40" w14:textId="77777777" w:rsidR="00776A1F" w:rsidRDefault="00D8574B">
            <w:pPr>
              <w:pStyle w:val="P68B1DB1-Normal8"/>
              <w:spacing w:after="0" w:line="240" w:lineRule="auto"/>
              <w:jc w:val="both"/>
              <w:rPr>
                <w:rFonts w:eastAsia="Times New Roman" w:cs="Calibri"/>
                <w:noProof/>
              </w:rPr>
            </w:pPr>
            <w:r>
              <w:rPr>
                <w:noProof/>
              </w:rPr>
              <w:t>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0D33B44C" w14:textId="77777777">
        <w:trPr>
          <w:trHeight w:val="543"/>
        </w:trPr>
        <w:tc>
          <w:tcPr>
            <w:tcW w:w="1121" w:type="dxa"/>
            <w:shd w:val="clear" w:color="auto" w:fill="C4EFCE"/>
            <w:vAlign w:val="center"/>
            <w:hideMark/>
          </w:tcPr>
          <w:p w14:paraId="6BF73E55" w14:textId="77777777" w:rsidR="00776A1F" w:rsidRDefault="00D8574B">
            <w:pPr>
              <w:pStyle w:val="P68B1DB1-Normal7"/>
              <w:spacing w:after="0" w:line="240" w:lineRule="auto"/>
              <w:jc w:val="center"/>
              <w:rPr>
                <w:rFonts w:eastAsia="Times New Roman" w:cs="Calibri"/>
                <w:noProof/>
              </w:rPr>
            </w:pPr>
            <w:r>
              <w:rPr>
                <w:noProof/>
              </w:rPr>
              <w:t>2.26</w:t>
            </w:r>
          </w:p>
        </w:tc>
        <w:tc>
          <w:tcPr>
            <w:tcW w:w="1259" w:type="dxa"/>
            <w:shd w:val="clear" w:color="auto" w:fill="C4EFCE"/>
            <w:vAlign w:val="center"/>
            <w:hideMark/>
          </w:tcPr>
          <w:p w14:paraId="071F28C9" w14:textId="77777777" w:rsidR="00776A1F" w:rsidRDefault="00D8574B">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16C5BB2"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50689BD" w14:textId="77777777" w:rsidR="00776A1F" w:rsidRDefault="00D8574B">
            <w:pPr>
              <w:pStyle w:val="P68B1DB1-Normal8"/>
              <w:spacing w:after="0" w:line="240" w:lineRule="auto"/>
              <w:jc w:val="center"/>
              <w:rPr>
                <w:rFonts w:eastAsia="Times New Roman" w:cs="Calibri"/>
                <w:noProof/>
              </w:rPr>
            </w:pPr>
            <w:r>
              <w:rPr>
                <w:noProof/>
              </w:rPr>
              <w:t xml:space="preserve">Studentu izmitināšana par pieņemamām izmaksām </w:t>
            </w:r>
          </w:p>
        </w:tc>
        <w:tc>
          <w:tcPr>
            <w:tcW w:w="1258" w:type="dxa"/>
            <w:shd w:val="clear" w:color="auto" w:fill="C4EFCE"/>
            <w:vAlign w:val="center"/>
            <w:hideMark/>
          </w:tcPr>
          <w:p w14:paraId="26DEFBD7"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53703B53"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13A0BF4A" w14:textId="77777777" w:rsidR="00776A1F" w:rsidRDefault="00D8574B">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18D72F16" w14:textId="276DBD05" w:rsidR="00776A1F" w:rsidRDefault="00D8574B">
            <w:pPr>
              <w:pStyle w:val="P68B1DB1-Normal8"/>
              <w:spacing w:after="0" w:line="240" w:lineRule="auto"/>
              <w:jc w:val="center"/>
              <w:rPr>
                <w:rFonts w:eastAsia="Times New Roman" w:cs="Calibri"/>
                <w:noProof/>
              </w:rPr>
            </w:pPr>
            <w:r>
              <w:rPr>
                <w:noProof/>
              </w:rPr>
              <w:t>7 200</w:t>
            </w:r>
          </w:p>
        </w:tc>
        <w:tc>
          <w:tcPr>
            <w:tcW w:w="561" w:type="dxa"/>
            <w:shd w:val="clear" w:color="auto" w:fill="C4EFCE"/>
            <w:vAlign w:val="center"/>
            <w:hideMark/>
          </w:tcPr>
          <w:p w14:paraId="1236111F"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3F3B9998" w14:textId="37F93F36" w:rsidR="00776A1F" w:rsidRDefault="00D8574B">
            <w:pPr>
              <w:pStyle w:val="P68B1DB1-Normal8"/>
              <w:spacing w:after="0" w:line="240" w:lineRule="auto"/>
              <w:jc w:val="both"/>
              <w:rPr>
                <w:rFonts w:eastAsia="Times New Roman" w:cs="Calibri"/>
                <w:noProof/>
              </w:rPr>
            </w:pPr>
            <w:r>
              <w:rPr>
                <w:noProof/>
              </w:rPr>
              <w:t>2024</w:t>
            </w:r>
          </w:p>
        </w:tc>
        <w:tc>
          <w:tcPr>
            <w:tcW w:w="4606" w:type="dxa"/>
            <w:shd w:val="clear" w:color="auto" w:fill="C4EFCE"/>
            <w:vAlign w:val="center"/>
            <w:hideMark/>
          </w:tcPr>
          <w:p w14:paraId="778022FF" w14:textId="62E05FA1" w:rsidR="00776A1F" w:rsidRDefault="00D8574B">
            <w:pPr>
              <w:pStyle w:val="P68B1DB1-Normal8"/>
              <w:spacing w:after="0" w:line="240" w:lineRule="auto"/>
              <w:jc w:val="both"/>
              <w:rPr>
                <w:rFonts w:eastAsia="Times New Roman" w:cs="Calibri"/>
                <w:noProof/>
              </w:rPr>
            </w:pPr>
            <w:r>
              <w:rPr>
                <w:noProof/>
              </w:rPr>
              <w:t xml:space="preserve">Tādu jaunu un renovētu vietu skaits, kas ir pieejamas galvenokārt augstākās izglītības studentiem pilsētās vai jauktās ēkās, kuras pilnībā vai daļēji paredzētas pagaidu izmitināšanai studentiem, kuri studē citā vietā, kas nav viņu dzīvesvieta, un kam ir vajadzīga izmitināšana, lai iegūtu augstāko izglītību, tostarp studentu dzīvesvietās augstākajā izglītībā, kas obligāti ietver guļamistabas, vannas istabas, virtuves un ēdināšanas telpas, un var ietvert mācību un izmitināšanas vietas, stāvvietas un aprīkojumu; </w:t>
            </w:r>
          </w:p>
          <w:p w14:paraId="6C80330F" w14:textId="606400D0" w:rsidR="00776A1F" w:rsidRDefault="00D8574B">
            <w:pPr>
              <w:pStyle w:val="P68B1DB1-Normal8"/>
              <w:spacing w:after="0" w:line="240" w:lineRule="auto"/>
              <w:jc w:val="both"/>
              <w:rPr>
                <w:rFonts w:eastAsia="Times New Roman" w:cs="Calibri"/>
                <w:noProof/>
              </w:rPr>
            </w:pPr>
            <w:r>
              <w:rPr>
                <w:noProof/>
              </w:rPr>
              <w:t>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6E7A4C44" w14:textId="77777777">
        <w:trPr>
          <w:trHeight w:val="543"/>
        </w:trPr>
        <w:tc>
          <w:tcPr>
            <w:tcW w:w="1121" w:type="dxa"/>
            <w:shd w:val="clear" w:color="auto" w:fill="C4EFCE"/>
            <w:vAlign w:val="center"/>
            <w:hideMark/>
          </w:tcPr>
          <w:p w14:paraId="2FE553C4" w14:textId="77777777" w:rsidR="00776A1F" w:rsidRDefault="00D8574B">
            <w:pPr>
              <w:pStyle w:val="P68B1DB1-Normal7"/>
              <w:spacing w:after="0" w:line="240" w:lineRule="auto"/>
              <w:jc w:val="center"/>
              <w:rPr>
                <w:rFonts w:eastAsia="Times New Roman" w:cs="Calibri"/>
                <w:noProof/>
              </w:rPr>
            </w:pPr>
            <w:r>
              <w:rPr>
                <w:noProof/>
              </w:rPr>
              <w:t>2.27</w:t>
            </w:r>
          </w:p>
        </w:tc>
        <w:tc>
          <w:tcPr>
            <w:tcW w:w="1259" w:type="dxa"/>
            <w:shd w:val="clear" w:color="auto" w:fill="C4EFCE"/>
            <w:vAlign w:val="center"/>
            <w:hideMark/>
          </w:tcPr>
          <w:p w14:paraId="0BCB48BE" w14:textId="77777777" w:rsidR="00776A1F" w:rsidRDefault="00D8574B">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10B25FE4"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26157084" w14:textId="77777777" w:rsidR="00776A1F" w:rsidRDefault="00D8574B">
            <w:pPr>
              <w:pStyle w:val="P68B1DB1-Normal8"/>
              <w:spacing w:after="0" w:line="240" w:lineRule="auto"/>
              <w:jc w:val="center"/>
              <w:rPr>
                <w:rFonts w:eastAsia="Times New Roman" w:cs="Calibri"/>
                <w:noProof/>
              </w:rPr>
            </w:pPr>
            <w:r>
              <w:rPr>
                <w:noProof/>
              </w:rPr>
              <w:t xml:space="preserve">Studentu izmitināšana par pieņemamām izmaksām </w:t>
            </w:r>
          </w:p>
        </w:tc>
        <w:tc>
          <w:tcPr>
            <w:tcW w:w="1258" w:type="dxa"/>
            <w:shd w:val="clear" w:color="auto" w:fill="C4EFCE"/>
            <w:vAlign w:val="center"/>
            <w:hideMark/>
          </w:tcPr>
          <w:p w14:paraId="1F8A44C2"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67C80EC" w14:textId="77777777" w:rsidR="00776A1F" w:rsidRDefault="00D8574B">
            <w:pPr>
              <w:pStyle w:val="P68B1DB1-Normal8"/>
              <w:spacing w:after="0" w:line="240" w:lineRule="auto"/>
              <w:jc w:val="center"/>
              <w:rPr>
                <w:rFonts w:eastAsia="Times New Roman" w:cs="Calibri"/>
                <w:noProof/>
              </w:rPr>
            </w:pPr>
            <w:r>
              <w:rPr>
                <w:noProof/>
              </w:rPr>
              <w:t>Skaits</w:t>
            </w:r>
          </w:p>
        </w:tc>
        <w:tc>
          <w:tcPr>
            <w:tcW w:w="980" w:type="dxa"/>
            <w:shd w:val="clear" w:color="auto" w:fill="C4EFCE"/>
            <w:vAlign w:val="center"/>
            <w:hideMark/>
          </w:tcPr>
          <w:p w14:paraId="416AAB49" w14:textId="54C17EC0" w:rsidR="00776A1F" w:rsidRDefault="00D8574B">
            <w:pPr>
              <w:pStyle w:val="P68B1DB1-Normal8"/>
              <w:spacing w:after="0" w:line="240" w:lineRule="auto"/>
              <w:jc w:val="center"/>
              <w:rPr>
                <w:rFonts w:eastAsia="Times New Roman" w:cs="Calibri"/>
                <w:noProof/>
              </w:rPr>
            </w:pPr>
            <w:r>
              <w:rPr>
                <w:noProof/>
              </w:rPr>
              <w:t>7 200</w:t>
            </w:r>
          </w:p>
        </w:tc>
        <w:tc>
          <w:tcPr>
            <w:tcW w:w="701" w:type="dxa"/>
            <w:shd w:val="clear" w:color="auto" w:fill="C4EFCE"/>
            <w:vAlign w:val="center"/>
            <w:hideMark/>
          </w:tcPr>
          <w:p w14:paraId="3439E949" w14:textId="1E287A32" w:rsidR="00776A1F" w:rsidRDefault="00D8574B">
            <w:pPr>
              <w:pStyle w:val="P68B1DB1-Normal8"/>
              <w:spacing w:after="0" w:line="240" w:lineRule="auto"/>
              <w:jc w:val="center"/>
              <w:rPr>
                <w:rFonts w:eastAsia="Times New Roman" w:cs="Calibri"/>
                <w:noProof/>
              </w:rPr>
            </w:pPr>
            <w:r>
              <w:rPr>
                <w:noProof/>
              </w:rPr>
              <w:t>13 300</w:t>
            </w:r>
          </w:p>
        </w:tc>
        <w:tc>
          <w:tcPr>
            <w:tcW w:w="561" w:type="dxa"/>
            <w:shd w:val="clear" w:color="auto" w:fill="C4EFCE"/>
            <w:vAlign w:val="center"/>
            <w:hideMark/>
          </w:tcPr>
          <w:p w14:paraId="2CB76039" w14:textId="77777777" w:rsidR="00776A1F" w:rsidRDefault="00D8574B">
            <w:pPr>
              <w:pStyle w:val="P68B1DB1-Normal8"/>
              <w:spacing w:after="0" w:line="240" w:lineRule="auto"/>
              <w:jc w:val="center"/>
              <w:rPr>
                <w:rFonts w:eastAsia="Times New Roman" w:cs="Calibri"/>
                <w:noProof/>
              </w:rPr>
            </w:pPr>
            <w:r>
              <w:rPr>
                <w:noProof/>
              </w:rPr>
              <w:t>3. CET.</w:t>
            </w:r>
          </w:p>
        </w:tc>
        <w:tc>
          <w:tcPr>
            <w:tcW w:w="700" w:type="dxa"/>
            <w:shd w:val="clear" w:color="auto" w:fill="C4EFCE"/>
            <w:vAlign w:val="center"/>
            <w:hideMark/>
          </w:tcPr>
          <w:p w14:paraId="11F34838" w14:textId="11E49FF7" w:rsidR="00776A1F" w:rsidRDefault="00D8574B">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3D265A32" w14:textId="56C4574F" w:rsidR="00776A1F" w:rsidRDefault="00D8574B">
            <w:pPr>
              <w:pStyle w:val="P68B1DB1-Normal8"/>
              <w:spacing w:after="0" w:line="240" w:lineRule="auto"/>
              <w:jc w:val="both"/>
              <w:rPr>
                <w:rFonts w:eastAsia="Times New Roman" w:cs="Calibri"/>
                <w:noProof/>
              </w:rPr>
            </w:pPr>
            <w:r>
              <w:rPr>
                <w:noProof/>
              </w:rPr>
              <w:t>Tādu jaunu un renovētu vietu skaits, kas ir pieejamas galvenokārt augstākās izglītības studentiem pilsētās vai jauktās ēkās un kas pilnībā vai daļēji paredzētas pagaidu izmitināšanai studentiem, kuri studē citā vietā, kas nav viņu dzīvesvieta, un kuriem ir vajadzīga izmitināšana augstākās izglītības iegūšanai, tostarp studentu dzīvesvietās augstākajā izglītībā, kas obligāti ietver guļamistabas, vannas istabas, virtuves un ēdināšanas telpas, un var ietvert mācību un izmitināšanas vietas, stāvvietas un aprīkojumu;</w:t>
            </w:r>
          </w:p>
          <w:p w14:paraId="035EFF71" w14:textId="77777777" w:rsidR="00776A1F" w:rsidRDefault="00D8574B">
            <w:pPr>
              <w:pStyle w:val="P68B1DB1-Normal8"/>
              <w:spacing w:after="0" w:line="240" w:lineRule="auto"/>
              <w:jc w:val="both"/>
              <w:rPr>
                <w:rFonts w:eastAsia="Times New Roman" w:cs="Calibri"/>
                <w:noProof/>
              </w:rPr>
            </w:pPr>
            <w:r>
              <w:rPr>
                <w:noProof/>
              </w:rPr>
              <w:t>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3787F6D4" w14:textId="77777777">
        <w:trPr>
          <w:trHeight w:val="1050"/>
        </w:trPr>
        <w:tc>
          <w:tcPr>
            <w:tcW w:w="1121" w:type="dxa"/>
            <w:shd w:val="clear" w:color="auto" w:fill="C4EFCE"/>
            <w:vAlign w:val="center"/>
            <w:hideMark/>
          </w:tcPr>
          <w:p w14:paraId="64CCD213" w14:textId="77777777" w:rsidR="00776A1F" w:rsidRDefault="00D8574B">
            <w:pPr>
              <w:pStyle w:val="P68B1DB1-Normal7"/>
              <w:spacing w:after="0" w:line="240" w:lineRule="auto"/>
              <w:jc w:val="center"/>
              <w:rPr>
                <w:rFonts w:eastAsia="Times New Roman" w:cs="Calibri"/>
                <w:noProof/>
              </w:rPr>
            </w:pPr>
            <w:r>
              <w:rPr>
                <w:noProof/>
              </w:rPr>
              <w:t>2.28</w:t>
            </w:r>
          </w:p>
        </w:tc>
        <w:tc>
          <w:tcPr>
            <w:tcW w:w="1259" w:type="dxa"/>
            <w:shd w:val="clear" w:color="auto" w:fill="C4EFCE"/>
            <w:vAlign w:val="center"/>
            <w:hideMark/>
          </w:tcPr>
          <w:p w14:paraId="20A40908" w14:textId="77777777" w:rsidR="00776A1F" w:rsidRDefault="00D8574B">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4FFB417C" w14:textId="77777777" w:rsidR="00776A1F" w:rsidRDefault="00D8574B">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50C1A1F" w14:textId="77777777" w:rsidR="00776A1F" w:rsidRDefault="00D8574B">
            <w:pPr>
              <w:pStyle w:val="P68B1DB1-Normal8"/>
              <w:spacing w:after="0" w:line="240" w:lineRule="auto"/>
              <w:jc w:val="center"/>
              <w:rPr>
                <w:rFonts w:eastAsia="Times New Roman" w:cs="Calibri"/>
                <w:noProof/>
              </w:rPr>
            </w:pPr>
            <w:r>
              <w:rPr>
                <w:noProof/>
              </w:rPr>
              <w:t xml:space="preserve">Studentu izmitināšana par pieņemamām izmaksām </w:t>
            </w:r>
          </w:p>
        </w:tc>
        <w:tc>
          <w:tcPr>
            <w:tcW w:w="1258" w:type="dxa"/>
            <w:shd w:val="clear" w:color="auto" w:fill="C4EFCE"/>
            <w:vAlign w:val="center"/>
            <w:hideMark/>
          </w:tcPr>
          <w:p w14:paraId="6C52FC90" w14:textId="77777777" w:rsidR="00776A1F" w:rsidRDefault="00D8574B">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46B01055"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80" w:type="dxa"/>
            <w:shd w:val="clear" w:color="auto" w:fill="C4EFCE"/>
            <w:vAlign w:val="center"/>
            <w:hideMark/>
          </w:tcPr>
          <w:p w14:paraId="6B6F55A2" w14:textId="430D0E78" w:rsidR="00776A1F" w:rsidRDefault="00D8574B">
            <w:pPr>
              <w:pStyle w:val="P68B1DB1-Normal8"/>
              <w:spacing w:after="0" w:line="240" w:lineRule="auto"/>
              <w:jc w:val="center"/>
              <w:rPr>
                <w:rFonts w:eastAsia="Times New Roman" w:cs="Calibri"/>
                <w:noProof/>
              </w:rPr>
            </w:pPr>
            <w:r>
              <w:rPr>
                <w:noProof/>
              </w:rPr>
              <w:t>13 300</w:t>
            </w:r>
          </w:p>
        </w:tc>
        <w:tc>
          <w:tcPr>
            <w:tcW w:w="701" w:type="dxa"/>
            <w:shd w:val="clear" w:color="auto" w:fill="C4EFCE"/>
            <w:vAlign w:val="center"/>
            <w:hideMark/>
          </w:tcPr>
          <w:p w14:paraId="29351001" w14:textId="66F0DDA5" w:rsidR="00776A1F" w:rsidRDefault="00D8574B">
            <w:pPr>
              <w:pStyle w:val="P68B1DB1-Normal8"/>
              <w:spacing w:after="0" w:line="240" w:lineRule="auto"/>
              <w:jc w:val="center"/>
              <w:rPr>
                <w:rFonts w:eastAsia="Times New Roman" w:cs="Calibri"/>
                <w:noProof/>
              </w:rPr>
            </w:pPr>
            <w:r>
              <w:rPr>
                <w:noProof/>
              </w:rPr>
              <w:t>18 000</w:t>
            </w:r>
          </w:p>
        </w:tc>
        <w:tc>
          <w:tcPr>
            <w:tcW w:w="561" w:type="dxa"/>
            <w:shd w:val="clear" w:color="auto" w:fill="C4EFCE"/>
            <w:vAlign w:val="center"/>
            <w:hideMark/>
          </w:tcPr>
          <w:p w14:paraId="73B3BC6B" w14:textId="77777777" w:rsidR="00776A1F" w:rsidRDefault="00D8574B">
            <w:pPr>
              <w:pStyle w:val="P68B1DB1-Normal8"/>
              <w:spacing w:after="0" w:line="240" w:lineRule="auto"/>
              <w:jc w:val="center"/>
              <w:rPr>
                <w:rFonts w:eastAsia="Times New Roman" w:cs="Calibri"/>
                <w:noProof/>
              </w:rPr>
            </w:pPr>
            <w:r>
              <w:rPr>
                <w:noProof/>
              </w:rPr>
              <w:t>1. CET.</w:t>
            </w:r>
          </w:p>
        </w:tc>
        <w:tc>
          <w:tcPr>
            <w:tcW w:w="700" w:type="dxa"/>
            <w:shd w:val="clear" w:color="auto" w:fill="C4EFCE"/>
            <w:vAlign w:val="center"/>
            <w:hideMark/>
          </w:tcPr>
          <w:p w14:paraId="51504EB4" w14:textId="77777777" w:rsidR="00776A1F" w:rsidRDefault="00D8574B">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41184E03" w14:textId="7273E775" w:rsidR="00776A1F" w:rsidRDefault="00D8574B">
            <w:pPr>
              <w:pStyle w:val="P68B1DB1-Normal8"/>
              <w:spacing w:after="0" w:line="240" w:lineRule="auto"/>
              <w:jc w:val="both"/>
              <w:rPr>
                <w:rFonts w:eastAsia="Times New Roman" w:cs="Calibri"/>
                <w:noProof/>
              </w:rPr>
            </w:pPr>
            <w:r>
              <w:rPr>
                <w:noProof/>
              </w:rPr>
              <w:t xml:space="preserve">Tādu jaunu un renovētu vietu skaits, kas ir pieejamas galvenokārt augstākās izglītības studentiem pilsētās vai jauktās ēkās un kas pilnībā vai daļēji paredzētas pagaidu izmitināšanai studentiem, kuri studē citā vietā, kas nav viņu dzīvesvieta, un kuriem ir vajadzīga izmitināšana augstākās izglītības iegūšanai, tostarp studentu dzīvesvietās augstākajā izglītībā, kas obligāti ietver guļamistabas, vannas istabas, virtuves un ēdināšanas telpas, un var ietvert mācību un izmitināšanas vietas, stāvvietas un aprīkojumu; </w:t>
            </w:r>
          </w:p>
          <w:p w14:paraId="10E836B8" w14:textId="26AC752F" w:rsidR="00776A1F" w:rsidRDefault="00D8574B">
            <w:pPr>
              <w:pStyle w:val="P68B1DB1-Normal8"/>
              <w:spacing w:after="0" w:line="240" w:lineRule="auto"/>
              <w:jc w:val="both"/>
              <w:rPr>
                <w:rFonts w:eastAsia="Times New Roman" w:cs="Calibri"/>
                <w:noProof/>
              </w:rPr>
            </w:pPr>
            <w:r>
              <w:rPr>
                <w:noProof/>
              </w:rPr>
              <w:t>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60C698ED" w14:textId="77777777">
        <w:trPr>
          <w:trHeight w:val="1050"/>
        </w:trPr>
        <w:tc>
          <w:tcPr>
            <w:tcW w:w="1121" w:type="dxa"/>
            <w:shd w:val="clear" w:color="auto" w:fill="C4EFCE"/>
            <w:vAlign w:val="center"/>
          </w:tcPr>
          <w:p w14:paraId="4705E034" w14:textId="4AC666D2" w:rsidR="00776A1F" w:rsidRDefault="00D8574B">
            <w:pPr>
              <w:pStyle w:val="P68B1DB1-Normal11"/>
              <w:spacing w:after="0" w:line="240" w:lineRule="auto"/>
              <w:jc w:val="center"/>
              <w:rPr>
                <w:rFonts w:eastAsia="Times New Roman" w:cstheme="minorHAnsi"/>
                <w:noProof/>
              </w:rPr>
            </w:pPr>
            <w:r>
              <w:rPr>
                <w:noProof/>
              </w:rPr>
              <w:t>2.32</w:t>
            </w:r>
          </w:p>
        </w:tc>
        <w:tc>
          <w:tcPr>
            <w:tcW w:w="1259" w:type="dxa"/>
            <w:shd w:val="clear" w:color="auto" w:fill="C4EFCE"/>
            <w:vAlign w:val="center"/>
          </w:tcPr>
          <w:p w14:paraId="4776F9DD" w14:textId="58DFAFA4" w:rsidR="00776A1F" w:rsidRDefault="00D8574B">
            <w:pPr>
              <w:pStyle w:val="P68B1DB1-Normal12"/>
              <w:spacing w:after="0" w:line="240" w:lineRule="auto"/>
              <w:jc w:val="center"/>
              <w:rPr>
                <w:rFonts w:eastAsia="Times New Roman" w:cstheme="minorHAnsi"/>
                <w:noProof/>
              </w:rPr>
            </w:pPr>
            <w:r>
              <w:rPr>
                <w:noProof/>
              </w:rPr>
              <w:t>Re-C02-i09</w:t>
            </w:r>
          </w:p>
        </w:tc>
        <w:tc>
          <w:tcPr>
            <w:tcW w:w="1119" w:type="dxa"/>
            <w:shd w:val="clear" w:color="auto" w:fill="C4EFCE"/>
            <w:vAlign w:val="center"/>
          </w:tcPr>
          <w:p w14:paraId="3A5C7E5C" w14:textId="2BCC6FAF" w:rsidR="00776A1F" w:rsidRDefault="00D8574B">
            <w:pPr>
              <w:pStyle w:val="P68B1DB1-Normal12"/>
              <w:spacing w:after="0" w:line="240" w:lineRule="auto"/>
              <w:jc w:val="center"/>
              <w:rPr>
                <w:rFonts w:eastAsia="Times New Roman" w:cstheme="minorHAnsi"/>
                <w:noProof/>
              </w:rPr>
            </w:pPr>
            <w:r>
              <w:rPr>
                <w:noProof/>
              </w:rPr>
              <w:t>T</w:t>
            </w:r>
          </w:p>
        </w:tc>
        <w:tc>
          <w:tcPr>
            <w:tcW w:w="1677" w:type="dxa"/>
            <w:shd w:val="clear" w:color="auto" w:fill="C4EFCE"/>
            <w:vAlign w:val="center"/>
          </w:tcPr>
          <w:p w14:paraId="0968588E" w14:textId="5CE5582D" w:rsidR="00776A1F" w:rsidRDefault="00D8574B">
            <w:pPr>
              <w:pStyle w:val="P68B1DB1-Normal12"/>
              <w:spacing w:after="0" w:line="240" w:lineRule="auto"/>
              <w:jc w:val="center"/>
              <w:rPr>
                <w:rFonts w:eastAsia="Times New Roman" w:cstheme="minorHAnsi"/>
                <w:noProof/>
              </w:rPr>
            </w:pPr>
            <w:r>
              <w:rPr>
                <w:noProof/>
              </w:rPr>
              <w:t>Atbalsta programma mājokļu (aizdevuma) pieejamībai — Iepirkti, būvēti (augsta energoefektivitāte) vai atjaunoti (ar uzlabotu energoefektivitāti) mājokļi, kas tiek nodrošināti mājsaimniecībām</w:t>
            </w:r>
          </w:p>
        </w:tc>
        <w:tc>
          <w:tcPr>
            <w:tcW w:w="1258" w:type="dxa"/>
            <w:shd w:val="clear" w:color="auto" w:fill="C4EFCE"/>
            <w:vAlign w:val="center"/>
          </w:tcPr>
          <w:p w14:paraId="0319FDDB" w14:textId="77777777" w:rsidR="00776A1F" w:rsidRDefault="00776A1F">
            <w:pPr>
              <w:spacing w:after="0" w:line="240" w:lineRule="auto"/>
              <w:jc w:val="center"/>
              <w:rPr>
                <w:rFonts w:eastAsia="Times New Roman" w:cstheme="minorHAnsi"/>
                <w:noProof/>
                <w:sz w:val="16"/>
              </w:rPr>
            </w:pPr>
          </w:p>
        </w:tc>
        <w:tc>
          <w:tcPr>
            <w:tcW w:w="981" w:type="dxa"/>
            <w:shd w:val="clear" w:color="auto" w:fill="C4EFCE"/>
            <w:vAlign w:val="center"/>
          </w:tcPr>
          <w:p w14:paraId="172C6BDD" w14:textId="4AB1B921" w:rsidR="00776A1F" w:rsidRDefault="00D8574B">
            <w:pPr>
              <w:pStyle w:val="P68B1DB1-Normal12"/>
              <w:spacing w:after="0" w:line="240" w:lineRule="auto"/>
              <w:jc w:val="center"/>
              <w:rPr>
                <w:rFonts w:eastAsia="Times New Roman" w:cstheme="minorHAnsi"/>
                <w:noProof/>
              </w:rPr>
            </w:pPr>
            <w:r>
              <w:rPr>
                <w:noProof/>
              </w:rPr>
              <w:t>Skaits</w:t>
            </w:r>
          </w:p>
        </w:tc>
        <w:tc>
          <w:tcPr>
            <w:tcW w:w="980" w:type="dxa"/>
            <w:shd w:val="clear" w:color="auto" w:fill="C4EFCE"/>
            <w:vAlign w:val="center"/>
          </w:tcPr>
          <w:p w14:paraId="1E32C4B2" w14:textId="13724816" w:rsidR="00776A1F" w:rsidRDefault="00D8574B">
            <w:pPr>
              <w:pStyle w:val="P68B1DB1-Normal12"/>
              <w:spacing w:after="0" w:line="240" w:lineRule="auto"/>
              <w:jc w:val="center"/>
              <w:rPr>
                <w:rFonts w:eastAsia="Times New Roman" w:cstheme="minorHAnsi"/>
                <w:noProof/>
              </w:rPr>
            </w:pPr>
            <w:r>
              <w:rPr>
                <w:noProof/>
              </w:rPr>
              <w:t>22 360</w:t>
            </w:r>
          </w:p>
        </w:tc>
        <w:tc>
          <w:tcPr>
            <w:tcW w:w="701" w:type="dxa"/>
            <w:shd w:val="clear" w:color="auto" w:fill="C4EFCE"/>
            <w:vAlign w:val="center"/>
          </w:tcPr>
          <w:p w14:paraId="1CB0AF1E" w14:textId="43D15A0F" w:rsidR="00776A1F" w:rsidRDefault="00D8574B">
            <w:pPr>
              <w:pStyle w:val="P68B1DB1-Normal12"/>
              <w:spacing w:after="0" w:line="240" w:lineRule="auto"/>
              <w:jc w:val="center"/>
              <w:rPr>
                <w:rFonts w:eastAsia="Times New Roman" w:cstheme="minorHAnsi"/>
                <w:noProof/>
              </w:rPr>
            </w:pPr>
            <w:r>
              <w:rPr>
                <w:noProof/>
              </w:rPr>
              <w:t>26 000</w:t>
            </w:r>
          </w:p>
        </w:tc>
        <w:tc>
          <w:tcPr>
            <w:tcW w:w="561" w:type="dxa"/>
            <w:shd w:val="clear" w:color="auto" w:fill="C4EFCE"/>
            <w:vAlign w:val="center"/>
          </w:tcPr>
          <w:p w14:paraId="413ACC31" w14:textId="3CB9F2B6" w:rsidR="00776A1F" w:rsidRDefault="00D8574B">
            <w:pPr>
              <w:pStyle w:val="P68B1DB1-Normal12"/>
              <w:spacing w:after="0" w:line="240" w:lineRule="auto"/>
              <w:jc w:val="center"/>
              <w:rPr>
                <w:rFonts w:eastAsia="Times New Roman" w:cstheme="minorHAnsi"/>
                <w:noProof/>
              </w:rPr>
            </w:pPr>
            <w:r>
              <w:rPr>
                <w:noProof/>
              </w:rPr>
              <w:t>2. CET.</w:t>
            </w:r>
          </w:p>
        </w:tc>
        <w:tc>
          <w:tcPr>
            <w:tcW w:w="700" w:type="dxa"/>
            <w:shd w:val="clear" w:color="auto" w:fill="C4EFCE"/>
            <w:vAlign w:val="center"/>
          </w:tcPr>
          <w:p w14:paraId="07B859C8" w14:textId="44A10FA7" w:rsidR="00776A1F" w:rsidRDefault="00D8574B">
            <w:pPr>
              <w:pStyle w:val="P68B1DB1-Normal12"/>
              <w:spacing w:after="0" w:line="240" w:lineRule="auto"/>
              <w:jc w:val="center"/>
              <w:rPr>
                <w:rFonts w:eastAsia="Times New Roman" w:cstheme="minorHAnsi"/>
                <w:noProof/>
              </w:rPr>
            </w:pPr>
            <w:r>
              <w:rPr>
                <w:noProof/>
              </w:rPr>
              <w:t>2026</w:t>
            </w:r>
          </w:p>
        </w:tc>
        <w:tc>
          <w:tcPr>
            <w:tcW w:w="4606" w:type="dxa"/>
            <w:shd w:val="clear" w:color="auto" w:fill="C4EFCE"/>
            <w:vAlign w:val="center"/>
          </w:tcPr>
          <w:p w14:paraId="4659094D" w14:textId="2882B7AB" w:rsidR="00776A1F" w:rsidRDefault="00D8574B">
            <w:pPr>
              <w:pStyle w:val="P68B1DB1-Normal12"/>
              <w:spacing w:after="0" w:line="240" w:lineRule="auto"/>
              <w:jc w:val="both"/>
              <w:rPr>
                <w:rFonts w:eastAsia="Times New Roman" w:cstheme="minorHAnsi"/>
                <w:noProof/>
              </w:rPr>
            </w:pPr>
            <w:r>
              <w:rPr>
                <w:noProof/>
              </w:rPr>
              <w:t xml:space="preserve">To mājokļu skaits, kas piegādāti atbilstīgajām mājsaimniecībām saskaņā ar programmu. Jaunu ēku primārās enerģijas pieprasījums ir vismaz par 20 % zemāks nekā prasības, kas noteiktas gandrīz nulles enerģijas ēkām. Rehabilitācijai atsauces vienība uz vienu mājokli ir 73 kvadrātmetri, jaunām ēkām — 95 kvadrātmetri 3640 mājokļiem.  </w:t>
            </w:r>
          </w:p>
        </w:tc>
      </w:tr>
    </w:tbl>
    <w:p w14:paraId="3369A928" w14:textId="77777777" w:rsidR="00776A1F" w:rsidRDefault="00776A1F">
      <w:pPr>
        <w:spacing w:before="40" w:after="0" w:line="259" w:lineRule="auto"/>
        <w:jc w:val="both"/>
        <w:rPr>
          <w:rFonts w:ascii="Times New Roman" w:eastAsiaTheme="minorEastAsia" w:hAnsi="Times New Roman" w:cs="Times New Roman"/>
          <w:noProof/>
          <w:sz w:val="24"/>
        </w:rPr>
        <w:sectPr w:rsidR="00776A1F" w:rsidSect="00E00EDD">
          <w:headerReference w:type="even" r:id="rId66"/>
          <w:headerReference w:type="default" r:id="rId67"/>
          <w:footerReference w:type="even" r:id="rId68"/>
          <w:footerReference w:type="default" r:id="rId69"/>
          <w:headerReference w:type="first" r:id="rId70"/>
          <w:footerReference w:type="first" r:id="rId71"/>
          <w:pgSz w:w="16839" w:h="11907" w:orient="landscape"/>
          <w:pgMar w:top="1134" w:right="1134" w:bottom="1134" w:left="1134" w:header="567" w:footer="567" w:gutter="0"/>
          <w:cols w:space="720"/>
          <w:docGrid w:linePitch="360"/>
        </w:sectPr>
      </w:pPr>
    </w:p>
    <w:p w14:paraId="778B2B3C"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C. 3. SASTĀVDAĻA: Sociālās reaģēšanas pasākumi</w:t>
      </w:r>
    </w:p>
    <w:p w14:paraId="3106967B"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Portugāle jau daudzus gadus saskaras ar būtiskām demogrāfiskām un sociālekonomiskām problēmām, ko pastiprinājusi Covid-19 pandēmija. Šis Portugāles atveseļošanas un noturības plāna komponents risina šādas problēmas: demogrāfiskā novecošana, personu ar invaliditāti un citu apgādājamu personu tiesības, kā arī nabadzības un sociālās atstumtības situācijas nelabvēlīgā situācijā esošu kopienu un grupu vidū. </w:t>
      </w:r>
    </w:p>
    <w:p w14:paraId="64C7C5E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Šajā kontekstā šis komponents risina ar sociālo politiku saistītās strukturālās problēmas un sociālo pakalpojumu seguma trūkumu iedzīvotājiem/reģioniem, kam vajadzīga palīdzība, gan Portugāles kontinentālajā daļā, gan Azoru salu un Madeiras autonomajos reģionos. </w:t>
      </w:r>
    </w:p>
    <w:p w14:paraId="5F00D562" w14:textId="77777777" w:rsidR="00776A1F" w:rsidRDefault="00D8574B">
      <w:pPr>
        <w:pStyle w:val="P68B1DB1-Normal4"/>
        <w:keepNext/>
        <w:spacing w:before="40" w:after="0" w:line="259" w:lineRule="auto"/>
        <w:jc w:val="both"/>
        <w:rPr>
          <w:rFonts w:eastAsiaTheme="minorEastAsia" w:cs="Times New Roman"/>
          <w:noProof/>
        </w:rPr>
      </w:pPr>
      <w:r>
        <w:rPr>
          <w:noProof/>
        </w:rPr>
        <w:t>Komponenta galvenie mērķi ir šādi: sociālās aprūpes iestāžu uzlabošana un labāka teritoriālā pārklājuma nodrošināšana; sociālās reakcijas tīkla stiprināšana un paplašināšana ar inovatīviem risinājumiem un izmēģinājuma projektiem un intervencēm; izstrādāt jaunus uz kopienu balstītus atbalsta pasākumus, palīdzot veicināt neatkarīgu dzīvi, novērst atkarību un izstrādāt atbildes pasākumus neinstitucionalizācijai saskaņā ar ANO Konvenciju par personu ar invaliditāti tiesībām; nodrošināt personām ar invaliditāti piekļuvi iekļaujošai dzīvei un līdzdalībai sabiedrībā un ekonomikā; un v) veicināt nabadzības izskaušanu, izstrādājot visaptverošu valsts stratēģiju, kas vērsta uz visneaizsargātākajām un nelabvēlīgā situācijā esošām kopienām.</w:t>
      </w:r>
    </w:p>
    <w:p w14:paraId="3E070AF6" w14:textId="6383616C" w:rsidR="00776A1F" w:rsidRDefault="00D8574B">
      <w:pPr>
        <w:pStyle w:val="P68B1DB1-Normal4"/>
        <w:keepNext/>
        <w:spacing w:before="40" w:after="0" w:line="259" w:lineRule="auto"/>
        <w:jc w:val="both"/>
        <w:rPr>
          <w:rFonts w:eastAsiaTheme="minorEastAsia" w:cs="Times New Roman"/>
          <w:noProof/>
        </w:rPr>
      </w:pPr>
      <w:r>
        <w:rPr>
          <w:noProof/>
        </w:rPr>
        <w:t>Komponents atbalsta to, ka tiek īstenots konkrētai valstij adresētais ieteikums par veselības aprūpes sistēmas noturības stiprināšanu un vienlīdzīgas piekļuves nodrošināšanu kvalitatīvai veselības aprūpei un ilgtermiņa aprūpei (valsts īpašais ieteikums Nr. 1 2020). Turklāt tas palīdz īstenot konkrētai valstij adresēto ieteikumu par sociālās drošības tīkla efektivitātes un piemērotības uzlabošanu un par iedzīvotāju prasmju līmeņa uzlabošanu (valsts īpašais ieteikums Nr. 2 2019), garantēt pietiekamu sociālo aizsardzību un ienākumu atbalstu un nodrošināt vienlīdzīgu piekļuvi kvalitatīvai izglītībai un apmācībai (valsts īpašais ieteikums Nr. 2 2020) un uzlabot Portugāles sociālās aizsardzības sistēmas efektivitāti, jo īpaši vienkāršojot tās satvaru (Valsts īpašais ieteikums Nr. 1 2022. un 2023. gads). Komponents arī netieši atbalsta konkrētai valstij adresētā ieteikuma īstenošanu par investīciju koncentrēšanu uz zaļo un digitālo pārkārtošanos (valsts īpašais ieteikums Nr. 3 2020).</w:t>
      </w:r>
    </w:p>
    <w:p w14:paraId="2F3C4A99"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Paredzams, ka šis komponents veicinās gan zaļo, gan digitālo pārkārtošanos. Projekti, kas saistīti ar sociālo reaģēšanas iekārtu būvniecību, paplašināšanu un renovāciju, ir vērsti uz energoefektivitāti, atjaunojamās enerģijas izmantošanu pašpatēriņam un enerģijas un degvielas izmaksu samazināšanu. Vides aspektus iekļauj, veicinot jaunu būvniecību ar augstiem energoefektivitātes standartiem. Turklāt iesaistītās struktūras ir aprīkotas ar bezemisiju vieglajiem transportlīdzekļiem. Visbeidzot, šis komponents ietver pasākumus, kas veicina digitālo rīku izmantošanu, jo īpaši sociālajos dienestos, kas sniedz atbalstu vecāka gadagājuma cilvēkiem, un valdību, izveidojot IKT rīkus un e-pakalpojumus, kas paredzēti cilvēkiem ar invaliditāti. </w:t>
      </w:r>
    </w:p>
    <w:p w14:paraId="37069125" w14:textId="77777777" w:rsidR="00776A1F" w:rsidRDefault="00D8574B">
      <w:pPr>
        <w:pStyle w:val="P68B1DB1-Normal4"/>
        <w:keepNext/>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11FB0FD0"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679A4A18"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C.1. Neatmaksājama finansiālā atbalsta reformu un investīciju apraksts</w:t>
      </w:r>
    </w:p>
    <w:p w14:paraId="25196904"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 xml:space="preserve">Reforma RE-r05: Infrastruktūras un sociālo reaģēšanas pasākumu piedāvājuma reforma </w:t>
      </w:r>
    </w:p>
    <w:p w14:paraId="5ADE8050" w14:textId="77777777" w:rsidR="00776A1F" w:rsidRDefault="00D8574B">
      <w:pPr>
        <w:pStyle w:val="P68B1DB1-Normal4"/>
        <w:keepNext/>
        <w:spacing w:before="40" w:after="0" w:line="259" w:lineRule="auto"/>
        <w:jc w:val="both"/>
        <w:rPr>
          <w:rFonts w:eastAsia="Times New Roman" w:cs="Times New Roman"/>
          <w:noProof/>
        </w:rPr>
      </w:pPr>
      <w:r>
        <w:rPr>
          <w:noProof/>
        </w:rPr>
        <w:t>Šā pasākuma mērķis ir paplašināt, uzlabot un atjaunot sociālo pakalpojumu tīklu un iespējas, ko nodrošina valsts un privātās sociālās iestādes. Pasākums ir vērsts uz īpaši neaizsargātām grupām ekonomiskā, sociālā un veselības jomā, piemēram, nabadzībā nonākušiem cilvēkiem un ģimenēm ar zemiem ienākumiem, vecāka gadagājuma cilvēkiem un cilvēkiem, kas ir apgādājamā situācijā, personām ar invaliditāti, bērniem un jauniešiem. Turklāt integrētie veselības un sociālā atbalsta pasākumi, kas paredzēti šajā pasākumā, veicinās apgādājamo autonomiju, veicot viņu rehabilitāciju un sociālo reintegrāciju saskaņā ar Apvienoto Nāciju Organizācijas Konvenciju par personu ar invaliditāti tiesībām</w:t>
      </w:r>
      <w:r>
        <w:rPr>
          <w:noProof/>
        </w:rPr>
        <w:footnoteReference w:id="2"/>
      </w:r>
      <w:r>
        <w:rPr>
          <w:noProof/>
        </w:rPr>
        <w:t xml:space="preserve"> un Eiropas Personu ar invaliditāti tiesību stratēģiju 2021.–2030. gadam</w:t>
      </w:r>
      <w:r>
        <w:rPr>
          <w:noProof/>
        </w:rPr>
        <w:footnoteReference w:id="3"/>
      </w:r>
      <w:r>
        <w:rPr>
          <w:noProof/>
        </w:rPr>
        <w:t xml:space="preserve"> un Zaļo grāmatu par novecošanu — paaudžu solidaritātes un atbildības veicināšana</w:t>
      </w:r>
      <w:r>
        <w:rPr>
          <w:noProof/>
        </w:rPr>
        <w:footnoteReference w:id="4"/>
      </w:r>
      <w:r>
        <w:rPr>
          <w:noProof/>
        </w:rPr>
        <w:t xml:space="preserve">. </w:t>
      </w:r>
    </w:p>
    <w:p w14:paraId="036C6475" w14:textId="77777777" w:rsidR="00776A1F" w:rsidRDefault="00D8574B">
      <w:pPr>
        <w:pStyle w:val="P68B1DB1-Normal4"/>
        <w:keepNext/>
        <w:spacing w:before="40" w:after="0" w:line="259" w:lineRule="auto"/>
        <w:jc w:val="both"/>
        <w:rPr>
          <w:rFonts w:eastAsia="Times New Roman" w:cs="Times New Roman"/>
          <w:noProof/>
        </w:rPr>
      </w:pPr>
      <w:r>
        <w:rPr>
          <w:noProof/>
        </w:rPr>
        <w:t xml:space="preserve">Šī reforma ietver jaunas paaudzes aprīkojuma un sociālās reaģēšanas programmas uzsākšanu, stājoties spēkā sociālā aprīkojuma uzstādīšanas režīma vienkāršošanai. Programmā galvenā uzmanība ir pievērsta šādiem pasākumiem: </w:t>
      </w:r>
    </w:p>
    <w:p w14:paraId="70568603"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Uzlabot sociālo aprūpi un individualizētos pakalpojumus vecāka gadagājuma cilvēku aprūpes iestādēs (ERPI) pēc vajadzību izvērtēšanas;</w:t>
      </w:r>
    </w:p>
    <w:p w14:paraId="4260130E"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Veicināt ERPI licencēšanu un/reglamentēšanu ārpus oficiālās sistēmas;</w:t>
      </w:r>
    </w:p>
    <w:p w14:paraId="7AC7E490"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 xml:space="preserve">Pārskatīt tiesisko regulējumu attiecībā uz sociālo pakalpojumu licencēšanu, </w:t>
      </w:r>
    </w:p>
    <w:p w14:paraId="61985867"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Veicināt inovatīvus sociālos risinājumus, piemēram, maza mēroga sadarbīgus mājokļus;</w:t>
      </w:r>
    </w:p>
    <w:p w14:paraId="2C845D6E"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Inovatīva mājas atbalsta modeļa izstrāde;</w:t>
      </w:r>
    </w:p>
    <w:p w14:paraId="6D012205"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Pastiprināt sociālo atbalstu cilvēkiem, kas atrodas sociālās izolētības situācijā, izveidojot daudzdisciplīnu komandas un mehānismu sociāli neaizsargātu situāciju kartēšanai un uzraudzībai (Radaras sociālie projekti);</w:t>
      </w:r>
    </w:p>
    <w:p w14:paraId="5F830A95"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Palielināt darbaspēka līmeni un sociālo atbildes pasākumu pakalpojumu sniegšanas kvalitāti, galvenokārt teritorijās ar zemu aptvēruma līmeni;</w:t>
      </w:r>
    </w:p>
    <w:p w14:paraId="4139DE34" w14:textId="77777777" w:rsidR="00776A1F" w:rsidRDefault="00D8574B">
      <w:pPr>
        <w:pStyle w:val="P68B1DB1-Normal4"/>
        <w:keepNext/>
        <w:numPr>
          <w:ilvl w:val="0"/>
          <w:numId w:val="62"/>
        </w:numPr>
        <w:spacing w:before="40" w:after="160" w:line="259" w:lineRule="auto"/>
        <w:contextualSpacing/>
        <w:jc w:val="both"/>
        <w:rPr>
          <w:rFonts w:eastAsia="Times New Roman" w:cs="Times New Roman"/>
          <w:noProof/>
        </w:rPr>
      </w:pPr>
      <w:r>
        <w:rPr>
          <w:noProof/>
        </w:rPr>
        <w:t>Stiprināt sociālos pakalpojumus un atbalstu, kas paredzēts personām ar invaliditāti vai atkarību, un veicināt viņu autonomiju un neatkarīgu dzīvi.</w:t>
      </w:r>
    </w:p>
    <w:p w14:paraId="640E5631"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Ieguldījums RE-C03-i01 — Jauna iekārtu paaudze un sociālie risinājumi veicina reformas īstenošanu. </w:t>
      </w:r>
    </w:p>
    <w:p w14:paraId="150D85D2" w14:textId="77777777" w:rsidR="00776A1F" w:rsidRDefault="00D8574B">
      <w:pPr>
        <w:pStyle w:val="P68B1DB1-Normal4"/>
        <w:keepNext/>
        <w:spacing w:before="40" w:after="0" w:line="259" w:lineRule="auto"/>
        <w:jc w:val="both"/>
        <w:rPr>
          <w:rFonts w:eastAsia="Times New Roman" w:cs="Times New Roman"/>
          <w:noProof/>
        </w:rPr>
      </w:pPr>
      <w:r>
        <w:rPr>
          <w:noProof/>
        </w:rPr>
        <w:t>Atskaites punktu, kas saistīts ar reformas īstenošanu, pabeidz līdz 2021. gada 31. decembrim.</w:t>
      </w:r>
    </w:p>
    <w:p w14:paraId="42D391F8"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RE-r06: Valsts stratēģija personu ar invaliditāti iekļaušanai 2021.–2025. gadam</w:t>
      </w:r>
    </w:p>
    <w:p w14:paraId="4993B847" w14:textId="77777777" w:rsidR="00776A1F" w:rsidRDefault="00D8574B">
      <w:pPr>
        <w:pStyle w:val="P68B1DB1-Normal4"/>
        <w:keepNext/>
        <w:spacing w:before="40" w:after="0" w:line="259" w:lineRule="auto"/>
        <w:jc w:val="both"/>
        <w:rPr>
          <w:rFonts w:eastAsia="Times New Roman" w:cs="Times New Roman"/>
          <w:noProof/>
        </w:rPr>
      </w:pPr>
      <w:r>
        <w:rPr>
          <w:noProof/>
        </w:rPr>
        <w:t>Šā pasākuma mērķis ir atvieglot un padziļināt personu ar invaliditāti iekļaušanu visās dzīves jomās, veicināt viņu autonomiju, neatkarību un pašnoteikšanos, kā arī nodrošināt vienlīdzīgas iespējas visiem iedzīvotājiem neatkarīgi no viņu spējām.</w:t>
      </w:r>
    </w:p>
    <w:p w14:paraId="431145D2" w14:textId="77777777" w:rsidR="00776A1F" w:rsidRDefault="00D8574B">
      <w:pPr>
        <w:pStyle w:val="P68B1DB1-Normal4"/>
        <w:keepNext/>
        <w:spacing w:before="40" w:after="0" w:line="259" w:lineRule="auto"/>
        <w:jc w:val="both"/>
        <w:rPr>
          <w:rFonts w:eastAsia="Times New Roman" w:cs="Times New Roman"/>
          <w:noProof/>
        </w:rPr>
      </w:pPr>
      <w:r>
        <w:rPr>
          <w:noProof/>
        </w:rPr>
        <w:t>Šī reforma ietver valsts stratēģijas personu ar invaliditāti iekļaušanai 2021.–2025. gadam pieņemšanu. Stratēģijā ir atspoguļotas saistības, kas noteiktas Apvienoto Nāciju Organizācijas Konvencijā par personu ar invaliditāti tiesībām,</w:t>
      </w:r>
      <w:r>
        <w:rPr>
          <w:noProof/>
        </w:rPr>
        <w:footnoteReference w:id="5"/>
      </w:r>
      <w:r>
        <w:rPr>
          <w:noProof/>
        </w:rPr>
        <w:t xml:space="preserve"> un tā ļauj uzsākt pasākumu kopumu, piemēram:</w:t>
      </w:r>
    </w:p>
    <w:p w14:paraId="747E1C23"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 xml:space="preserve">Vajadzības gadījumā pārformulēt spēkā esošo tiesisko regulējumu; </w:t>
      </w:r>
    </w:p>
    <w:p w14:paraId="250A5CFC"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Invaliditātes novērtēšanas un sertifikācijas sistēmas pārformulēšana;</w:t>
      </w:r>
    </w:p>
    <w:p w14:paraId="199DE32D"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Visaptveroša personu ar invaliditāti diagnoze, izstrādājot datu vākšanas un uzraudzības rādītāju sistēmas, lai atbalstītu lēmumu pieņemšanu;</w:t>
      </w:r>
    </w:p>
    <w:p w14:paraId="5920EE97"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Iejaukšanās sabiedriskās vietās, lai atvieglotu personu ar invaliditāti piekļuvi;</w:t>
      </w:r>
    </w:p>
    <w:p w14:paraId="5F6E0E5D"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Personu ar invaliditāti apmācības, nodarbinātības un kvalifikācijas sistēmu pielāgošana;</w:t>
      </w:r>
    </w:p>
    <w:p w14:paraId="1C29FB20"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Inovatīvu sociālo pakalpojumu un kopienā balstītu pieeju izstrāde;</w:t>
      </w:r>
    </w:p>
    <w:p w14:paraId="1193BF56"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Personu ar invaliditāti līdzdalība sporta, kultūras un brīvā laika pavadīšanas pasākumos.</w:t>
      </w:r>
    </w:p>
    <w:p w14:paraId="6C200F5F" w14:textId="77777777" w:rsidR="00776A1F" w:rsidRDefault="00D8574B">
      <w:pPr>
        <w:pStyle w:val="P68B1DB1-Normal4"/>
        <w:keepNext/>
        <w:numPr>
          <w:ilvl w:val="0"/>
          <w:numId w:val="63"/>
        </w:numPr>
        <w:spacing w:before="40" w:after="160" w:line="259" w:lineRule="auto"/>
        <w:contextualSpacing/>
        <w:jc w:val="both"/>
        <w:rPr>
          <w:rFonts w:eastAsia="Times New Roman" w:cs="Times New Roman"/>
          <w:noProof/>
        </w:rPr>
      </w:pPr>
      <w:r>
        <w:rPr>
          <w:noProof/>
        </w:rPr>
        <w:t>Atbalsta modeļa neatkarīgai dzīvei paplašināšanu, kas sniedz personīgu palīdzību personām ar invaliditāti;</w:t>
      </w:r>
    </w:p>
    <w:p w14:paraId="24FA9424" w14:textId="77777777" w:rsidR="00776A1F" w:rsidRDefault="00D8574B">
      <w:pPr>
        <w:pStyle w:val="P68B1DB1-Normal4"/>
        <w:keepNext/>
        <w:spacing w:before="40" w:after="0" w:line="259" w:lineRule="auto"/>
        <w:jc w:val="both"/>
        <w:rPr>
          <w:rFonts w:eastAsia="Times New Roman" w:cs="Times New Roman"/>
          <w:noProof/>
        </w:rPr>
      </w:pPr>
      <w:r>
        <w:rPr>
          <w:noProof/>
        </w:rPr>
        <w:t xml:space="preserve">Ieguldījumi RE-C03-i02: Pieejamība 360° un RE-C03-i05: Platforma un piekļuve, kā arī investīcijas RE-C01-i02: Valsts integrētas nepārtrauktas aprūpes tīkls un valsts paliatīvās aprūpes tīkls sniedz ieguldījumu reformas īstenošanā. </w:t>
      </w:r>
    </w:p>
    <w:p w14:paraId="3C1200D2" w14:textId="77777777" w:rsidR="00776A1F" w:rsidRDefault="00D8574B">
      <w:pPr>
        <w:pStyle w:val="P68B1DB1-Normal4"/>
        <w:keepNext/>
        <w:spacing w:before="40" w:after="0" w:line="259" w:lineRule="auto"/>
        <w:jc w:val="both"/>
        <w:rPr>
          <w:rFonts w:eastAsia="Times New Roman" w:cs="Times New Roman"/>
          <w:noProof/>
        </w:rPr>
      </w:pPr>
      <w:r>
        <w:rPr>
          <w:noProof/>
        </w:rPr>
        <w:t>Atskaites punktu, kas saistīts ar reformas īstenošanu, pabeidz līdz 2021. gada 31. decembrim.</w:t>
      </w:r>
    </w:p>
    <w:p w14:paraId="19B646AB"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RE-r07: Slēgt līgumus par integrētām atbalsta programmām nelabvēlīgā situācijā esošām kopienām aglomerācijās</w:t>
      </w:r>
    </w:p>
    <w:p w14:paraId="00C1C173"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apkarot nabadzību un sociālo atstumtību visnelabvēlīgākajā situācijā esošajās pašvaldībās Lisabonas un Portu aglomerācijās. </w:t>
      </w:r>
    </w:p>
    <w:p w14:paraId="24271C84"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 reforma sastāv no integrētu izmēģinājuma darbību kopuma, kas jāizstrādā pēc tam, kad būs izvērtētas un apzinātas konkrētas kopienas vajadzības. Pēc šā diagnosticēšanas posma integrētos intervences pasākumus izstrādā, un tie ir vērsti uz divām jomām: </w:t>
      </w:r>
    </w:p>
    <w:p w14:paraId="0B7DAF3A" w14:textId="77777777"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Intervences publiskajā telpā un sociālajā infrastruktūrā, piemēram, bērnudārzos un pamatskolās, veselības aprūpes iestādēs un sociālo un kultūras pasākumu iestādēs, darbsemināros un/vai mācību kursos; un</w:t>
      </w:r>
    </w:p>
    <w:p w14:paraId="6FB7F6AF" w14:textId="423D580E"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Nemateriāla rakstura intervences, lai veicinātu sociālo kohēziju, piemēram, kopienu aktīva iesaistīšana to izstrādē un īstenošanā, mazo vietējo uzņēmumu uzņēmējdarbības veicināšana, tādu projektu izstrāde, kuru mērķis ir cīnīties pret nesekmību un mācību pārtraukšanu, profesionālās apmācības piedāvāšana un sporta popularizēšana. </w:t>
      </w:r>
    </w:p>
    <w:p w14:paraId="7F7F7904"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 reforma tiks atbalstīta un strukturēta saskaņā ar Portugāles pirmo valsts stratēģiju nabadzības apkarošanai (ENCP) un tematiskajām intervencēm, kas paredzētas konkrētām tajā norādītajām grupām. </w:t>
      </w:r>
    </w:p>
    <w:p w14:paraId="5852842A" w14:textId="77777777" w:rsidR="00776A1F" w:rsidRDefault="00D8574B">
      <w:pPr>
        <w:pStyle w:val="P68B1DB1-Normal4"/>
        <w:keepNext/>
        <w:spacing w:before="40" w:after="0" w:line="259" w:lineRule="auto"/>
        <w:jc w:val="both"/>
        <w:rPr>
          <w:rFonts w:eastAsiaTheme="minorEastAsia" w:cs="Times New Roman"/>
          <w:noProof/>
        </w:rPr>
      </w:pPr>
      <w:r>
        <w:rPr>
          <w:noProof/>
        </w:rPr>
        <w:t>Reformu īsteno, izmantojot ieguldījumu RE-C03-i06 — Integrētas darbības nelabvēlīgā situācijā esošās kopienās Lisabonas un Portu aglomerācijās.</w:t>
      </w:r>
    </w:p>
    <w:p w14:paraId="70A526E2" w14:textId="77777777" w:rsidR="00776A1F" w:rsidRDefault="00D8574B">
      <w:pPr>
        <w:pStyle w:val="P68B1DB1-Normal4"/>
        <w:keepNext/>
        <w:spacing w:before="40" w:after="0" w:line="259" w:lineRule="auto"/>
        <w:jc w:val="both"/>
        <w:rPr>
          <w:rFonts w:eastAsiaTheme="minorEastAsia" w:cs="Times New Roman"/>
          <w:noProof/>
        </w:rPr>
      </w:pPr>
      <w:r>
        <w:rPr>
          <w:noProof/>
        </w:rPr>
        <w:t>Atskaites punktu, kas saistīts ar reformas īstenošanu, pabeidz līdz 2021. gada 31. decembrim.</w:t>
      </w:r>
    </w:p>
    <w:p w14:paraId="0AD18DF6"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RE-r08: Valsts stratēģija cīņai pret nabadzību</w:t>
      </w:r>
    </w:p>
    <w:p w14:paraId="243FD289" w14:textId="77777777" w:rsidR="00776A1F" w:rsidRDefault="00D8574B">
      <w:pPr>
        <w:pStyle w:val="P68B1DB1-Normal4"/>
        <w:keepNext/>
        <w:spacing w:before="40" w:after="0" w:line="259" w:lineRule="auto"/>
        <w:jc w:val="both"/>
        <w:rPr>
          <w:rFonts w:eastAsia="Times New Roman" w:cs="Times New Roman"/>
          <w:noProof/>
        </w:rPr>
      </w:pPr>
      <w:r>
        <w:rPr>
          <w:noProof/>
        </w:rPr>
        <w:t>Šā pasākuma mērķis ir apkarot nabadzību, izstrādājot daudzdimensionālu, integrētu, vidēja termiņa un ilgtermiņa pieeju.</w:t>
      </w:r>
    </w:p>
    <w:p w14:paraId="3F7CA624" w14:textId="77777777" w:rsidR="00776A1F" w:rsidRDefault="00D8574B">
      <w:pPr>
        <w:pStyle w:val="P68B1DB1-Normal4"/>
        <w:keepNext/>
        <w:spacing w:before="40" w:after="0" w:line="259" w:lineRule="auto"/>
        <w:jc w:val="both"/>
        <w:rPr>
          <w:rFonts w:eastAsia="Times New Roman" w:cs="Times New Roman"/>
          <w:noProof/>
        </w:rPr>
      </w:pPr>
      <w:r>
        <w:rPr>
          <w:noProof/>
        </w:rPr>
        <w:t>Reforma ietver nabadzības apkarošanas valsts stratēģijas (ENCP) pieņemšanu. Stratēģija nodrošina satvaru tematiskām intervencēm, kas vērstas uz konkrētām grupām, sākot ar bērniem un beidzot ar vecāka gadagājuma cilvēkiem, tostarp visneaizsargātākajām grupām. Tajā izklāsta nosacījumus integrētas politikas izstrādei un īstenošanai, galveno uzmanību pievēršot sociālās atstumtības un nabadzības īpatnībām vietējā līmenī. Turklāt tā arī pilnvaro izveidot vienotu uzraudzības sistēmu attiecībā uz rādītājiem, kas saistīti ar nabadzību.</w:t>
      </w:r>
    </w:p>
    <w:p w14:paraId="2BFE7AC9" w14:textId="77777777" w:rsidR="00776A1F" w:rsidRDefault="00D8574B">
      <w:pPr>
        <w:pStyle w:val="P68B1DB1-Normal4"/>
        <w:keepNext/>
        <w:spacing w:before="40" w:after="0" w:line="259" w:lineRule="auto"/>
        <w:jc w:val="both"/>
        <w:rPr>
          <w:rFonts w:eastAsia="Times New Roman" w:cs="Times New Roman"/>
          <w:noProof/>
        </w:rPr>
      </w:pPr>
      <w:r>
        <w:rPr>
          <w:noProof/>
        </w:rPr>
        <w:t>InvestmentRE-C03-i06 — Integrētas darbības nelabvēlīgā situācijā esošās kopienās Lisabonas un Portu aglomerācijās veicina reformas īstenošanu.</w:t>
      </w:r>
    </w:p>
    <w:p w14:paraId="5CB94457" w14:textId="77777777" w:rsidR="00776A1F" w:rsidRDefault="00D8574B">
      <w:pPr>
        <w:pStyle w:val="P68B1DB1-Normal4"/>
        <w:keepNext/>
        <w:spacing w:before="40" w:after="0" w:line="259" w:lineRule="auto"/>
        <w:jc w:val="both"/>
        <w:rPr>
          <w:rFonts w:eastAsiaTheme="minorEastAsia" w:cs="Times New Roman"/>
          <w:noProof/>
          <w:highlight w:val="yellow"/>
        </w:rPr>
      </w:pPr>
      <w:r>
        <w:rPr>
          <w:noProof/>
        </w:rPr>
        <w:t>Atskaites punktu, kas saistīts ar reformas īstenošanu, pabeidz līdz 2021. gada 30. septembrim.</w:t>
      </w:r>
    </w:p>
    <w:p w14:paraId="4A7F96D8"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RE-C03-i01: Jaunas paaudzes aprīkojums un sociālie risinājumi</w:t>
      </w:r>
    </w:p>
    <w:p w14:paraId="1BCAC31F" w14:textId="77777777" w:rsidR="00776A1F" w:rsidRDefault="00D8574B">
      <w:pPr>
        <w:pStyle w:val="P68B1DB1-Normal4"/>
        <w:keepNext/>
        <w:spacing w:before="40" w:after="0" w:line="259" w:lineRule="auto"/>
        <w:jc w:val="both"/>
        <w:rPr>
          <w:rFonts w:eastAsiaTheme="minorEastAsia" w:cs="Times New Roman"/>
          <w:noProof/>
        </w:rPr>
      </w:pPr>
      <w:r>
        <w:rPr>
          <w:noProof/>
        </w:rPr>
        <w:t>Šā pasākuma mērķis ir uzlabot un paplašināt sociālās aprūpes pakalpojumu tīklu, lai izstrādātu efektīvākas pakalpojumu sniegšanas metodes, iegūtu plašāku teritoriālo pārklājumu valstī un uzlabotu šo struktūru speciālistu darba apstākļus un lietotājiem sniegtās aprūpes kvalitāti.</w:t>
      </w:r>
    </w:p>
    <w:p w14:paraId="4CAC5042" w14:textId="77777777" w:rsidR="00776A1F" w:rsidRDefault="00D8574B">
      <w:pPr>
        <w:pStyle w:val="P68B1DB1-Normal4"/>
        <w:keepNext/>
        <w:spacing w:before="40" w:after="0" w:line="259" w:lineRule="auto"/>
        <w:jc w:val="both"/>
        <w:rPr>
          <w:rFonts w:eastAsiaTheme="minorEastAsia" w:cs="Times New Roman"/>
          <w:noProof/>
        </w:rPr>
      </w:pPr>
      <w:r>
        <w:rPr>
          <w:noProof/>
        </w:rPr>
        <w:t>Šo ieguldījumu veido:</w:t>
      </w:r>
    </w:p>
    <w:p w14:paraId="098FBF35" w14:textId="77777777"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esošo sociālo dienestu telpu renovācija un paplašināšana un jaunu, piemēram, bērnu silīšu, veco ļaužu aprūpes iestāžu (ERPI) un iekļaušanas veicināšanas centru (CACI) būvniecība;</w:t>
      </w:r>
    </w:p>
    <w:p w14:paraId="6AA715D0" w14:textId="4667F989"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autonomijas un iekļaušanas un mājokļu atbalsta pakalpojumu dzīvesvietas sociālās reaģēšanas tīklu paplašināšana, palielinot to lietotāju skaitu, kurus varētu aptvert; </w:t>
      </w:r>
    </w:p>
    <w:p w14:paraId="26FCCA4B" w14:textId="77777777"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sociālās reaģēšanas tīkla paplašināšana ar jaunām tipoloģijām, piemēram, kopmājokli;</w:t>
      </w:r>
    </w:p>
    <w:p w14:paraId="4AE97124" w14:textId="77777777"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tehniskā un digitālā aprīkojuma iegādi, tostarp elektrisko transportlīdzekļu iegādi; un </w:t>
      </w:r>
    </w:p>
    <w:p w14:paraId="78A6605F" w14:textId="1354886C" w:rsidR="00776A1F" w:rsidRDefault="00D8574B">
      <w:pPr>
        <w:pStyle w:val="P68B1DB1-Normal4"/>
        <w:keepNext/>
        <w:numPr>
          <w:ilvl w:val="0"/>
          <w:numId w:val="52"/>
        </w:numPr>
        <w:spacing w:before="40" w:after="160" w:line="259" w:lineRule="auto"/>
        <w:contextualSpacing/>
        <w:jc w:val="both"/>
        <w:rPr>
          <w:rFonts w:eastAsiaTheme="minorEastAsia" w:cs="Times New Roman"/>
          <w:noProof/>
        </w:rPr>
      </w:pPr>
      <w:r>
        <w:rPr>
          <w:noProof/>
        </w:rPr>
        <w:t>izmēģinājuma projekta “Radar Social” uzsākšana, kura mērķis ir valsts līmenī izmēģināt gandrīz proaktīvu un inovatīvu integrēta sociālā atbalsta modeli. Šis modelis jau ir izmēģināts Lisabonas pašvaldībā, aptverot tikai vienu mērķgrupu (vecāka gadagājuma cilvēku), un tagad tas ir paredzēts, lai aptvertu visu kontinentālo daļu ar plašāku darbības jomu attiecībā uz mērķgrupu (jebkura persona, kas pakļauta sociālās atstumtības riskam un kam ir nepietiekams sociālais un/vai ģimenes atbalsts). Projekts ietver vajadzību apzināšanu un kartēšanu un citas darbības, piemēram, pilsoniskās līdzdalības veicināšanu, digitālo un IT rīku izmantošanas veicināšanu, lai piekļūtu kopienas pamatpakalpojumiem, un sporta popularizēšanu. Šajā nolūkā Portugāles kontinentālās pašvaldībās izveido 278 sociālās intervences grupas. Vienības ir atbildīgas par to, lai identificētu vecāka gadagājuma cilvēkus un citas neaizsargātas personas, kurām draud sociālā atstumtība, un sniegtu atbalstu, pamatojoties uz viņu individuālajām vajadzībām.</w:t>
      </w:r>
    </w:p>
    <w:p w14:paraId="21CC04BD"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2026. gada 31. martam.</w:t>
      </w:r>
    </w:p>
    <w:p w14:paraId="2ADE939D"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RE-C03-i02: Pieejamība 360°</w:t>
      </w:r>
    </w:p>
    <w:p w14:paraId="37D1B66B"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uzlabot pieejamības apstākļus personām ar invaliditāti sabiedriskās vietās, sabiedriskās ēkās un mājokļos visā teritorijā. </w:t>
      </w:r>
    </w:p>
    <w:p w14:paraId="034FEC2F" w14:textId="77777777" w:rsidR="00776A1F" w:rsidRDefault="00D8574B">
      <w:pPr>
        <w:pStyle w:val="P68B1DB1-Normal4"/>
        <w:keepNext/>
        <w:spacing w:before="40" w:after="0" w:line="259" w:lineRule="auto"/>
        <w:jc w:val="both"/>
        <w:rPr>
          <w:rFonts w:eastAsiaTheme="minorEastAsia" w:cs="Times New Roman"/>
          <w:noProof/>
        </w:rPr>
      </w:pPr>
      <w:r>
        <w:rPr>
          <w:noProof/>
        </w:rPr>
        <w:t>Šis ieguldījums pilnībā atbilst Eiropas Personu ar invaliditāti tiesību stratēģijai 2021.–2030. gadam,</w:t>
      </w:r>
      <w:r>
        <w:rPr>
          <w:noProof/>
        </w:rPr>
        <w:footnoteReference w:id="6"/>
      </w:r>
      <w:r>
        <w:rPr>
          <w:noProof/>
        </w:rPr>
        <w:t xml:space="preserve"> un to veido trīs virzieni:</w:t>
      </w:r>
    </w:p>
    <w:p w14:paraId="0E9823BC" w14:textId="1DDCDE8E"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publiskās palīdzības programma 2021.–2025. gadam (PIVP), kas ietver darbības un būvdarbus vismaz 200 000 m² publiskās telpas, piemēram, sānu kājām un kvadrātiem; </w:t>
      </w:r>
    </w:p>
    <w:p w14:paraId="7D9FAE99"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intervences programma publiskajās ēkās 2021.–2025. gadam (PiEP), kas ietver ekspluatāciju un būvdarbus vismaz 1500 sabiedrisko pakalpojumu ēkās; un</w:t>
      </w:r>
    </w:p>
    <w:p w14:paraId="71FA1279"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mājokļu intervences programma 2021.–2025. gadam (PIH), kas ietver renovāciju un būvdarbus vismaz 1000 cilvēku ar invaliditāti esošajos mājokļos. </w:t>
      </w:r>
    </w:p>
    <w:p w14:paraId="21A3A591"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1E137E06"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RE-C03-i03-RAM: Sociālās reakcijas stiprināšana Madeiras autonomajā reģionā (ARM)</w:t>
      </w:r>
    </w:p>
    <w:p w14:paraId="6CD6778E" w14:textId="77777777" w:rsidR="00776A1F" w:rsidRDefault="00D8574B">
      <w:pPr>
        <w:pStyle w:val="P68B1DB1-Normal4"/>
        <w:keepNext/>
        <w:spacing w:before="40" w:after="0" w:line="259" w:lineRule="auto"/>
        <w:jc w:val="both"/>
        <w:rPr>
          <w:rFonts w:eastAsiaTheme="minorEastAsia" w:cs="Times New Roman"/>
          <w:noProof/>
        </w:rPr>
      </w:pPr>
      <w:r>
        <w:rPr>
          <w:noProof/>
        </w:rPr>
        <w:t>Šā pasākuma mērķis ir stiprināt sociālo pakalpojumu tīklu Madeiras autonomajā reģionā.</w:t>
      </w:r>
    </w:p>
    <w:p w14:paraId="7AB5787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ieguldījums ietver intervences pasākumus vecāka gadagājuma cilvēku aprūpes iestādēs (ERPI) un bezpajumtniekiem paredzētu sociālā atbalsta struktūru paplašināšanu. Šie intervences pasākumi ietver jaunu objektu būvniecību un esošo iekārtu renovāciju un modernizāciju, kā arī nepieciešamā tehniskā, digitālā un IT aprīkojuma iegādi, tostarp elektrotransportlīdzekļu iegādi, lai veicinātu un uzlabotu sociālo pakalpojumu speciālistu pieejamību attālos apgabalos. </w:t>
      </w:r>
    </w:p>
    <w:p w14:paraId="1EDAA2FB" w14:textId="263611C5" w:rsidR="00776A1F" w:rsidRDefault="00D8574B">
      <w:pPr>
        <w:pStyle w:val="P68B1DB1-Normal4"/>
        <w:keepNext/>
        <w:spacing w:before="40" w:after="0" w:line="259" w:lineRule="auto"/>
        <w:jc w:val="both"/>
        <w:rPr>
          <w:rFonts w:eastAsiaTheme="minorEastAsia" w:cs="Times New Roman"/>
          <w:noProof/>
        </w:rPr>
      </w:pPr>
      <w:r>
        <w:rPr>
          <w:noProof/>
        </w:rPr>
        <w:t xml:space="preserve">Intervences ietver vecāka gadagājuma cilvēku dzīvojamo un nedzīvojamo struktūru rehabilitāciju un paplašināšanu, kas paredzētas 65 gadus veciem un vecākiem cilvēkiem, kuri nevar palikt savā dzīvesvietā. Pienācīgi pamatotos izņēmuma gadījumos tās var izmitināt arī pieaugušos, kas jaunāki par 65 gadiem. </w:t>
      </w:r>
    </w:p>
    <w:p w14:paraId="44AB2A82" w14:textId="4A6664DB" w:rsidR="00776A1F" w:rsidRDefault="00D8574B">
      <w:pPr>
        <w:pStyle w:val="P68B1DB1-Normal4"/>
        <w:keepNext/>
        <w:spacing w:before="40" w:after="0" w:line="259" w:lineRule="auto"/>
        <w:jc w:val="both"/>
        <w:rPr>
          <w:rFonts w:eastAsiaTheme="minorEastAsia" w:cs="Times New Roman"/>
          <w:noProof/>
        </w:rPr>
      </w:pPr>
      <w:r>
        <w:rPr>
          <w:noProof/>
        </w:rPr>
        <w:t xml:space="preserve">Intervences pasākumi, kas vērsti uz bezpajumtniekiem, ietver nakts uzņemšanas izveidi, lai risinātu ārkārtas situācijas un nodrošinātu izmitināšanu, vannas istabu un veļas mazgāšanas izveidi personīgās higiēnas veicināšanai, telpu atjaunošanu maltīšu nodrošināšanai un darbnīcas tipa pasākumus, lai pilnveidotu saņēmēju sociālās prasmes un kompetences. </w:t>
      </w:r>
    </w:p>
    <w:p w14:paraId="758AA752" w14:textId="5537FE59"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2025. gada 30. decembrim.</w:t>
      </w:r>
    </w:p>
    <w:p w14:paraId="6341FCC8"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RE-C03-i04-RAA: Reģionālās stratēģijas cīņai pret nabadzību un sociālo atstumtību īstenošana — sociālā atbalsta tīkli (ARA)</w:t>
      </w:r>
    </w:p>
    <w:p w14:paraId="758B7891"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īstenot prioritātes, kas noteiktas Azoru salu autonomā reģiona reģionālajā stratēģijā cīņai pret nabadzību un sociālo atstumtību 2018.–2028. gadam (ERCPES). Stratēģijā ir noteiktas četras stratēģiskās prioritātes, kas viena otru papildina: </w:t>
      </w:r>
    </w:p>
    <w:p w14:paraId="029D52CF"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P1 — pilnīga un iekļaujoša attīstības procesa nodrošināšana visiem bērniem un jauniešiem jau dzīves sākumā; </w:t>
      </w:r>
    </w:p>
    <w:p w14:paraId="687E73B0"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P2 — sociālās kohēzijas stiprināšana reģionā; </w:t>
      </w:r>
    </w:p>
    <w:p w14:paraId="56291263"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P3 — veicināt teritoriālu intervenci; un</w:t>
      </w:r>
    </w:p>
    <w:p w14:paraId="00B33C95"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P4 — Nodrošināt pietiekamas zināšanas par nabadzības parādību reģionā.</w:t>
      </w:r>
    </w:p>
    <w:p w14:paraId="7727C0B8" w14:textId="5AB285C1" w:rsidR="00776A1F" w:rsidRDefault="00D8574B">
      <w:pPr>
        <w:pStyle w:val="P68B1DB1-Normal4"/>
        <w:keepNext/>
        <w:spacing w:before="40" w:after="0" w:line="259" w:lineRule="auto"/>
        <w:jc w:val="both"/>
        <w:rPr>
          <w:rFonts w:eastAsiaTheme="minorEastAsia" w:cs="Times New Roman"/>
          <w:noProof/>
        </w:rPr>
      </w:pPr>
      <w:r>
        <w:rPr>
          <w:noProof/>
        </w:rPr>
        <w:t xml:space="preserve">Šis ieguldījums sastāv no intervences pasākumu kopuma, kas palielina bērnu un jauniešu piekļuvi sociālajiem un izglītības pakalpojumiem un stiprina sociālo kohēziju, atbalstot ģimenes, kurām vajadzīga palīdzība, un personas ar invaliditāti, lai tās integrētu sabiedrībā un darba tirgū. Tie ietver vismaz studiju atbalsta punktu izveidi, lai cīnītos pret priekšlaicīgu mācību pārtraukšanu, subsīdijas mājsaimniecībām ar zemiem ienākumiem kā stimulu bērnudārzu līdzdalības veicināšanai, papildu (fizisku) vietu izveidi bērnudārzos un dienas aprūpes centros, jaunu vietu izveidi cilvēkiem ar invaliditāti invalīdu atbalsta centros, automašīnu iegādi Instituições Particulares de Solidariedade sociālo automobiļu parka atjaunošanai un apmācību personām no ģimenēm, uz kurām attiecas sociālās iekļaušanas ienākumi, lai nodrošinātu viņiem papildu pamatprasmes, kas ļautu viņiem iekļūt darba tirgū. </w:t>
      </w:r>
    </w:p>
    <w:p w14:paraId="4B19539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Visbeidzot, šis ieguldījums ietver arī izmēģinājuma programmas “Vecākas vecumdienas” uzsākšanu, kuras mērķis ir veicināt vecāka gadagājuma cilvēku un/vai personu ar invaliditāti aprūpi, kas nav institucionāla. </w:t>
      </w:r>
    </w:p>
    <w:p w14:paraId="25A7EFAB" w14:textId="3AA9570B"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36A22E9D"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RE-C03-i05: Platforma + piekļuve</w:t>
      </w:r>
    </w:p>
    <w:p w14:paraId="06E31F6B"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veicināt personu ar invaliditāti iekļaušanu, nodrošinot digitālās informācijas rīku un pakalpojumu kopumu, lai atvieglotu viņu vajadzību apmierināšanu un atvieglotu viņu līdzdalību sabiedrībā. </w:t>
      </w:r>
    </w:p>
    <w:p w14:paraId="5239124E" w14:textId="77777777" w:rsidR="00776A1F" w:rsidRDefault="00D8574B">
      <w:pPr>
        <w:pStyle w:val="P68B1DB1-Normal4"/>
        <w:keepNext/>
        <w:spacing w:before="40" w:after="0" w:line="259" w:lineRule="auto"/>
        <w:jc w:val="both"/>
        <w:rPr>
          <w:rFonts w:eastAsiaTheme="minorEastAsia" w:cs="Times New Roman"/>
          <w:noProof/>
        </w:rPr>
      </w:pPr>
      <w:r>
        <w:rPr>
          <w:noProof/>
        </w:rPr>
        <w:t>Ieguldījumu veido piecas programmas:</w:t>
      </w:r>
    </w:p>
    <w:p w14:paraId="72800A48"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Sabiedrisko ēku atrašanās vietas un pieejamības nosacījumu ģeogrāfiskās atsauces; </w:t>
      </w:r>
    </w:p>
    <w:p w14:paraId="35176517"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Globālās informācijas un pozicionēšanas sistēmas (GPS) lielām publiskām ēkām, kas ļauj iekļaut privātas ēkas; </w:t>
      </w:r>
    </w:p>
    <w:p w14:paraId="5D8E03C9"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Personu ar ierobežotām pārvietošanās spējām stāvvietu ģeogrāfiskās atsauces; </w:t>
      </w:r>
    </w:p>
    <w:p w14:paraId="2C342D75"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Digitāla informācijas platforma; </w:t>
      </w:r>
    </w:p>
    <w:p w14:paraId="68C0A982" w14:textId="77777777" w:rsidR="00776A1F" w:rsidRDefault="00D8574B">
      <w:pPr>
        <w:pStyle w:val="P68B1DB1-Normal4"/>
        <w:keepNext/>
        <w:numPr>
          <w:ilvl w:val="0"/>
          <w:numId w:val="20"/>
        </w:numPr>
        <w:spacing w:before="40" w:after="160" w:line="259" w:lineRule="auto"/>
        <w:contextualSpacing/>
        <w:jc w:val="both"/>
        <w:rPr>
          <w:rFonts w:eastAsiaTheme="minorEastAsia" w:cs="Times New Roman"/>
          <w:noProof/>
        </w:rPr>
      </w:pPr>
      <w:r>
        <w:rPr>
          <w:noProof/>
        </w:rPr>
        <w:t>Izsaukuma centra izveide portugāļu zīmju valodas tulkošanai.</w:t>
      </w:r>
    </w:p>
    <w:p w14:paraId="4233CF6C" w14:textId="1521E268" w:rsidR="00776A1F" w:rsidRDefault="00D8574B">
      <w:pPr>
        <w:pStyle w:val="P68B1DB1-Normal4"/>
        <w:keepNext/>
        <w:spacing w:before="40" w:after="0" w:line="259" w:lineRule="auto"/>
        <w:jc w:val="both"/>
        <w:rPr>
          <w:rFonts w:eastAsiaTheme="minorEastAsia" w:cs="Times New Roman"/>
          <w:noProof/>
        </w:rPr>
      </w:pPr>
      <w:r>
        <w:rPr>
          <w:noProof/>
        </w:rPr>
        <w:t xml:space="preserve">Šīs programmas ir izstrādātas, lai cilvēkiem ar ierobežotām pārvietošanās spējām uz koplietošanas ceļiem, publiskām un privātām ēkām un stāvvietām nodrošinātu ģeogrāfiskus risinājumus attiecībā uz piekļūstamības nosacījumiem, izveidotu digitālu informācijas platformu, kas apkopo un vienkāršo informāciju par attiecīgajiem tiesību aktiem un atbalsta resursus cilvēkiem ar invaliditāti, un nodrošinātu nedzirdīgajiem iedzīvotājiem zvanu centru, kas garantē tulkošanu reāllaikā portugāļu zīmju valodā (LGP), kas pieejama visai valsts pārvaldei. </w:t>
      </w:r>
    </w:p>
    <w:p w14:paraId="58A92AFD"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6CE3140F"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RE-C03-i06: Integrēta darbība nelabvēlīgā situācijā esošajās kopienās Lisabonas un Portu aglomerācijās</w:t>
      </w:r>
    </w:p>
    <w:p w14:paraId="5E856FB8" w14:textId="77777777" w:rsidR="00776A1F" w:rsidRDefault="00D8574B">
      <w:pPr>
        <w:pStyle w:val="P68B1DB1-Normal4"/>
        <w:keepNext/>
        <w:spacing w:before="40" w:after="0" w:line="259" w:lineRule="auto"/>
        <w:jc w:val="both"/>
        <w:rPr>
          <w:rFonts w:eastAsiaTheme="minorEastAsia" w:cs="Times New Roman"/>
          <w:noProof/>
        </w:rPr>
      </w:pPr>
      <w:r>
        <w:rPr>
          <w:noProof/>
        </w:rPr>
        <w:t>Šā plašā un inovatīvā izmēģinājuma pasākuma mērķis ir apkarot nabadzību un sociālo atstumtību visnelabvēlīgākajā situācijā esošajās pašvaldībās Lisabonas un Portu aglomerācijās. Ja intervences ir veiksmīgas, tās var paplašināt.</w:t>
      </w:r>
    </w:p>
    <w:p w14:paraId="401BD1D1"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ieguldījums sastāv no darbību kopuma, kas saistīts ar šo pašvaldību īpašajām vajadzībām. Šīs darbības ietver iespēju nodrošināšanu kopienām, jaunu un inovatīvu pieeju izstrādi sociālajai kohēzijai un intervences pasākumus publiskajā telpā, sociālajā un sporta infrastruktūrā un mājokļos. Programmas galvenie mērķi ir šādi: </w:t>
      </w:r>
    </w:p>
    <w:p w14:paraId="064D0EF4"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Veicināt kopienu veselību un dzīves kvalitāti, atbalstot projektus, ko iesniegušas vietējo iestāžu apvienības, NVO, pilsoniskās kustības un iedzīvotāju organizācijas, veselības aizsardzības iestādes vai citas publiskas struktūras; </w:t>
      </w:r>
    </w:p>
    <w:p w14:paraId="554359D1"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Publiskās telpas un sociālās, veselības, mājokļu vai sporta infrastruktūras fiziska modernizācija; </w:t>
      </w:r>
    </w:p>
    <w:p w14:paraId="13D98317"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Sociāli nelabvēlīgā situācijā esošu teritoriju atjaunošana, veicinot sociālo kohēziju lielpilsētu teritorijās; </w:t>
      </w:r>
    </w:p>
    <w:p w14:paraId="1A86CCDE"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Mazo vietējo uzņēmumu uzņēmējdarbības veicināšana; </w:t>
      </w:r>
    </w:p>
    <w:p w14:paraId="406E2D60"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Uzlabot piekļuvi veselības aprūpei un apkarot atkarību;</w:t>
      </w:r>
    </w:p>
    <w:p w14:paraId="5DCF95B6"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Aktīvu un veselīgu vecumdienu programmu izstrāde; </w:t>
      </w:r>
    </w:p>
    <w:p w14:paraId="7FAF5F26"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Tādu projektu izstrāde, kuru mērķis ir cīnīties pret nesekmību un mācību pārtraukšanu;</w:t>
      </w:r>
    </w:p>
    <w:p w14:paraId="05E23490"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Pieaugušo kvalifikācijas uzlabošanu un viņu prasmju sertificēšanu; </w:t>
      </w:r>
    </w:p>
    <w:p w14:paraId="52072040"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Iedzīvotāju vajadzību diagnozi un pieaugušo rakstpratības, portugāļu valodas apguves un digitālās iekļaušanas programmu attīstību; </w:t>
      </w:r>
    </w:p>
    <w:p w14:paraId="766D09F8"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Profesionālā apmācība un politika nodarbināmības veicināšanai, kas pielāgota vietējai realitātei un dinamikai; </w:t>
      </w:r>
    </w:p>
    <w:p w14:paraId="50245D50"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Piekļuve kultūrai un radošumam un starpkultūru vērtības celšana; </w:t>
      </w:r>
    </w:p>
    <w:p w14:paraId="1E1CA766"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Veicināt kopienas līdzdalību pašas programmas pārvaldībā; </w:t>
      </w:r>
    </w:p>
    <w:p w14:paraId="4C4EA5A8"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Vietējo dalībnieku iespēju nodrošināšana partnerības tīklos; </w:t>
      </w:r>
    </w:p>
    <w:p w14:paraId="00360151"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Risinājumi cīņai pret nabadzību un sociālo atstumtību; </w:t>
      </w:r>
    </w:p>
    <w:p w14:paraId="32DD2764"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Veicināt sportu kā vienu no sociālajiem instrumentiem, kas apvieno kopienas locekļus, veicina vērtības un apkaro sociālo nevienlīdzību; </w:t>
      </w:r>
    </w:p>
    <w:p w14:paraId="693CEC30" w14:textId="77777777" w:rsidR="00776A1F" w:rsidRDefault="00D8574B">
      <w:pPr>
        <w:pStyle w:val="P68B1DB1-Normal4"/>
        <w:keepNext/>
        <w:numPr>
          <w:ilvl w:val="0"/>
          <w:numId w:val="21"/>
        </w:numPr>
        <w:spacing w:before="40" w:after="160" w:line="259" w:lineRule="auto"/>
        <w:contextualSpacing/>
        <w:jc w:val="both"/>
        <w:rPr>
          <w:rFonts w:eastAsiaTheme="minorEastAsia" w:cs="Times New Roman"/>
          <w:noProof/>
        </w:rPr>
      </w:pPr>
      <w:r>
        <w:rPr>
          <w:noProof/>
        </w:rPr>
        <w:t>Pilsonība un piekļuve tiesībām un pilsoniskā līdzdalība.</w:t>
      </w:r>
    </w:p>
    <w:p w14:paraId="613DD2E4" w14:textId="77777777" w:rsidR="00776A1F" w:rsidRDefault="00D8574B">
      <w:pPr>
        <w:pStyle w:val="P68B1DB1-Normal4"/>
        <w:keepNext/>
        <w:spacing w:before="40" w:after="0" w:line="259" w:lineRule="auto"/>
        <w:jc w:val="both"/>
        <w:rPr>
          <w:rFonts w:eastAsiaTheme="minorEastAsia" w:cs="Times New Roman"/>
          <w:noProof/>
        </w:rPr>
      </w:pPr>
      <w:r>
        <w:rPr>
          <w:noProof/>
        </w:rPr>
        <w:t>Lai nodrošinātu, ka pasākums atbilst Tehniskajām vadlīnijām “Nenodari būtisku kaitējumu” (2021/C58/01), atbilstības kritērijos, kas ietverti darba uzdevumā turpmākajiem uzaicinājumiem iesniegt projektus, izslēdz šādu darbību sarakstu: darbības, kas saistītas ar fosilajiem kurināmajiem, tostarp pakārtota izmantošana</w:t>
      </w:r>
      <w:r>
        <w:rPr>
          <w:noProof/>
        </w:rPr>
        <w:footnoteReference w:id="7"/>
      </w:r>
      <w:r>
        <w:rPr>
          <w:noProof/>
        </w:rPr>
        <w:t>; darbības ES emisijas kvotu tirdzniecības sistēmas (ETS) ietvaros, lai sasniegtu prognozētās siltumnīcefekta gāzu emisijas, kas nav zemākas par attiecīgajām līmeņatzīmēm</w:t>
      </w:r>
      <w:r>
        <w:rPr>
          <w:noProof/>
        </w:rPr>
        <w:footnoteReference w:id="8"/>
      </w:r>
      <w:r>
        <w:rPr>
          <w:noProof/>
        </w:rPr>
        <w:t>; III) darbības, kas saistītas ar atkritumu poligoniem, atkritumu sadedzināšanas iekārtām</w:t>
      </w:r>
      <w:r>
        <w:rPr>
          <w:noProof/>
        </w:rPr>
        <w:footnoteReference w:id="9"/>
      </w:r>
      <w:r>
        <w:rPr>
          <w:noProof/>
        </w:rPr>
        <w:t xml:space="preserve"> un mehāniski bioloģiskās apstrādes iekārtām</w:t>
      </w:r>
      <w:r>
        <w:rPr>
          <w:noProof/>
        </w:rPr>
        <w:footnoteReference w:id="10"/>
      </w:r>
      <w:r>
        <w:rPr>
          <w:noProof/>
        </w:rPr>
        <w:t xml:space="preserve">; un iv) darbības, kurās atkritumu ilgtermiņa apglabāšana var radīt kaitējumu videi. Darba uzdevumā papildus nosaka, ka var atlasīt tikai tās darbības, kas atbilst attiecīgajiem ES un valsts tiesību aktiem vides jomā. </w:t>
      </w:r>
    </w:p>
    <w:p w14:paraId="1112183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365B9857" w14:textId="03150B32" w:rsidR="00776A1F" w:rsidRDefault="00D8574B">
      <w:pPr>
        <w:pStyle w:val="P68B1DB1-Normal5"/>
        <w:keepNext/>
        <w:spacing w:before="240" w:after="0" w:line="259" w:lineRule="auto"/>
        <w:ind w:left="851"/>
        <w:jc w:val="both"/>
        <w:outlineLvl w:val="3"/>
        <w:rPr>
          <w:rFonts w:eastAsiaTheme="minorEastAsia" w:cs="Times New Roman"/>
          <w:noProof/>
        </w:rPr>
      </w:pPr>
      <w:bookmarkStart w:id="5" w:name="_Toc137472441"/>
      <w:r>
        <w:rPr>
          <w:noProof/>
        </w:rPr>
        <w:t>Ieguldījums RE-C03-i07-RAA: Veco ļaužu pansionātu (ERPI) tīkla modernizācija un paplašināšana</w:t>
      </w:r>
      <w:bookmarkEnd w:id="5"/>
      <w:r>
        <w:rPr>
          <w:noProof/>
        </w:rPr>
        <w:t xml:space="preserve"> </w:t>
      </w:r>
    </w:p>
    <w:p w14:paraId="72F021BC" w14:textId="06996ABE"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sniegt atbalstu vecāka gadagājuma cilvēkiem Azoru salu autonomajā reģionā. </w:t>
      </w:r>
    </w:p>
    <w:p w14:paraId="014B2B3A" w14:textId="3DD1A0F6" w:rsidR="00776A1F" w:rsidRDefault="00D8574B">
      <w:pPr>
        <w:pStyle w:val="P68B1DB1-Normal4"/>
        <w:keepNext/>
        <w:spacing w:before="40" w:after="0" w:line="259" w:lineRule="auto"/>
        <w:jc w:val="both"/>
        <w:rPr>
          <w:rFonts w:eastAsiaTheme="minorEastAsia" w:cs="Times New Roman"/>
          <w:noProof/>
        </w:rPr>
      </w:pPr>
      <w:r>
        <w:rPr>
          <w:noProof/>
        </w:rPr>
        <w:t xml:space="preserve">Šis ieguldījums ietver intervences pasākumus vecāka gadagājuma cilvēku aprūpes iestādēs (ERPI). Šie intervences pasākumi ietver esošo telpu paplašināšanu un atjaunošanu, aptverot 91 vietu aprūpes iestādēs. </w:t>
      </w:r>
    </w:p>
    <w:p w14:paraId="3BC60259" w14:textId="69F9FA5D" w:rsidR="00776A1F" w:rsidRDefault="00D8574B">
      <w:pPr>
        <w:pStyle w:val="P68B1DB1-Normal4"/>
        <w:keepNext/>
        <w:spacing w:before="40" w:after="0" w:line="259" w:lineRule="auto"/>
        <w:jc w:val="both"/>
        <w:rPr>
          <w:rFonts w:eastAsiaTheme="minorEastAsia" w:cs="Times New Roman"/>
          <w:noProof/>
        </w:rPr>
      </w:pPr>
      <w:r>
        <w:rPr>
          <w:noProof/>
        </w:rPr>
        <w:t xml:space="preserve">Ieguldījums palīdz nodrošināt specializētu un nepārtrauktu aprūpi tiem, kuri ir atkarīgi vai dzīvo nestabilās situācijās, kas neļauj viņiem saņemt mājas atbalsta pakalpojumus. Infrastruktūra novērš šķēršļus un šķēršļus fiziskai pieejamībai saskaņā ar Apvienoto Nāciju Organizācijas Konvenciju par personu ar invaliditāti tiesībām un valsts tiesību aktiem, proti, valsts stratēģiju personu ar invaliditāti iekļaušanai. </w:t>
      </w:r>
    </w:p>
    <w:p w14:paraId="3654E59A"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2026. gada 31. martam.</w:t>
      </w:r>
    </w:p>
    <w:p w14:paraId="4C31BC3F"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65F48950" w14:textId="595B40F9" w:rsidR="00776A1F" w:rsidRDefault="00D8574B">
      <w:pPr>
        <w:pStyle w:val="P68B1DB1-Heading214"/>
        <w:rPr>
          <w:noProof/>
        </w:rPr>
      </w:pPr>
      <w:bookmarkStart w:id="6" w:name="_Toc137472442"/>
      <w:r>
        <w:rPr>
          <w:noProof/>
        </w:rPr>
        <w:t>Reforma RE-C03-r38: Sociālā nodrošinājuma sistēmas vienkāršošana un efektivitāte</w:t>
      </w:r>
    </w:p>
    <w:p w14:paraId="7144A198" w14:textId="0CEAF0E9" w:rsidR="00776A1F" w:rsidRDefault="00D8574B">
      <w:pPr>
        <w:pStyle w:val="P68B1DB1-Normal4"/>
        <w:keepNext/>
        <w:spacing w:before="40" w:after="0" w:line="259" w:lineRule="auto"/>
        <w:jc w:val="both"/>
        <w:rPr>
          <w:rFonts w:eastAsiaTheme="minorEastAsia" w:cs="Times New Roman"/>
          <w:noProof/>
        </w:rPr>
      </w:pPr>
      <w:r>
        <w:rPr>
          <w:noProof/>
        </w:rPr>
        <w:t>Šīs reformas mērķis ir vienkāršot Portugāles sociālā nodrošinājuma sistēmu (“Sistema de Segurança Social”), lai uzlabotu tās efektivitāti cīņā pret nabadzību un sociālo atstumtību, uzlabojot sociālo pabalstu adekvātumu, segumu un izmantošanu. Reformas mērķis ir palīdzēt sasniegt Eiropas sociālo tiesību pīlāra rīcības plāna nacionālos mērķus, proti, līdz 2030. gadam samazināt nabadzību par 765000 cilvēkiem, un īstenot principus, kas izklāstīti Padomes Ieteikumā (MIR) par adekvātu minimālo ienākumu, kas nodrošina aktīvu iekļaušanu.</w:t>
      </w:r>
    </w:p>
    <w:p w14:paraId="70F834C2" w14:textId="77777777" w:rsidR="00776A1F" w:rsidRDefault="00D8574B">
      <w:pPr>
        <w:pStyle w:val="P68B1DB1-Normal4"/>
        <w:keepNext/>
        <w:spacing w:before="40" w:after="0" w:line="259" w:lineRule="auto"/>
        <w:jc w:val="both"/>
        <w:rPr>
          <w:rFonts w:eastAsiaTheme="minorEastAsia" w:cs="Times New Roman"/>
          <w:noProof/>
        </w:rPr>
      </w:pPr>
      <w:r>
        <w:rPr>
          <w:noProof/>
        </w:rPr>
        <w:t>Portugāles sociālā nodrošinājuma sistēma ietver trīs apakšsistēmas: pilsonības sociālās aizsardzības sistēma (“Proteção Social de Cidadania”) vai no iemaksām neatkarīgs režīms; apdrošināšanas sistēma, kuras pamatā ir darba ņēmēju un darba devēju iemaksas (“Sistema Previdencial”) vai iemaksu režīms; un iii) papildu sistēma (“Sistema Complementar”), kas ir brīvprātīga un ietver valsts un privātas papildu shēmas.</w:t>
      </w:r>
    </w:p>
    <w:p w14:paraId="7D0CF015" w14:textId="77777777" w:rsidR="00776A1F" w:rsidRDefault="00D8574B">
      <w:pPr>
        <w:pStyle w:val="P68B1DB1-Normal4"/>
        <w:keepNext/>
        <w:spacing w:before="40" w:after="0" w:line="259" w:lineRule="auto"/>
        <w:jc w:val="both"/>
        <w:rPr>
          <w:rFonts w:eastAsiaTheme="minorEastAsia" w:cs="Times New Roman"/>
          <w:noProof/>
        </w:rPr>
      </w:pPr>
      <w:r>
        <w:rPr>
          <w:noProof/>
        </w:rPr>
        <w:t>Reformā ņem vērā ziņojumu, kas jāsagatavo ekspertu darba grupai, un attiecīgas apspriedes ar ieinteresētajām personām un nosaka šādus elementus:</w:t>
      </w:r>
    </w:p>
    <w:p w14:paraId="74634E56" w14:textId="77777777" w:rsidR="00776A1F" w:rsidRDefault="00D8574B">
      <w:pPr>
        <w:pStyle w:val="ListParagraph"/>
        <w:keepNext w:val="0"/>
        <w:numPr>
          <w:ilvl w:val="0"/>
          <w:numId w:val="73"/>
        </w:numPr>
        <w:spacing w:before="120" w:after="120" w:line="240" w:lineRule="auto"/>
        <w:rPr>
          <w:noProof/>
        </w:rPr>
      </w:pPr>
      <w:r>
        <w:rPr>
          <w:noProof/>
        </w:rPr>
        <w:t>Vienots sociālais pabalsts. Tas konsolidē vismaz astoņus no iemaksām neatkarīgus sociālos pabalstus saskaņā ar pilsonības sociālās aizsardzības sistēmu, tostarp minimālo ienākumu shēmu (“</w:t>
      </w:r>
      <w:r>
        <w:rPr>
          <w:i/>
          <w:noProof/>
        </w:rPr>
        <w:t>Rendimento Social de Inserção”</w:t>
      </w:r>
      <w:r>
        <w:rPr>
          <w:noProof/>
        </w:rPr>
        <w:t>). Salīdzinot ar konsolidējamiem sociālajiem pabalstiem, vienotais sociālais pabalsts nodrošina vismaz līdzvērtīgu segumu cilvēkiem, kuri ir ļoti ekonomiski un sociāli neaizsargāti. Vienotais sociālais pabalsts palīdz novērst pārklāšanos starp esošajām shēmām, un tā struktūra veicina vienkāršāku un tiešāku piekļuvi sociālajiem pabalstiem. Izstrādes un īstenošanas procesā nodrošina attiecīgo sociālo partneru iesaisti un apspriešanos ar tiem.</w:t>
      </w:r>
    </w:p>
    <w:bookmarkEnd w:id="6"/>
    <w:p w14:paraId="2D9DB4FE" w14:textId="2090F351" w:rsidR="00776A1F" w:rsidRDefault="00D8574B">
      <w:pPr>
        <w:pStyle w:val="ListParagraph"/>
        <w:keepNext w:val="0"/>
        <w:numPr>
          <w:ilvl w:val="0"/>
          <w:numId w:val="73"/>
        </w:numPr>
        <w:spacing w:before="120" w:after="120" w:line="240" w:lineRule="auto"/>
        <w:rPr>
          <w:noProof/>
        </w:rPr>
      </w:pPr>
      <w:r>
        <w:rPr>
          <w:noProof/>
        </w:rPr>
        <w:t>Sociālo pabalstu kodekss. Tas vienkāršo, saskaņo un konsolidē tiesību aktus, kas reglamentē sociālos pabalstus, lai nodrošinātu lielāku pārredzamību un labāku izpratni par pieejamajiem sociālajiem pabalstiem. Sociālo pabalstu kodekss atbilst Iemaksu shēmu kodeksa paraugam (“</w:t>
      </w:r>
      <w:r>
        <w:rPr>
          <w:i/>
          <w:noProof/>
        </w:rPr>
        <w:t>Código dos Regimes Contributivos do Sistema Previdencial de Segurança Social”</w:t>
      </w:r>
      <w:r>
        <w:rPr>
          <w:noProof/>
        </w:rPr>
        <w:t>), kas pašlaik aptver tikai vienu no trim iepriekš minētajām sociālā nodrošinājuma apakšsistēmām.</w:t>
      </w:r>
    </w:p>
    <w:p w14:paraId="65BAB00F" w14:textId="14D4ADCA"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2026. gada 30. jūnijam.</w:t>
      </w:r>
    </w:p>
    <w:p w14:paraId="1686E08F"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33E4D1C0" w14:textId="77777777" w:rsidR="00776A1F" w:rsidRDefault="00776A1F">
      <w:pPr>
        <w:keepNext/>
        <w:spacing w:before="40" w:after="0" w:line="259" w:lineRule="auto"/>
        <w:jc w:val="both"/>
        <w:rPr>
          <w:rFonts w:ascii="Times New Roman" w:hAnsi="Times New Roman" w:cs="Times New Roman"/>
          <w:noProof/>
          <w:sz w:val="24"/>
        </w:rPr>
        <w:sectPr w:rsidR="00776A1F" w:rsidSect="00E00EDD">
          <w:headerReference w:type="even" r:id="rId72"/>
          <w:headerReference w:type="default" r:id="rId73"/>
          <w:footerReference w:type="even" r:id="rId74"/>
          <w:footerReference w:type="default" r:id="rId75"/>
          <w:headerReference w:type="first" r:id="rId76"/>
          <w:footerReference w:type="first" r:id="rId77"/>
          <w:pgSz w:w="11907" w:h="16839"/>
          <w:pgMar w:top="1134" w:right="1134" w:bottom="1134" w:left="1134" w:header="567" w:footer="567" w:gutter="0"/>
          <w:cols w:space="720"/>
          <w:docGrid w:linePitch="360"/>
        </w:sectPr>
      </w:pPr>
    </w:p>
    <w:p w14:paraId="6C4F7390"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C.2. Atskaites punkti, mērķrādītāji, citi rādītāji un neatmaksājamā finansiālā atbalsta uzraudzības un īstenošanas grafiks</w:t>
      </w:r>
    </w:p>
    <w:p w14:paraId="3F759351" w14:textId="07276F59" w:rsidR="00776A1F" w:rsidRDefault="00776A1F">
      <w:pPr>
        <w:keepNext/>
        <w:spacing w:before="40" w:after="0" w:line="259" w:lineRule="auto"/>
        <w:jc w:val="both"/>
        <w:rPr>
          <w:rFonts w:ascii="Times New Roman" w:eastAsiaTheme="minorEastAsia" w:hAnsi="Times New Roman" w:cs="Times New Roman"/>
          <w:noProof/>
          <w:sz w:val="24"/>
        </w:rPr>
      </w:pPr>
    </w:p>
    <w:tbl>
      <w:tblPr>
        <w:tblW w:w="151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143"/>
        <w:gridCol w:w="982"/>
        <w:gridCol w:w="1740"/>
        <w:gridCol w:w="1486"/>
        <w:gridCol w:w="1014"/>
        <w:gridCol w:w="1014"/>
        <w:gridCol w:w="882"/>
        <w:gridCol w:w="680"/>
        <w:gridCol w:w="845"/>
        <w:gridCol w:w="4277"/>
      </w:tblGrid>
      <w:tr w:rsidR="00776A1F" w14:paraId="14AD79ED" w14:textId="77777777">
        <w:trPr>
          <w:trHeight w:val="910"/>
          <w:tblHeader/>
        </w:trPr>
        <w:tc>
          <w:tcPr>
            <w:tcW w:w="1124" w:type="dxa"/>
            <w:vMerge w:val="restart"/>
            <w:shd w:val="clear" w:color="auto" w:fill="BDD6EE"/>
            <w:vAlign w:val="center"/>
            <w:hideMark/>
          </w:tcPr>
          <w:p w14:paraId="12E042F4"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143" w:type="dxa"/>
            <w:vMerge w:val="restart"/>
            <w:shd w:val="clear" w:color="auto" w:fill="BDD6EE"/>
            <w:vAlign w:val="center"/>
            <w:hideMark/>
          </w:tcPr>
          <w:p w14:paraId="40754ED3"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982" w:type="dxa"/>
            <w:vMerge w:val="restart"/>
            <w:shd w:val="clear" w:color="auto" w:fill="BDD6EE"/>
            <w:vAlign w:val="center"/>
            <w:hideMark/>
          </w:tcPr>
          <w:p w14:paraId="6F5DD9BA" w14:textId="0EE9A1D3"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40" w:type="dxa"/>
            <w:vMerge w:val="restart"/>
            <w:shd w:val="clear" w:color="auto" w:fill="BDD6EE"/>
            <w:vAlign w:val="center"/>
            <w:hideMark/>
          </w:tcPr>
          <w:p w14:paraId="7E76B60B"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486" w:type="dxa"/>
            <w:vMerge w:val="restart"/>
            <w:shd w:val="clear" w:color="auto" w:fill="BDD6EE"/>
            <w:vAlign w:val="center"/>
            <w:hideMark/>
          </w:tcPr>
          <w:p w14:paraId="2B32BF68"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910" w:type="dxa"/>
            <w:gridSpan w:val="3"/>
            <w:shd w:val="clear" w:color="auto" w:fill="BDD6EE"/>
            <w:vAlign w:val="center"/>
            <w:hideMark/>
          </w:tcPr>
          <w:p w14:paraId="54E5B28D"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525" w:type="dxa"/>
            <w:gridSpan w:val="2"/>
            <w:shd w:val="clear" w:color="auto" w:fill="BDD6EE"/>
            <w:vAlign w:val="center"/>
            <w:hideMark/>
          </w:tcPr>
          <w:p w14:paraId="0AFFA6CA"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277" w:type="dxa"/>
            <w:vMerge w:val="restart"/>
            <w:shd w:val="clear" w:color="auto" w:fill="BDD6EE"/>
            <w:vAlign w:val="center"/>
            <w:hideMark/>
          </w:tcPr>
          <w:p w14:paraId="0CAE4583"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3DC9B5E4" w14:textId="77777777">
        <w:trPr>
          <w:trHeight w:val="470"/>
          <w:tblHeader/>
        </w:trPr>
        <w:tc>
          <w:tcPr>
            <w:tcW w:w="1124" w:type="dxa"/>
            <w:vMerge/>
            <w:vAlign w:val="center"/>
            <w:hideMark/>
          </w:tcPr>
          <w:p w14:paraId="5E2B2993" w14:textId="77777777" w:rsidR="00776A1F" w:rsidRDefault="00776A1F">
            <w:pPr>
              <w:spacing w:after="0" w:line="240" w:lineRule="auto"/>
              <w:rPr>
                <w:rFonts w:ascii="Times New Roman" w:eastAsia="Times New Roman" w:hAnsi="Times New Roman" w:cs="Times New Roman"/>
                <w:b/>
                <w:noProof/>
                <w:sz w:val="18"/>
              </w:rPr>
            </w:pPr>
          </w:p>
        </w:tc>
        <w:tc>
          <w:tcPr>
            <w:tcW w:w="1143" w:type="dxa"/>
            <w:vMerge/>
            <w:vAlign w:val="center"/>
            <w:hideMark/>
          </w:tcPr>
          <w:p w14:paraId="38E6DA3F" w14:textId="77777777" w:rsidR="00776A1F" w:rsidRDefault="00776A1F">
            <w:pPr>
              <w:spacing w:after="0" w:line="240" w:lineRule="auto"/>
              <w:rPr>
                <w:rFonts w:ascii="Times New Roman" w:eastAsia="Times New Roman" w:hAnsi="Times New Roman" w:cs="Times New Roman"/>
                <w:b/>
                <w:noProof/>
                <w:sz w:val="18"/>
              </w:rPr>
            </w:pPr>
          </w:p>
        </w:tc>
        <w:tc>
          <w:tcPr>
            <w:tcW w:w="982" w:type="dxa"/>
            <w:vMerge/>
            <w:shd w:val="clear" w:color="auto" w:fill="BDD6EE"/>
            <w:vAlign w:val="center"/>
            <w:hideMark/>
          </w:tcPr>
          <w:p w14:paraId="0B4F87AB" w14:textId="41568FFB" w:rsidR="00776A1F" w:rsidRDefault="00776A1F">
            <w:pPr>
              <w:spacing w:after="0" w:line="240" w:lineRule="auto"/>
              <w:jc w:val="center"/>
              <w:rPr>
                <w:rFonts w:ascii="Times New Roman" w:eastAsia="Times New Roman" w:hAnsi="Times New Roman" w:cs="Times New Roman"/>
                <w:b/>
                <w:noProof/>
                <w:sz w:val="18"/>
              </w:rPr>
            </w:pPr>
          </w:p>
        </w:tc>
        <w:tc>
          <w:tcPr>
            <w:tcW w:w="1740" w:type="dxa"/>
            <w:vMerge/>
            <w:vAlign w:val="center"/>
            <w:hideMark/>
          </w:tcPr>
          <w:p w14:paraId="05146A5D" w14:textId="77777777" w:rsidR="00776A1F" w:rsidRDefault="00776A1F">
            <w:pPr>
              <w:spacing w:after="0" w:line="240" w:lineRule="auto"/>
              <w:rPr>
                <w:rFonts w:ascii="Times New Roman" w:eastAsia="Times New Roman" w:hAnsi="Times New Roman" w:cs="Times New Roman"/>
                <w:b/>
                <w:noProof/>
                <w:sz w:val="18"/>
              </w:rPr>
            </w:pPr>
          </w:p>
        </w:tc>
        <w:tc>
          <w:tcPr>
            <w:tcW w:w="1486" w:type="dxa"/>
            <w:vMerge/>
            <w:vAlign w:val="center"/>
            <w:hideMark/>
          </w:tcPr>
          <w:p w14:paraId="7B4130F2" w14:textId="77777777" w:rsidR="00776A1F" w:rsidRDefault="00776A1F">
            <w:pPr>
              <w:spacing w:after="0" w:line="240" w:lineRule="auto"/>
              <w:rPr>
                <w:rFonts w:ascii="Times New Roman" w:eastAsia="Times New Roman" w:hAnsi="Times New Roman" w:cs="Times New Roman"/>
                <w:b/>
                <w:noProof/>
                <w:sz w:val="18"/>
              </w:rPr>
            </w:pPr>
          </w:p>
        </w:tc>
        <w:tc>
          <w:tcPr>
            <w:tcW w:w="1014" w:type="dxa"/>
            <w:shd w:val="clear" w:color="auto" w:fill="BDD6EE"/>
            <w:vAlign w:val="center"/>
            <w:hideMark/>
          </w:tcPr>
          <w:p w14:paraId="0EFFB8D7"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1014" w:type="dxa"/>
            <w:shd w:val="clear" w:color="auto" w:fill="BDD6EE"/>
            <w:vAlign w:val="center"/>
            <w:hideMark/>
          </w:tcPr>
          <w:p w14:paraId="0362CC94"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882" w:type="dxa"/>
            <w:shd w:val="clear" w:color="auto" w:fill="BDD6EE"/>
            <w:vAlign w:val="center"/>
            <w:hideMark/>
          </w:tcPr>
          <w:p w14:paraId="004EED49"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680" w:type="dxa"/>
            <w:shd w:val="clear" w:color="auto" w:fill="BDD6EE"/>
            <w:vAlign w:val="center"/>
            <w:hideMark/>
          </w:tcPr>
          <w:p w14:paraId="6EF1C0BD" w14:textId="77777777" w:rsidR="00776A1F" w:rsidRDefault="00D8574B">
            <w:pPr>
              <w:pStyle w:val="P68B1DB1-Normal6"/>
              <w:spacing w:after="0" w:line="240" w:lineRule="auto"/>
              <w:jc w:val="center"/>
              <w:rPr>
                <w:rFonts w:eastAsia="Times New Roman" w:cs="Times New Roman"/>
                <w:noProof/>
              </w:rPr>
            </w:pPr>
            <w:r>
              <w:rPr>
                <w:noProof/>
              </w:rPr>
              <w:t>Q</w:t>
            </w:r>
          </w:p>
        </w:tc>
        <w:tc>
          <w:tcPr>
            <w:tcW w:w="845" w:type="dxa"/>
            <w:shd w:val="clear" w:color="auto" w:fill="BDD6EE"/>
            <w:vAlign w:val="center"/>
            <w:hideMark/>
          </w:tcPr>
          <w:p w14:paraId="4B7C0DD8"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277" w:type="dxa"/>
            <w:vMerge/>
            <w:vAlign w:val="center"/>
            <w:hideMark/>
          </w:tcPr>
          <w:p w14:paraId="712BF101" w14:textId="77777777" w:rsidR="00776A1F" w:rsidRDefault="00776A1F">
            <w:pPr>
              <w:spacing w:after="0" w:line="240" w:lineRule="auto"/>
              <w:rPr>
                <w:rFonts w:ascii="Times New Roman" w:eastAsia="Times New Roman" w:hAnsi="Times New Roman" w:cs="Times New Roman"/>
                <w:b/>
                <w:noProof/>
                <w:sz w:val="18"/>
              </w:rPr>
            </w:pPr>
          </w:p>
        </w:tc>
      </w:tr>
      <w:tr w:rsidR="00776A1F" w14:paraId="4FB1DEE7" w14:textId="77777777">
        <w:trPr>
          <w:trHeight w:val="640"/>
        </w:trPr>
        <w:tc>
          <w:tcPr>
            <w:tcW w:w="1124" w:type="dxa"/>
            <w:shd w:val="clear" w:color="auto" w:fill="C5EFCE"/>
            <w:vAlign w:val="center"/>
            <w:hideMark/>
          </w:tcPr>
          <w:p w14:paraId="7E53AF7C" w14:textId="77777777" w:rsidR="00776A1F" w:rsidRDefault="00D8574B">
            <w:pPr>
              <w:pStyle w:val="P68B1DB1-Normal7"/>
              <w:spacing w:after="0" w:line="240" w:lineRule="auto"/>
              <w:jc w:val="center"/>
              <w:rPr>
                <w:rFonts w:eastAsia="Times New Roman" w:cs="Calibri"/>
                <w:noProof/>
              </w:rPr>
            </w:pPr>
            <w:r>
              <w:rPr>
                <w:noProof/>
              </w:rPr>
              <w:t>3.1</w:t>
            </w:r>
          </w:p>
        </w:tc>
        <w:tc>
          <w:tcPr>
            <w:tcW w:w="1143" w:type="dxa"/>
            <w:shd w:val="clear" w:color="auto" w:fill="C4EFCE"/>
            <w:vAlign w:val="center"/>
            <w:hideMark/>
          </w:tcPr>
          <w:p w14:paraId="6B802912" w14:textId="77777777" w:rsidR="00776A1F" w:rsidRDefault="00D8574B">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2EB48FA7"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F7B3BC" w14:textId="77777777" w:rsidR="00776A1F" w:rsidRDefault="00D8574B">
            <w:pPr>
              <w:pStyle w:val="P68B1DB1-Normal8"/>
              <w:spacing w:after="0" w:line="240" w:lineRule="auto"/>
              <w:jc w:val="center"/>
              <w:rPr>
                <w:rFonts w:eastAsia="Times New Roman" w:cs="Calibri"/>
                <w:noProof/>
              </w:rPr>
            </w:pPr>
            <w:r>
              <w:rPr>
                <w:noProof/>
              </w:rPr>
              <w:t>Elektrotransportlīdzekļu piegāde</w:t>
            </w:r>
          </w:p>
        </w:tc>
        <w:tc>
          <w:tcPr>
            <w:tcW w:w="1486" w:type="dxa"/>
            <w:shd w:val="clear" w:color="auto" w:fill="C4EFCE"/>
            <w:vAlign w:val="center"/>
            <w:hideMark/>
          </w:tcPr>
          <w:p w14:paraId="3CB72ABC"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9EF364D"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4903172A"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69C9561" w14:textId="77777777" w:rsidR="00776A1F" w:rsidRDefault="00D8574B">
            <w:pPr>
              <w:pStyle w:val="P68B1DB1-Normal8"/>
              <w:spacing w:after="0" w:line="240" w:lineRule="auto"/>
              <w:jc w:val="center"/>
              <w:rPr>
                <w:rFonts w:eastAsia="Times New Roman" w:cs="Calibri"/>
                <w:noProof/>
              </w:rPr>
            </w:pPr>
            <w:r>
              <w:rPr>
                <w:noProof/>
              </w:rPr>
              <w:t>2 500</w:t>
            </w:r>
          </w:p>
        </w:tc>
        <w:tc>
          <w:tcPr>
            <w:tcW w:w="680" w:type="dxa"/>
            <w:shd w:val="clear" w:color="auto" w:fill="C4EFCE"/>
            <w:vAlign w:val="center"/>
            <w:hideMark/>
          </w:tcPr>
          <w:p w14:paraId="101B6C07" w14:textId="77777777" w:rsidR="00776A1F" w:rsidRDefault="00D8574B">
            <w:pPr>
              <w:pStyle w:val="P68B1DB1-Normal8"/>
              <w:spacing w:after="0" w:line="240" w:lineRule="auto"/>
              <w:jc w:val="center"/>
              <w:rPr>
                <w:rFonts w:eastAsia="Times New Roman" w:cs="Calibri"/>
                <w:noProof/>
              </w:rPr>
            </w:pPr>
            <w:r>
              <w:rPr>
                <w:noProof/>
              </w:rPr>
              <w:t>1. CET.</w:t>
            </w:r>
          </w:p>
        </w:tc>
        <w:tc>
          <w:tcPr>
            <w:tcW w:w="845" w:type="dxa"/>
            <w:shd w:val="clear" w:color="auto" w:fill="C4EFCE"/>
            <w:vAlign w:val="center"/>
            <w:hideMark/>
          </w:tcPr>
          <w:p w14:paraId="070C0E74" w14:textId="77777777" w:rsidR="00776A1F" w:rsidRDefault="00D8574B">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74933DAC" w14:textId="77777777" w:rsidR="00776A1F" w:rsidRDefault="00D8574B">
            <w:pPr>
              <w:pStyle w:val="P68B1DB1-Normal8"/>
              <w:spacing w:after="0" w:line="240" w:lineRule="auto"/>
              <w:jc w:val="both"/>
              <w:rPr>
                <w:rFonts w:eastAsia="Times New Roman" w:cs="Calibri"/>
                <w:noProof/>
              </w:rPr>
            </w:pPr>
            <w:r>
              <w:rPr>
                <w:noProof/>
              </w:rPr>
              <w:t>Jaunu elektrotransportlīdzekļu piegāde Instituições Particulares de Solidariedade Social (IPSS) vai līdzīgām atbilstīgām sociālo pakalpojumu struktūrām sociālo un vietējo atbalsta pakalpojumu sniedzējiem, kas pielāgoti palīdzībai mājās un/vai personu ar ierobežotām pārvietošanās spējām pārvadāšanai.</w:t>
            </w:r>
          </w:p>
        </w:tc>
      </w:tr>
      <w:tr w:rsidR="00776A1F" w14:paraId="695A83D6" w14:textId="77777777">
        <w:trPr>
          <w:trHeight w:val="797"/>
        </w:trPr>
        <w:tc>
          <w:tcPr>
            <w:tcW w:w="1124" w:type="dxa"/>
            <w:shd w:val="clear" w:color="auto" w:fill="C5EFCE"/>
            <w:vAlign w:val="center"/>
            <w:hideMark/>
          </w:tcPr>
          <w:p w14:paraId="75C121A6" w14:textId="77777777" w:rsidR="00776A1F" w:rsidRDefault="00D8574B">
            <w:pPr>
              <w:pStyle w:val="P68B1DB1-Normal7"/>
              <w:spacing w:after="0" w:line="240" w:lineRule="auto"/>
              <w:jc w:val="center"/>
              <w:rPr>
                <w:rFonts w:eastAsia="Times New Roman" w:cs="Calibri"/>
                <w:noProof/>
              </w:rPr>
            </w:pPr>
            <w:r>
              <w:rPr>
                <w:noProof/>
              </w:rPr>
              <w:t>3.2</w:t>
            </w:r>
          </w:p>
        </w:tc>
        <w:tc>
          <w:tcPr>
            <w:tcW w:w="1143" w:type="dxa"/>
            <w:shd w:val="clear" w:color="auto" w:fill="C4EFCE"/>
            <w:vAlign w:val="center"/>
            <w:hideMark/>
          </w:tcPr>
          <w:p w14:paraId="0D34E66D" w14:textId="77777777" w:rsidR="00776A1F" w:rsidRDefault="00D8574B">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4178A6A9"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4C9E6AAD" w14:textId="77777777" w:rsidR="00776A1F" w:rsidRDefault="00D8574B">
            <w:pPr>
              <w:pStyle w:val="P68B1DB1-Normal8"/>
              <w:spacing w:after="0" w:line="240" w:lineRule="auto"/>
              <w:jc w:val="center"/>
              <w:rPr>
                <w:rFonts w:eastAsia="Times New Roman" w:cs="Calibri"/>
                <w:noProof/>
              </w:rPr>
            </w:pPr>
            <w:r>
              <w:rPr>
                <w:noProof/>
              </w:rPr>
              <w:t>Sociālās intervences grupu izveide (Radar Social)</w:t>
            </w:r>
          </w:p>
        </w:tc>
        <w:tc>
          <w:tcPr>
            <w:tcW w:w="1486" w:type="dxa"/>
            <w:shd w:val="clear" w:color="auto" w:fill="C4EFCE"/>
            <w:vAlign w:val="center"/>
            <w:hideMark/>
          </w:tcPr>
          <w:p w14:paraId="746F3B0C"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A393125"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2F1F46F6"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DF22222" w14:textId="77777777" w:rsidR="00776A1F" w:rsidRDefault="00D8574B">
            <w:pPr>
              <w:pStyle w:val="P68B1DB1-Normal8"/>
              <w:spacing w:after="0" w:line="240" w:lineRule="auto"/>
              <w:jc w:val="center"/>
              <w:rPr>
                <w:rFonts w:eastAsia="Times New Roman" w:cs="Calibri"/>
                <w:noProof/>
              </w:rPr>
            </w:pPr>
            <w:r>
              <w:rPr>
                <w:noProof/>
              </w:rPr>
              <w:t>278</w:t>
            </w:r>
          </w:p>
        </w:tc>
        <w:tc>
          <w:tcPr>
            <w:tcW w:w="680" w:type="dxa"/>
            <w:shd w:val="clear" w:color="auto" w:fill="C4EFCE"/>
            <w:vAlign w:val="center"/>
            <w:hideMark/>
          </w:tcPr>
          <w:p w14:paraId="2D14593B"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00AFEEF9" w14:textId="77777777" w:rsidR="00776A1F" w:rsidRDefault="00D8574B">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786F8552" w14:textId="77777777" w:rsidR="00776A1F" w:rsidRDefault="00D8574B">
            <w:pPr>
              <w:pStyle w:val="P68B1DB1-Normal8"/>
              <w:spacing w:after="0" w:line="240" w:lineRule="auto"/>
              <w:jc w:val="both"/>
              <w:rPr>
                <w:rFonts w:eastAsia="Times New Roman" w:cs="Calibri"/>
                <w:noProof/>
              </w:rPr>
            </w:pPr>
            <w:r>
              <w:rPr>
                <w:noProof/>
              </w:rPr>
              <w:t>278 sociālās intervences grupu izveide Portugāles kontinentālās pašvaldībās.</w:t>
            </w:r>
          </w:p>
        </w:tc>
      </w:tr>
      <w:tr w:rsidR="00776A1F" w14:paraId="6CA14E84" w14:textId="77777777">
        <w:trPr>
          <w:trHeight w:val="290"/>
        </w:trPr>
        <w:tc>
          <w:tcPr>
            <w:tcW w:w="1124" w:type="dxa"/>
            <w:shd w:val="clear" w:color="auto" w:fill="C5EFCE"/>
            <w:vAlign w:val="center"/>
            <w:hideMark/>
          </w:tcPr>
          <w:p w14:paraId="5080A772" w14:textId="77777777" w:rsidR="00776A1F" w:rsidRDefault="00D8574B">
            <w:pPr>
              <w:pStyle w:val="P68B1DB1-Normal7"/>
              <w:spacing w:after="0" w:line="240" w:lineRule="auto"/>
              <w:jc w:val="center"/>
              <w:rPr>
                <w:rFonts w:eastAsia="Times New Roman" w:cs="Calibri"/>
                <w:noProof/>
              </w:rPr>
            </w:pPr>
            <w:r>
              <w:rPr>
                <w:noProof/>
              </w:rPr>
              <w:t>3.3</w:t>
            </w:r>
          </w:p>
        </w:tc>
        <w:tc>
          <w:tcPr>
            <w:tcW w:w="1143" w:type="dxa"/>
            <w:shd w:val="clear" w:color="auto" w:fill="C4EFCE"/>
            <w:vAlign w:val="center"/>
            <w:hideMark/>
          </w:tcPr>
          <w:p w14:paraId="72A4A02B" w14:textId="77777777" w:rsidR="00776A1F" w:rsidRDefault="00D8574B">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30A19712"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422D5459" w14:textId="31604FA9" w:rsidR="00776A1F" w:rsidRDefault="00D8574B">
            <w:pPr>
              <w:pStyle w:val="P68B1DB1-Normal8"/>
              <w:spacing w:after="0" w:line="240" w:lineRule="auto"/>
              <w:jc w:val="center"/>
              <w:rPr>
                <w:rFonts w:eastAsia="Times New Roman" w:cs="Calibri"/>
                <w:noProof/>
              </w:rPr>
            </w:pPr>
            <w:r>
              <w:rPr>
                <w:noProof/>
              </w:rPr>
              <w:t xml:space="preserve"> Atbalsta līgumu slēgšanas tiesību piešķiršana, lai veicinātu struktūras sociālo iestāžu tīkla izveidei un paplašināšanai/sociālajai reakcijai.</w:t>
            </w:r>
          </w:p>
        </w:tc>
        <w:tc>
          <w:tcPr>
            <w:tcW w:w="1486" w:type="dxa"/>
            <w:shd w:val="clear" w:color="auto" w:fill="C4EFCE"/>
            <w:vAlign w:val="center"/>
            <w:hideMark/>
          </w:tcPr>
          <w:p w14:paraId="6009A6C2" w14:textId="77777777" w:rsidR="00776A1F" w:rsidRDefault="00D8574B">
            <w:pPr>
              <w:pStyle w:val="P68B1DB1-Normal8"/>
              <w:spacing w:after="0" w:line="240" w:lineRule="auto"/>
              <w:jc w:val="center"/>
              <w:rPr>
                <w:rFonts w:eastAsia="Times New Roman" w:cs="Calibri"/>
                <w:noProof/>
              </w:rPr>
            </w:pPr>
            <w:r>
              <w:rPr>
                <w:noProof/>
              </w:rPr>
              <w:t>Atbalsta līgumu slēgšanas tiesību piešķiršana sociālo iestāžu/atbildētāju tīkla veicinātājām struktūrām</w:t>
            </w:r>
          </w:p>
        </w:tc>
        <w:tc>
          <w:tcPr>
            <w:tcW w:w="1014" w:type="dxa"/>
            <w:shd w:val="clear" w:color="auto" w:fill="C4EFCE"/>
            <w:vAlign w:val="center"/>
            <w:hideMark/>
          </w:tcPr>
          <w:p w14:paraId="6D4F44CE"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50F74FF"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D080C51"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08CD4351" w14:textId="77777777" w:rsidR="00776A1F" w:rsidRDefault="00D8574B">
            <w:pPr>
              <w:pStyle w:val="P68B1DB1-Normal8"/>
              <w:spacing w:after="0" w:line="240" w:lineRule="auto"/>
              <w:jc w:val="center"/>
              <w:rPr>
                <w:rFonts w:eastAsia="Times New Roman" w:cs="Calibri"/>
                <w:noProof/>
              </w:rPr>
            </w:pPr>
            <w:r>
              <w:rPr>
                <w:noProof/>
              </w:rPr>
              <w:t>2. CET.</w:t>
            </w:r>
          </w:p>
        </w:tc>
        <w:tc>
          <w:tcPr>
            <w:tcW w:w="845" w:type="dxa"/>
            <w:shd w:val="clear" w:color="auto" w:fill="C4EFCE"/>
            <w:vAlign w:val="center"/>
            <w:hideMark/>
          </w:tcPr>
          <w:p w14:paraId="459C1D44" w14:textId="77777777" w:rsidR="00776A1F" w:rsidRDefault="00D8574B">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111BA54E" w14:textId="77777777" w:rsidR="00776A1F" w:rsidRDefault="00D8574B">
            <w:pPr>
              <w:pStyle w:val="P68B1DB1-Normal8"/>
              <w:spacing w:after="0" w:line="240" w:lineRule="auto"/>
              <w:jc w:val="both"/>
              <w:rPr>
                <w:rFonts w:eastAsia="Times New Roman" w:cs="Calibri"/>
                <w:noProof/>
              </w:rPr>
            </w:pPr>
            <w:r>
              <w:rPr>
                <w:noProof/>
              </w:rPr>
              <w:t>Līguma slēgšanas tiesību piešķiršana atbalsta organizācijām, kas pieteikušās dalībai konkursā par sociālo iestāžu tīkla izveidi un paplašināšanu (aptverot bērnus, vecus cilvēkus, cilvēkus ar invaliditāti u. c.) un kuras ir atzītas par atbilstošām noteiktajai regulai pieejamā finansējuma ietvaros. Jaunas ēku būvniecības gadījumā konkursa procedūra nodrošina, ka jauno ēku primārās enerģijas pieprasījums ir vismaz par 20 % zemāks nekā prasības gandrīz nulles enerģijas ēkām.</w:t>
            </w:r>
          </w:p>
        </w:tc>
      </w:tr>
      <w:tr w:rsidR="00776A1F" w14:paraId="4DD2693C" w14:textId="77777777">
        <w:trPr>
          <w:trHeight w:val="1690"/>
        </w:trPr>
        <w:tc>
          <w:tcPr>
            <w:tcW w:w="1124" w:type="dxa"/>
            <w:shd w:val="clear" w:color="auto" w:fill="C5EFCE"/>
            <w:vAlign w:val="center"/>
            <w:hideMark/>
          </w:tcPr>
          <w:p w14:paraId="1A616AE0" w14:textId="0FB7E1D9" w:rsidR="00776A1F" w:rsidRDefault="00D8574B">
            <w:pPr>
              <w:pStyle w:val="P68B1DB1-Normal7"/>
              <w:spacing w:after="0" w:line="240" w:lineRule="auto"/>
              <w:jc w:val="center"/>
              <w:rPr>
                <w:rFonts w:eastAsia="Times New Roman" w:cs="Calibri"/>
                <w:noProof/>
              </w:rPr>
            </w:pPr>
            <w:r>
              <w:rPr>
                <w:noProof/>
              </w:rPr>
              <w:t>3.4</w:t>
            </w:r>
          </w:p>
        </w:tc>
        <w:tc>
          <w:tcPr>
            <w:tcW w:w="1143" w:type="dxa"/>
            <w:shd w:val="clear" w:color="auto" w:fill="C4EFCE"/>
            <w:vAlign w:val="center"/>
            <w:hideMark/>
          </w:tcPr>
          <w:p w14:paraId="264DD2D7" w14:textId="77777777" w:rsidR="00776A1F" w:rsidRDefault="00D8574B">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129E562E"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5CCE8B" w14:textId="77777777" w:rsidR="00776A1F" w:rsidRDefault="00D8574B">
            <w:pPr>
              <w:pStyle w:val="P68B1DB1-Normal8"/>
              <w:spacing w:after="0" w:line="240" w:lineRule="auto"/>
              <w:jc w:val="center"/>
              <w:rPr>
                <w:rFonts w:eastAsia="Times New Roman" w:cs="Calibri"/>
                <w:noProof/>
              </w:rPr>
            </w:pPr>
            <w:r>
              <w:rPr>
                <w:noProof/>
              </w:rPr>
              <w:t>Jaunu vietu izveide un esošo vietu atjaunošana sociālajās iestādēs</w:t>
            </w:r>
          </w:p>
        </w:tc>
        <w:tc>
          <w:tcPr>
            <w:tcW w:w="1486" w:type="dxa"/>
            <w:shd w:val="clear" w:color="auto" w:fill="C4EFCE"/>
            <w:vAlign w:val="center"/>
            <w:hideMark/>
          </w:tcPr>
          <w:p w14:paraId="066C8E4E"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D9BF7B8"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337AF5DB"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F36AC40" w14:textId="12FABD58" w:rsidR="00776A1F" w:rsidRDefault="00D8574B">
            <w:pPr>
              <w:pStyle w:val="P68B1DB1-Normal8"/>
              <w:spacing w:after="0" w:line="240" w:lineRule="auto"/>
              <w:jc w:val="center"/>
              <w:rPr>
                <w:rFonts w:eastAsia="Times New Roman" w:cs="Calibri"/>
                <w:noProof/>
              </w:rPr>
            </w:pPr>
            <w:r>
              <w:rPr>
                <w:noProof/>
              </w:rPr>
              <w:t>39 405</w:t>
            </w:r>
          </w:p>
        </w:tc>
        <w:tc>
          <w:tcPr>
            <w:tcW w:w="680" w:type="dxa"/>
            <w:shd w:val="clear" w:color="auto" w:fill="C4EFCE"/>
            <w:vAlign w:val="center"/>
            <w:hideMark/>
          </w:tcPr>
          <w:p w14:paraId="3F7AD6FC" w14:textId="77777777" w:rsidR="00776A1F" w:rsidRDefault="00D8574B">
            <w:pPr>
              <w:pStyle w:val="P68B1DB1-Normal8"/>
              <w:spacing w:after="0" w:line="240" w:lineRule="auto"/>
              <w:jc w:val="center"/>
              <w:rPr>
                <w:rFonts w:eastAsia="Times New Roman" w:cs="Calibri"/>
                <w:noProof/>
              </w:rPr>
            </w:pPr>
            <w:r>
              <w:rPr>
                <w:noProof/>
              </w:rPr>
              <w:t>1. CET.</w:t>
            </w:r>
          </w:p>
        </w:tc>
        <w:tc>
          <w:tcPr>
            <w:tcW w:w="845" w:type="dxa"/>
            <w:shd w:val="clear" w:color="auto" w:fill="C4EFCE"/>
            <w:vAlign w:val="center"/>
            <w:hideMark/>
          </w:tcPr>
          <w:p w14:paraId="6696632D" w14:textId="77777777" w:rsidR="00776A1F" w:rsidRDefault="00D8574B">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1334CAC8" w14:textId="2AA60661" w:rsidR="00776A1F" w:rsidRDefault="00D8574B">
            <w:pPr>
              <w:pStyle w:val="P68B1DB1-Normal8"/>
              <w:spacing w:after="0" w:line="240" w:lineRule="auto"/>
              <w:jc w:val="both"/>
              <w:rPr>
                <w:rFonts w:eastAsia="Times New Roman" w:cs="Calibri"/>
                <w:noProof/>
              </w:rPr>
            </w:pPr>
            <w:r>
              <w:rPr>
                <w:noProof/>
              </w:rPr>
              <w:t xml:space="preserve">Izveidot vismaz 15000 jaunu vietu un atjaunot atlikušās vietas bērniem, vecāka gadagājuma cilvēkiem, cilvēkiem ar invaliditāti un citiem neaizsargātiem cilvēkiem bērnudārzos, veco ļaužu aprūpes namos (ERPI), dienas aprūpes centros, mājaprūpes dienestos (DAS), darbības un iekļaušanas veicināšanas centros (CACI), Autonomijas un iekļautības dzīvesvietās un inovatīvas tipoloģijas. </w:t>
            </w:r>
          </w:p>
          <w:p w14:paraId="3267A930" w14:textId="663DC4DC" w:rsidR="00776A1F" w:rsidRDefault="00D8574B">
            <w:pPr>
              <w:pStyle w:val="P68B1DB1-Normal8"/>
              <w:spacing w:after="0" w:line="240" w:lineRule="auto"/>
              <w:jc w:val="both"/>
              <w:rPr>
                <w:rFonts w:eastAsia="Times New Roman" w:cs="Calibri"/>
                <w:noProof/>
              </w:rPr>
            </w:pPr>
            <w:r>
              <w:rPr>
                <w:noProof/>
              </w:rPr>
              <w:t>Ja tiek būvētas jaunas ēkas, jauno ēku primārās enerģijas pieprasījums ir vismaz par 20 % zemāks, nekā prasīts gandrīz nulles enerģijas ēkām.</w:t>
            </w:r>
          </w:p>
        </w:tc>
      </w:tr>
      <w:tr w:rsidR="00776A1F" w14:paraId="276146CB" w14:textId="77777777">
        <w:trPr>
          <w:trHeight w:val="1278"/>
        </w:trPr>
        <w:tc>
          <w:tcPr>
            <w:tcW w:w="1124" w:type="dxa"/>
            <w:shd w:val="clear" w:color="auto" w:fill="C5EFCE"/>
            <w:vAlign w:val="center"/>
            <w:hideMark/>
          </w:tcPr>
          <w:p w14:paraId="1C1BF1A0" w14:textId="77777777" w:rsidR="00776A1F" w:rsidRDefault="00D8574B">
            <w:pPr>
              <w:pStyle w:val="P68B1DB1-Normal7"/>
              <w:spacing w:after="0" w:line="240" w:lineRule="auto"/>
              <w:jc w:val="center"/>
              <w:rPr>
                <w:rFonts w:eastAsia="Times New Roman" w:cs="Calibri"/>
                <w:noProof/>
              </w:rPr>
            </w:pPr>
            <w:r>
              <w:rPr>
                <w:noProof/>
              </w:rPr>
              <w:t>3.5</w:t>
            </w:r>
          </w:p>
        </w:tc>
        <w:tc>
          <w:tcPr>
            <w:tcW w:w="1143" w:type="dxa"/>
            <w:shd w:val="clear" w:color="auto" w:fill="C4EFCE"/>
            <w:vAlign w:val="center"/>
            <w:hideMark/>
          </w:tcPr>
          <w:p w14:paraId="77113DE5" w14:textId="77777777" w:rsidR="00776A1F" w:rsidRDefault="00D8574B">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6B8071ED"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99F7521" w14:textId="500588C1" w:rsidR="00776A1F" w:rsidRDefault="00D8574B">
            <w:pPr>
              <w:pStyle w:val="P68B1DB1-Normal8"/>
              <w:spacing w:after="0" w:line="240" w:lineRule="auto"/>
              <w:jc w:val="center"/>
              <w:rPr>
                <w:rFonts w:eastAsia="Times New Roman" w:cs="Calibri"/>
                <w:noProof/>
              </w:rPr>
            </w:pPr>
            <w:r>
              <w:rPr>
                <w:noProof/>
              </w:rPr>
              <w:t>Mājas atbalsta pakalpojumu lietotāji un darbinieki, kas saņem piekļuvi planšetdatoriem un citām IT un sakaru iekārtām, tehniskās palīdzības aprīkojumam vai apmācībai.</w:t>
            </w:r>
          </w:p>
        </w:tc>
        <w:tc>
          <w:tcPr>
            <w:tcW w:w="1486" w:type="dxa"/>
            <w:shd w:val="clear" w:color="auto" w:fill="C4EFCE"/>
            <w:vAlign w:val="center"/>
            <w:hideMark/>
          </w:tcPr>
          <w:p w14:paraId="355D3959"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46DD450"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1476D7C2"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E3FE706" w14:textId="7F5C4600" w:rsidR="00776A1F" w:rsidRDefault="00D8574B">
            <w:pPr>
              <w:pStyle w:val="P68B1DB1-Normal8"/>
              <w:spacing w:after="0" w:line="240" w:lineRule="auto"/>
              <w:jc w:val="center"/>
              <w:rPr>
                <w:rFonts w:eastAsia="Times New Roman" w:cs="Calibri"/>
                <w:noProof/>
              </w:rPr>
            </w:pPr>
            <w:r>
              <w:rPr>
                <w:noProof/>
              </w:rPr>
              <w:t>63 825</w:t>
            </w:r>
          </w:p>
        </w:tc>
        <w:tc>
          <w:tcPr>
            <w:tcW w:w="680" w:type="dxa"/>
            <w:shd w:val="clear" w:color="auto" w:fill="C4EFCE"/>
            <w:vAlign w:val="center"/>
            <w:hideMark/>
          </w:tcPr>
          <w:p w14:paraId="648E97D6" w14:textId="77777777" w:rsidR="00776A1F" w:rsidRDefault="00D8574B">
            <w:pPr>
              <w:pStyle w:val="P68B1DB1-Normal8"/>
              <w:spacing w:after="0" w:line="240" w:lineRule="auto"/>
              <w:jc w:val="center"/>
              <w:rPr>
                <w:rFonts w:eastAsia="Times New Roman" w:cs="Calibri"/>
                <w:noProof/>
              </w:rPr>
            </w:pPr>
            <w:r>
              <w:rPr>
                <w:noProof/>
              </w:rPr>
              <w:t>1. CET.</w:t>
            </w:r>
          </w:p>
        </w:tc>
        <w:tc>
          <w:tcPr>
            <w:tcW w:w="845" w:type="dxa"/>
            <w:shd w:val="clear" w:color="auto" w:fill="C4EFCE"/>
            <w:vAlign w:val="center"/>
            <w:hideMark/>
          </w:tcPr>
          <w:p w14:paraId="4D63D198" w14:textId="77777777" w:rsidR="00776A1F" w:rsidRDefault="00D8574B">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096CA0CB" w14:textId="5268AE85" w:rsidR="00776A1F" w:rsidRDefault="00D8574B">
            <w:pPr>
              <w:pStyle w:val="P68B1DB1-Normal8"/>
              <w:spacing w:after="0" w:line="240" w:lineRule="auto"/>
              <w:jc w:val="both"/>
              <w:rPr>
                <w:rFonts w:eastAsia="Times New Roman" w:cs="Calibri"/>
                <w:noProof/>
              </w:rPr>
            </w:pPr>
            <w:r>
              <w:rPr>
                <w:noProof/>
              </w:rPr>
              <w:t>To lietotāju vai darbinieku skaits, kuri saņem piekļuvi vismaz planšetdatoram un citam IT un komunikācijas aprīkojumam vai tehniskās palīdzības aprīkojumam vai apmācībai.</w:t>
            </w:r>
          </w:p>
        </w:tc>
      </w:tr>
      <w:tr w:rsidR="00776A1F" w14:paraId="40CC812A" w14:textId="77777777">
        <w:trPr>
          <w:trHeight w:val="509"/>
        </w:trPr>
        <w:tc>
          <w:tcPr>
            <w:tcW w:w="1124" w:type="dxa"/>
            <w:shd w:val="clear" w:color="auto" w:fill="C5EFCE"/>
            <w:vAlign w:val="center"/>
            <w:hideMark/>
          </w:tcPr>
          <w:p w14:paraId="59E59251" w14:textId="6D4000F0" w:rsidR="00776A1F" w:rsidRDefault="00D8574B">
            <w:pPr>
              <w:pStyle w:val="P68B1DB1-Normal7"/>
              <w:spacing w:after="0" w:line="240" w:lineRule="auto"/>
              <w:jc w:val="center"/>
              <w:rPr>
                <w:rFonts w:eastAsia="Times New Roman" w:cs="Calibri"/>
                <w:noProof/>
              </w:rPr>
            </w:pPr>
            <w:r>
              <w:rPr>
                <w:noProof/>
              </w:rPr>
              <w:t>3.6</w:t>
            </w:r>
          </w:p>
        </w:tc>
        <w:tc>
          <w:tcPr>
            <w:tcW w:w="1143" w:type="dxa"/>
            <w:shd w:val="clear" w:color="auto" w:fill="C4EFCE"/>
            <w:vAlign w:val="center"/>
            <w:hideMark/>
          </w:tcPr>
          <w:p w14:paraId="572B0C95" w14:textId="77777777" w:rsidR="00776A1F" w:rsidRDefault="00D8574B">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98EA432" w14:textId="77777777" w:rsidR="00776A1F" w:rsidRDefault="00D8574B">
            <w:pPr>
              <w:pStyle w:val="P68B1DB1-Normal8"/>
              <w:spacing w:after="0" w:line="240" w:lineRule="auto"/>
              <w:jc w:val="center"/>
              <w:rPr>
                <w:rFonts w:eastAsia="Times New Roman" w:cs="Calibri"/>
                <w:noProof/>
              </w:rPr>
            </w:pPr>
            <w:r>
              <w:rPr>
                <w:noProof/>
              </w:rPr>
              <w:t> T</w:t>
            </w:r>
          </w:p>
        </w:tc>
        <w:tc>
          <w:tcPr>
            <w:tcW w:w="1740" w:type="dxa"/>
            <w:shd w:val="clear" w:color="auto" w:fill="C4EFCE"/>
            <w:vAlign w:val="center"/>
            <w:hideMark/>
          </w:tcPr>
          <w:p w14:paraId="603DD380" w14:textId="77777777" w:rsidR="00776A1F" w:rsidRDefault="00D8574B">
            <w:pPr>
              <w:pStyle w:val="P68B1DB1-Normal8"/>
              <w:spacing w:after="0" w:line="240" w:lineRule="auto"/>
              <w:jc w:val="center"/>
              <w:rPr>
                <w:rFonts w:eastAsia="Times New Roman" w:cs="Calibri"/>
                <w:noProof/>
              </w:rPr>
            </w:pPr>
            <w:r>
              <w:rPr>
                <w:noProof/>
              </w:rPr>
              <w:t>Mājokļi ar uzlabotu pieejamību cilvēkiem ar ierobežotām pārvietošanās spējām</w:t>
            </w:r>
          </w:p>
        </w:tc>
        <w:tc>
          <w:tcPr>
            <w:tcW w:w="1486" w:type="dxa"/>
            <w:shd w:val="clear" w:color="auto" w:fill="C4EFCE"/>
            <w:vAlign w:val="center"/>
            <w:hideMark/>
          </w:tcPr>
          <w:p w14:paraId="3EE7BE53"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B7D5469"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721C2D50"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3E0348DA" w14:textId="77777777" w:rsidR="00776A1F" w:rsidRDefault="00D8574B">
            <w:pPr>
              <w:pStyle w:val="P68B1DB1-Normal8"/>
              <w:spacing w:after="0" w:line="240" w:lineRule="auto"/>
              <w:jc w:val="center"/>
              <w:rPr>
                <w:rFonts w:eastAsia="Times New Roman" w:cs="Calibri"/>
                <w:noProof/>
              </w:rPr>
            </w:pPr>
            <w:r>
              <w:rPr>
                <w:noProof/>
              </w:rPr>
              <w:t>190</w:t>
            </w:r>
          </w:p>
        </w:tc>
        <w:tc>
          <w:tcPr>
            <w:tcW w:w="680" w:type="dxa"/>
            <w:shd w:val="clear" w:color="auto" w:fill="C4EFCE"/>
            <w:vAlign w:val="center"/>
            <w:hideMark/>
          </w:tcPr>
          <w:p w14:paraId="1F0EB787" w14:textId="77777777" w:rsidR="00776A1F" w:rsidRDefault="00D8574B">
            <w:pPr>
              <w:pStyle w:val="P68B1DB1-Normal8"/>
              <w:spacing w:after="0" w:line="240" w:lineRule="auto"/>
              <w:jc w:val="center"/>
              <w:rPr>
                <w:rFonts w:eastAsia="Times New Roman" w:cs="Calibri"/>
                <w:noProof/>
              </w:rPr>
            </w:pPr>
            <w:r>
              <w:rPr>
                <w:noProof/>
              </w:rPr>
              <w:t>2. CET.</w:t>
            </w:r>
          </w:p>
        </w:tc>
        <w:tc>
          <w:tcPr>
            <w:tcW w:w="845" w:type="dxa"/>
            <w:shd w:val="clear" w:color="auto" w:fill="C4EFCE"/>
            <w:vAlign w:val="center"/>
            <w:hideMark/>
          </w:tcPr>
          <w:p w14:paraId="12A371D7" w14:textId="11F671CD" w:rsidR="00776A1F" w:rsidRDefault="00D8574B">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52F6A3" w14:textId="77777777" w:rsidR="00776A1F" w:rsidRDefault="00D8574B">
            <w:pPr>
              <w:pStyle w:val="P68B1DB1-Normal8"/>
              <w:spacing w:after="0" w:line="240" w:lineRule="auto"/>
              <w:jc w:val="both"/>
              <w:rPr>
                <w:rFonts w:eastAsia="Times New Roman" w:cs="Calibri"/>
                <w:noProof/>
              </w:rPr>
            </w:pPr>
            <w:r>
              <w:rPr>
                <w:noProof/>
              </w:rPr>
              <w:t>To mājokļu skaits (ar vidējo platību 40 m²), kas gūst labumu no intervencēm, kuru mērķis ir uzlabot piekļūstamības apstākļus cilvēkiem ar ierobežotām pārvietošanās spējām.</w:t>
            </w:r>
          </w:p>
        </w:tc>
      </w:tr>
      <w:tr w:rsidR="00776A1F" w14:paraId="105F1008" w14:textId="77777777">
        <w:trPr>
          <w:trHeight w:val="969"/>
        </w:trPr>
        <w:tc>
          <w:tcPr>
            <w:tcW w:w="1124" w:type="dxa"/>
            <w:shd w:val="clear" w:color="auto" w:fill="C5EFCE"/>
            <w:vAlign w:val="center"/>
            <w:hideMark/>
          </w:tcPr>
          <w:p w14:paraId="28A12150" w14:textId="77777777" w:rsidR="00776A1F" w:rsidRDefault="00D8574B">
            <w:pPr>
              <w:pStyle w:val="P68B1DB1-Normal7"/>
              <w:spacing w:after="0" w:line="240" w:lineRule="auto"/>
              <w:jc w:val="center"/>
              <w:rPr>
                <w:rFonts w:eastAsia="Times New Roman" w:cs="Calibri"/>
                <w:noProof/>
              </w:rPr>
            </w:pPr>
            <w:r>
              <w:rPr>
                <w:noProof/>
              </w:rPr>
              <w:t>3.7</w:t>
            </w:r>
          </w:p>
        </w:tc>
        <w:tc>
          <w:tcPr>
            <w:tcW w:w="1143" w:type="dxa"/>
            <w:shd w:val="clear" w:color="auto" w:fill="C4EFCE"/>
            <w:vAlign w:val="center"/>
            <w:hideMark/>
          </w:tcPr>
          <w:p w14:paraId="4887AF7C" w14:textId="77777777" w:rsidR="00776A1F" w:rsidRDefault="00D8574B">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18641572"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2977162" w14:textId="77777777" w:rsidR="00776A1F" w:rsidRDefault="00D8574B">
            <w:pPr>
              <w:pStyle w:val="P68B1DB1-Normal8"/>
              <w:spacing w:after="0" w:line="240" w:lineRule="auto"/>
              <w:jc w:val="center"/>
              <w:rPr>
                <w:rFonts w:eastAsia="Times New Roman" w:cs="Calibri"/>
                <w:noProof/>
              </w:rPr>
            </w:pPr>
            <w:r>
              <w:rPr>
                <w:noProof/>
              </w:rPr>
              <w:t>Mājokļi ar uzlabotu pieejamību cilvēkiem ar ierobežotām pārvietošanās spējām</w:t>
            </w:r>
          </w:p>
        </w:tc>
        <w:tc>
          <w:tcPr>
            <w:tcW w:w="1486" w:type="dxa"/>
            <w:shd w:val="clear" w:color="auto" w:fill="C4EFCE"/>
            <w:vAlign w:val="center"/>
            <w:hideMark/>
          </w:tcPr>
          <w:p w14:paraId="16E59492"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08161F6"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7E97C154" w14:textId="77777777" w:rsidR="00776A1F" w:rsidRDefault="00D8574B">
            <w:pPr>
              <w:pStyle w:val="P68B1DB1-Normal8"/>
              <w:spacing w:after="0" w:line="240" w:lineRule="auto"/>
              <w:jc w:val="center"/>
              <w:rPr>
                <w:rFonts w:eastAsia="Times New Roman" w:cs="Calibri"/>
                <w:noProof/>
              </w:rPr>
            </w:pPr>
            <w:r>
              <w:rPr>
                <w:noProof/>
              </w:rPr>
              <w:t>190</w:t>
            </w:r>
          </w:p>
        </w:tc>
        <w:tc>
          <w:tcPr>
            <w:tcW w:w="882" w:type="dxa"/>
            <w:shd w:val="clear" w:color="auto" w:fill="C4EFCE"/>
            <w:vAlign w:val="center"/>
            <w:hideMark/>
          </w:tcPr>
          <w:p w14:paraId="1EE09EBE" w14:textId="77777777" w:rsidR="00776A1F" w:rsidRDefault="00D8574B">
            <w:pPr>
              <w:pStyle w:val="P68B1DB1-Normal8"/>
              <w:spacing w:after="0" w:line="240" w:lineRule="auto"/>
              <w:jc w:val="center"/>
              <w:rPr>
                <w:rFonts w:eastAsia="Times New Roman" w:cs="Calibri"/>
                <w:noProof/>
              </w:rPr>
            </w:pPr>
            <w:r>
              <w:rPr>
                <w:noProof/>
              </w:rPr>
              <w:t>1 000</w:t>
            </w:r>
          </w:p>
        </w:tc>
        <w:tc>
          <w:tcPr>
            <w:tcW w:w="680" w:type="dxa"/>
            <w:shd w:val="clear" w:color="auto" w:fill="C4EFCE"/>
            <w:vAlign w:val="center"/>
            <w:hideMark/>
          </w:tcPr>
          <w:p w14:paraId="2A369B58"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0BF23AEA"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66CAE278" w14:textId="36788C6E" w:rsidR="00776A1F" w:rsidRDefault="00D8574B">
            <w:pPr>
              <w:pStyle w:val="P68B1DB1-Normal8"/>
              <w:spacing w:after="0" w:line="240" w:lineRule="auto"/>
              <w:jc w:val="both"/>
              <w:rPr>
                <w:rFonts w:eastAsia="Times New Roman" w:cs="Calibri"/>
                <w:noProof/>
              </w:rPr>
            </w:pPr>
            <w:r>
              <w:rPr>
                <w:noProof/>
              </w:rPr>
              <w:t xml:space="preserve">To mājokļu skaits (ar vidējo platību 40 m²), kas gūst labumu no intervencēm, kuru mērķis ir uzlabot piekļūstamības apstākļus cilvēkiem ar ierobežotām pārvietošanās spējām. </w:t>
            </w:r>
          </w:p>
        </w:tc>
      </w:tr>
      <w:tr w:rsidR="00776A1F" w14:paraId="0E79D576" w14:textId="77777777">
        <w:trPr>
          <w:trHeight w:val="509"/>
        </w:trPr>
        <w:tc>
          <w:tcPr>
            <w:tcW w:w="1124" w:type="dxa"/>
            <w:shd w:val="clear" w:color="auto" w:fill="C5EFCE"/>
            <w:vAlign w:val="center"/>
            <w:hideMark/>
          </w:tcPr>
          <w:p w14:paraId="29F6AEBE" w14:textId="77777777" w:rsidR="00776A1F" w:rsidRDefault="00D8574B">
            <w:pPr>
              <w:pStyle w:val="P68B1DB1-Normal7"/>
              <w:spacing w:after="0" w:line="240" w:lineRule="auto"/>
              <w:jc w:val="center"/>
              <w:rPr>
                <w:rFonts w:eastAsia="Times New Roman" w:cs="Calibri"/>
                <w:noProof/>
              </w:rPr>
            </w:pPr>
            <w:r>
              <w:rPr>
                <w:noProof/>
              </w:rPr>
              <w:t>3.8</w:t>
            </w:r>
          </w:p>
        </w:tc>
        <w:tc>
          <w:tcPr>
            <w:tcW w:w="1143" w:type="dxa"/>
            <w:shd w:val="clear" w:color="auto" w:fill="C4EFCE"/>
            <w:vAlign w:val="center"/>
            <w:hideMark/>
          </w:tcPr>
          <w:p w14:paraId="779A6C76" w14:textId="77777777" w:rsidR="00776A1F" w:rsidRDefault="00D8574B">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7A3FE8F8"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0D966E9" w14:textId="77777777" w:rsidR="00776A1F" w:rsidRDefault="00D8574B">
            <w:pPr>
              <w:pStyle w:val="P68B1DB1-Normal8"/>
              <w:spacing w:after="0" w:line="240" w:lineRule="auto"/>
              <w:jc w:val="center"/>
              <w:rPr>
                <w:rFonts w:eastAsia="Times New Roman" w:cs="Calibri"/>
                <w:noProof/>
              </w:rPr>
            </w:pPr>
            <w:r>
              <w:rPr>
                <w:noProof/>
              </w:rPr>
              <w:t xml:space="preserve">Sabiedriskā telpa ar uzlabotu pieejamību cilvēkiem ar ierobežotām pārvietošanās spējām </w:t>
            </w:r>
          </w:p>
        </w:tc>
        <w:tc>
          <w:tcPr>
            <w:tcW w:w="1486" w:type="dxa"/>
            <w:shd w:val="clear" w:color="auto" w:fill="C4EFCE"/>
            <w:vAlign w:val="center"/>
            <w:hideMark/>
          </w:tcPr>
          <w:p w14:paraId="2F4DB304"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D96709"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7952ADA7"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3DCDF0B" w14:textId="3EC07D00" w:rsidR="00776A1F" w:rsidRDefault="00D8574B">
            <w:pPr>
              <w:pStyle w:val="P68B1DB1-Normal8"/>
              <w:spacing w:after="0" w:line="240" w:lineRule="auto"/>
              <w:jc w:val="center"/>
              <w:rPr>
                <w:rFonts w:eastAsia="Times New Roman" w:cs="Calibri"/>
                <w:noProof/>
              </w:rPr>
            </w:pPr>
            <w:r>
              <w:rPr>
                <w:noProof/>
              </w:rPr>
              <w:t>200 000</w:t>
            </w:r>
          </w:p>
        </w:tc>
        <w:tc>
          <w:tcPr>
            <w:tcW w:w="680" w:type="dxa"/>
            <w:shd w:val="clear" w:color="auto" w:fill="C4EFCE"/>
            <w:vAlign w:val="center"/>
            <w:hideMark/>
          </w:tcPr>
          <w:p w14:paraId="7B65A11A"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04E2693F"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CEC40AB" w14:textId="77777777" w:rsidR="00776A1F" w:rsidRDefault="00D8574B">
            <w:pPr>
              <w:pStyle w:val="P68B1DB1-Normal8"/>
              <w:spacing w:after="0" w:line="240" w:lineRule="auto"/>
              <w:jc w:val="both"/>
              <w:rPr>
                <w:rFonts w:eastAsia="Times New Roman" w:cs="Calibri"/>
                <w:noProof/>
              </w:rPr>
            </w:pPr>
            <w:r>
              <w:rPr>
                <w:noProof/>
              </w:rPr>
              <w:t>Sabiedriskās telpas platība (kvadrāles, sānu kājas u. c.) kvadrātmetros, kas gūst labumu no intervencēm (galvenokārt gājēju celiņu izlīdzināšana, šķērsojot ceļus, regulējot satiksmi, mainot infrastruktūru un ielu mēbeles, uzlabojot piekļuvi ēkām), lai uzlabotu pieejamības apstākļus cilvēkiem ar ierobežotām pārvietošanās spējām.</w:t>
            </w:r>
          </w:p>
        </w:tc>
      </w:tr>
      <w:tr w:rsidR="00776A1F" w14:paraId="5F588498" w14:textId="77777777">
        <w:trPr>
          <w:trHeight w:val="1120"/>
        </w:trPr>
        <w:tc>
          <w:tcPr>
            <w:tcW w:w="1124" w:type="dxa"/>
            <w:shd w:val="clear" w:color="auto" w:fill="C5EFCE"/>
            <w:vAlign w:val="center"/>
            <w:hideMark/>
          </w:tcPr>
          <w:p w14:paraId="36901FF3" w14:textId="77777777" w:rsidR="00776A1F" w:rsidRDefault="00D8574B">
            <w:pPr>
              <w:pStyle w:val="P68B1DB1-Normal7"/>
              <w:spacing w:after="0" w:line="240" w:lineRule="auto"/>
              <w:jc w:val="center"/>
              <w:rPr>
                <w:rFonts w:eastAsia="Times New Roman" w:cs="Calibri"/>
                <w:noProof/>
              </w:rPr>
            </w:pPr>
            <w:r>
              <w:rPr>
                <w:noProof/>
              </w:rPr>
              <w:t>3.9</w:t>
            </w:r>
          </w:p>
        </w:tc>
        <w:tc>
          <w:tcPr>
            <w:tcW w:w="1143" w:type="dxa"/>
            <w:shd w:val="clear" w:color="auto" w:fill="C4EFCE"/>
            <w:vAlign w:val="center"/>
            <w:hideMark/>
          </w:tcPr>
          <w:p w14:paraId="52268B9C" w14:textId="77777777" w:rsidR="00776A1F" w:rsidRDefault="00D8574B">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BC6D3D0"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5B89ADF" w14:textId="77777777" w:rsidR="00776A1F" w:rsidRDefault="00D8574B">
            <w:pPr>
              <w:pStyle w:val="P68B1DB1-Normal8"/>
              <w:spacing w:after="0" w:line="240" w:lineRule="auto"/>
              <w:jc w:val="center"/>
              <w:rPr>
                <w:rFonts w:eastAsia="Times New Roman" w:cs="Calibri"/>
                <w:noProof/>
              </w:rPr>
            </w:pPr>
            <w:r>
              <w:rPr>
                <w:noProof/>
              </w:rPr>
              <w:t xml:space="preserve">Sabiedriskie pakalpojumi ar uzlabotu pieejamību cilvēkiem ar ierobežotām pārvietošanās spējām </w:t>
            </w:r>
          </w:p>
        </w:tc>
        <w:tc>
          <w:tcPr>
            <w:tcW w:w="1486" w:type="dxa"/>
            <w:shd w:val="clear" w:color="auto" w:fill="C4EFCE"/>
            <w:vAlign w:val="center"/>
            <w:hideMark/>
          </w:tcPr>
          <w:p w14:paraId="161A1B5B"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2982A55"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229CC22B"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2D1A371" w14:textId="77777777" w:rsidR="00776A1F" w:rsidRDefault="00D8574B">
            <w:pPr>
              <w:pStyle w:val="P68B1DB1-Normal8"/>
              <w:spacing w:after="0" w:line="240" w:lineRule="auto"/>
              <w:jc w:val="center"/>
              <w:rPr>
                <w:rFonts w:eastAsia="Times New Roman" w:cs="Calibri"/>
                <w:noProof/>
              </w:rPr>
            </w:pPr>
            <w:r>
              <w:rPr>
                <w:noProof/>
              </w:rPr>
              <w:t>1 500</w:t>
            </w:r>
          </w:p>
        </w:tc>
        <w:tc>
          <w:tcPr>
            <w:tcW w:w="680" w:type="dxa"/>
            <w:shd w:val="clear" w:color="auto" w:fill="C4EFCE"/>
            <w:vAlign w:val="center"/>
            <w:hideMark/>
          </w:tcPr>
          <w:p w14:paraId="6F782341"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6EED6288"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3E9E73B" w14:textId="77777777" w:rsidR="00776A1F" w:rsidRDefault="00D8574B">
            <w:pPr>
              <w:pStyle w:val="P68B1DB1-Normal8"/>
              <w:spacing w:after="0" w:line="240" w:lineRule="auto"/>
              <w:jc w:val="both"/>
              <w:rPr>
                <w:rFonts w:eastAsia="Times New Roman" w:cs="Calibri"/>
                <w:noProof/>
              </w:rPr>
            </w:pPr>
            <w:r>
              <w:rPr>
                <w:noProof/>
              </w:rPr>
              <w:t xml:space="preserve">To sabiedrisko pakalpojumu objektu skaits, kas gūst labumu no intervencēm (galvenokārt rampas un piekļuves durvis ēkām, pievedceļiem un sanitārajām telpām, kas pieņemtas personām ar invaliditāti), lai uzlabotu pieejamības nosacījumus cilvēkiem ar ierobežotām pārvietošanās spējām. </w:t>
            </w:r>
          </w:p>
        </w:tc>
      </w:tr>
      <w:tr w:rsidR="00776A1F" w14:paraId="69D82E93" w14:textId="77777777">
        <w:trPr>
          <w:trHeight w:val="1395"/>
        </w:trPr>
        <w:tc>
          <w:tcPr>
            <w:tcW w:w="1124" w:type="dxa"/>
            <w:shd w:val="clear" w:color="auto" w:fill="C5EFCE"/>
            <w:vAlign w:val="center"/>
            <w:hideMark/>
          </w:tcPr>
          <w:p w14:paraId="61E3A3F7" w14:textId="77777777" w:rsidR="00776A1F" w:rsidRDefault="00D8574B">
            <w:pPr>
              <w:pStyle w:val="P68B1DB1-Normal7"/>
              <w:spacing w:after="0" w:line="240" w:lineRule="auto"/>
              <w:jc w:val="center"/>
              <w:rPr>
                <w:rFonts w:eastAsia="Times New Roman" w:cs="Calibri"/>
                <w:noProof/>
              </w:rPr>
            </w:pPr>
            <w:r>
              <w:rPr>
                <w:noProof/>
              </w:rPr>
              <w:t>3.10</w:t>
            </w:r>
          </w:p>
        </w:tc>
        <w:tc>
          <w:tcPr>
            <w:tcW w:w="1143" w:type="dxa"/>
            <w:shd w:val="clear" w:color="auto" w:fill="C4EFCE"/>
            <w:vAlign w:val="center"/>
            <w:hideMark/>
          </w:tcPr>
          <w:p w14:paraId="75163862" w14:textId="77777777" w:rsidR="00776A1F" w:rsidRDefault="00D8574B">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707DF8E4"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BC2353F" w14:textId="04A2B32C" w:rsidR="00776A1F" w:rsidRDefault="00D8574B">
            <w:pPr>
              <w:pStyle w:val="P68B1DB1-Normal8"/>
              <w:spacing w:after="0" w:line="240" w:lineRule="auto"/>
              <w:jc w:val="center"/>
              <w:rPr>
                <w:rFonts w:eastAsia="Times New Roman" w:cs="Calibri"/>
                <w:noProof/>
              </w:rPr>
            </w:pPr>
            <w:r>
              <w:rPr>
                <w:noProof/>
              </w:rPr>
              <w:t xml:space="preserve">Jaunas un rehabilitētas vietas dzīvojamās un nedzīvojamās aprūpes iestādēs </w:t>
            </w:r>
          </w:p>
        </w:tc>
        <w:tc>
          <w:tcPr>
            <w:tcW w:w="1486" w:type="dxa"/>
            <w:shd w:val="clear" w:color="auto" w:fill="C4EFCE"/>
            <w:vAlign w:val="center"/>
            <w:hideMark/>
          </w:tcPr>
          <w:p w14:paraId="54817373"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536DA26"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245B8F57"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796C489" w14:textId="77777777" w:rsidR="00776A1F" w:rsidRDefault="00D8574B">
            <w:pPr>
              <w:pStyle w:val="P68B1DB1-Normal8"/>
              <w:spacing w:after="0" w:line="240" w:lineRule="auto"/>
              <w:jc w:val="center"/>
              <w:rPr>
                <w:rFonts w:eastAsia="Times New Roman" w:cs="Calibri"/>
                <w:noProof/>
              </w:rPr>
            </w:pPr>
            <w:r>
              <w:rPr>
                <w:noProof/>
              </w:rPr>
              <w:t>910</w:t>
            </w:r>
          </w:p>
        </w:tc>
        <w:tc>
          <w:tcPr>
            <w:tcW w:w="680" w:type="dxa"/>
            <w:shd w:val="clear" w:color="auto" w:fill="C4EFCE"/>
            <w:vAlign w:val="center"/>
            <w:hideMark/>
          </w:tcPr>
          <w:p w14:paraId="1DFEA3FF" w14:textId="13AEB4A7" w:rsidR="00776A1F" w:rsidRDefault="00D8574B">
            <w:pPr>
              <w:pStyle w:val="P68B1DB1-Normal8"/>
              <w:spacing w:after="0" w:line="240" w:lineRule="auto"/>
              <w:jc w:val="center"/>
              <w:rPr>
                <w:rFonts w:eastAsia="Times New Roman" w:cs="Calibri"/>
                <w:noProof/>
              </w:rPr>
            </w:pPr>
            <w:r>
              <w:rPr>
                <w:noProof/>
              </w:rPr>
              <w:t>3. CET.</w:t>
            </w:r>
          </w:p>
        </w:tc>
        <w:tc>
          <w:tcPr>
            <w:tcW w:w="845" w:type="dxa"/>
            <w:shd w:val="clear" w:color="auto" w:fill="C4EFCE"/>
            <w:vAlign w:val="center"/>
            <w:hideMark/>
          </w:tcPr>
          <w:p w14:paraId="4CE63A83" w14:textId="65E00CC5"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75F9B5E" w14:textId="7A69E91F" w:rsidR="00776A1F" w:rsidRDefault="00D8574B">
            <w:pPr>
              <w:pStyle w:val="P68B1DB1-Normal8"/>
              <w:spacing w:after="0" w:line="240" w:lineRule="auto"/>
              <w:jc w:val="both"/>
              <w:rPr>
                <w:rFonts w:eastAsia="Times New Roman" w:cs="Calibri"/>
                <w:noProof/>
              </w:rPr>
            </w:pPr>
            <w:r>
              <w:rPr>
                <w:noProof/>
              </w:rPr>
              <w:t>Jauno un atjaunoto vietu skaits, kas pieejamas dzīvojamās un nedzīvojamās aprūpes iestādēs (tostarp dienas centros un nakts centros) Madeiras autonomajā reģionā. Jaunu ēku primārās enerģijas pieprasījums ir vismaz par 20 % zemāks par prasībām, kas noteiktas gandrīz nulles enerģijas ēkām, un atjaunotām ēkām ir uzlabots energosniegums.</w:t>
            </w:r>
          </w:p>
        </w:tc>
      </w:tr>
      <w:tr w:rsidR="00776A1F" w14:paraId="707B112D" w14:textId="77777777">
        <w:trPr>
          <w:trHeight w:val="821"/>
        </w:trPr>
        <w:tc>
          <w:tcPr>
            <w:tcW w:w="1124" w:type="dxa"/>
            <w:shd w:val="clear" w:color="auto" w:fill="C5EFCE"/>
            <w:vAlign w:val="center"/>
            <w:hideMark/>
          </w:tcPr>
          <w:p w14:paraId="257FBDE8" w14:textId="77777777" w:rsidR="00776A1F" w:rsidRDefault="00D8574B">
            <w:pPr>
              <w:pStyle w:val="P68B1DB1-Normal7"/>
              <w:spacing w:after="0" w:line="240" w:lineRule="auto"/>
              <w:jc w:val="center"/>
              <w:rPr>
                <w:rFonts w:eastAsia="Times New Roman" w:cs="Calibri"/>
                <w:noProof/>
              </w:rPr>
            </w:pPr>
            <w:r>
              <w:rPr>
                <w:noProof/>
              </w:rPr>
              <w:t>3.11</w:t>
            </w:r>
          </w:p>
        </w:tc>
        <w:tc>
          <w:tcPr>
            <w:tcW w:w="1143" w:type="dxa"/>
            <w:shd w:val="clear" w:color="auto" w:fill="C4EFCE"/>
            <w:vAlign w:val="center"/>
            <w:hideMark/>
          </w:tcPr>
          <w:p w14:paraId="30A53477" w14:textId="77777777" w:rsidR="00776A1F" w:rsidRDefault="00D8574B">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4CDA8223"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5BF4870" w14:textId="0787763E" w:rsidR="00776A1F" w:rsidRDefault="00D8574B">
            <w:pPr>
              <w:pStyle w:val="P68B1DB1-Normal8"/>
              <w:spacing w:after="0" w:line="240" w:lineRule="auto"/>
              <w:jc w:val="center"/>
              <w:rPr>
                <w:rFonts w:eastAsia="Times New Roman" w:cs="Calibri"/>
                <w:noProof/>
              </w:rPr>
            </w:pPr>
            <w:r>
              <w:rPr>
                <w:noProof/>
              </w:rPr>
              <w:t>Dzīves plāni bezpajumtnieku integrācijai.</w:t>
            </w:r>
          </w:p>
        </w:tc>
        <w:tc>
          <w:tcPr>
            <w:tcW w:w="1486" w:type="dxa"/>
            <w:shd w:val="clear" w:color="auto" w:fill="C4EFCE"/>
            <w:vAlign w:val="center"/>
            <w:hideMark/>
          </w:tcPr>
          <w:p w14:paraId="464AD4B7"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CF5D34"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11375CE0" w14:textId="77777777" w:rsidR="00776A1F" w:rsidRDefault="00D8574B">
            <w:pPr>
              <w:pStyle w:val="P68B1DB1-Normal8"/>
              <w:spacing w:after="0" w:line="240" w:lineRule="auto"/>
              <w:jc w:val="center"/>
              <w:rPr>
                <w:rFonts w:eastAsia="Times New Roman" w:cs="Calibri"/>
                <w:noProof/>
              </w:rPr>
            </w:pPr>
            <w:r>
              <w:rPr>
                <w:noProof/>
              </w:rPr>
              <w:t> 0</w:t>
            </w:r>
          </w:p>
        </w:tc>
        <w:tc>
          <w:tcPr>
            <w:tcW w:w="882" w:type="dxa"/>
            <w:shd w:val="clear" w:color="auto" w:fill="C4EFCE"/>
            <w:vAlign w:val="center"/>
            <w:hideMark/>
          </w:tcPr>
          <w:p w14:paraId="13F2ADB5" w14:textId="77777777" w:rsidR="00776A1F" w:rsidRDefault="00D8574B">
            <w:pPr>
              <w:pStyle w:val="P68B1DB1-Normal8"/>
              <w:spacing w:after="0" w:line="240" w:lineRule="auto"/>
              <w:jc w:val="center"/>
              <w:rPr>
                <w:rFonts w:eastAsia="Times New Roman" w:cs="Calibri"/>
                <w:noProof/>
              </w:rPr>
            </w:pPr>
            <w:r>
              <w:rPr>
                <w:noProof/>
              </w:rPr>
              <w:t>20</w:t>
            </w:r>
          </w:p>
        </w:tc>
        <w:tc>
          <w:tcPr>
            <w:tcW w:w="680" w:type="dxa"/>
            <w:shd w:val="clear" w:color="auto" w:fill="C4EFCE"/>
            <w:vAlign w:val="center"/>
            <w:hideMark/>
          </w:tcPr>
          <w:p w14:paraId="5FFEB24C"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490AFAA1" w14:textId="77777777" w:rsidR="00776A1F" w:rsidRDefault="00D8574B">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453DD757" w14:textId="33BC55B8" w:rsidR="00776A1F" w:rsidRDefault="00D8574B">
            <w:pPr>
              <w:pStyle w:val="P68B1DB1-Normal8"/>
              <w:spacing w:after="0" w:line="240" w:lineRule="auto"/>
              <w:jc w:val="both"/>
              <w:rPr>
                <w:rFonts w:eastAsia="Times New Roman" w:cs="Calibri"/>
                <w:noProof/>
              </w:rPr>
            </w:pPr>
            <w:r>
              <w:rPr>
                <w:noProof/>
              </w:rPr>
              <w:t xml:space="preserve">Parakstīto dzīves plānu skaits bezpajumtnieku integrācijai. </w:t>
            </w:r>
          </w:p>
        </w:tc>
      </w:tr>
      <w:tr w:rsidR="00776A1F" w14:paraId="5D7D39EC" w14:textId="77777777">
        <w:trPr>
          <w:trHeight w:val="1105"/>
        </w:trPr>
        <w:tc>
          <w:tcPr>
            <w:tcW w:w="1124" w:type="dxa"/>
            <w:shd w:val="clear" w:color="auto" w:fill="C5EFCE"/>
            <w:vAlign w:val="center"/>
          </w:tcPr>
          <w:p w14:paraId="0F0EA38A" w14:textId="312A5487" w:rsidR="00776A1F" w:rsidRDefault="00D8574B">
            <w:pPr>
              <w:pStyle w:val="P68B1DB1-Normal7"/>
              <w:spacing w:after="0" w:line="240" w:lineRule="auto"/>
              <w:jc w:val="center"/>
              <w:rPr>
                <w:rFonts w:eastAsia="Times New Roman" w:cs="Calibri"/>
                <w:noProof/>
              </w:rPr>
            </w:pPr>
            <w:r>
              <w:rPr>
                <w:noProof/>
              </w:rPr>
              <w:t>3.27</w:t>
            </w:r>
          </w:p>
        </w:tc>
        <w:tc>
          <w:tcPr>
            <w:tcW w:w="1143" w:type="dxa"/>
            <w:shd w:val="clear" w:color="auto" w:fill="C4EFCE"/>
            <w:vAlign w:val="center"/>
          </w:tcPr>
          <w:p w14:paraId="3FA49D08" w14:textId="0B592BB4" w:rsidR="00776A1F" w:rsidRDefault="00D8574B">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tcPr>
          <w:p w14:paraId="292902B7" w14:textId="13929E9E"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tcPr>
          <w:p w14:paraId="2559F2E9" w14:textId="37016788" w:rsidR="00776A1F" w:rsidRDefault="00D8574B">
            <w:pPr>
              <w:pStyle w:val="P68B1DB1-Normal8"/>
              <w:spacing w:after="0" w:line="240" w:lineRule="auto"/>
              <w:jc w:val="center"/>
              <w:rPr>
                <w:rFonts w:eastAsia="Times New Roman" w:cs="Calibri"/>
                <w:noProof/>
              </w:rPr>
            </w:pPr>
            <w:r>
              <w:rPr>
                <w:noProof/>
              </w:rPr>
              <w:t>Vietu skaits aprūpes namos, kas atbalsta bezpajumtniekus</w:t>
            </w:r>
          </w:p>
        </w:tc>
        <w:tc>
          <w:tcPr>
            <w:tcW w:w="1486" w:type="dxa"/>
            <w:shd w:val="clear" w:color="auto" w:fill="C4EFCE"/>
            <w:vAlign w:val="center"/>
          </w:tcPr>
          <w:p w14:paraId="06C8929D" w14:textId="77777777" w:rsidR="00776A1F" w:rsidRDefault="00776A1F">
            <w:pPr>
              <w:spacing w:after="0" w:line="240" w:lineRule="auto"/>
              <w:jc w:val="center"/>
              <w:rPr>
                <w:rFonts w:ascii="Calibri" w:eastAsia="Times New Roman" w:hAnsi="Calibri" w:cs="Calibri"/>
                <w:noProof/>
                <w:sz w:val="16"/>
              </w:rPr>
            </w:pPr>
          </w:p>
        </w:tc>
        <w:tc>
          <w:tcPr>
            <w:tcW w:w="1014" w:type="dxa"/>
            <w:shd w:val="clear" w:color="auto" w:fill="C4EFCE"/>
            <w:vAlign w:val="center"/>
          </w:tcPr>
          <w:p w14:paraId="57AD4CD4" w14:textId="1F41F955"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tcPr>
          <w:p w14:paraId="2E6938E8" w14:textId="74AF9E43"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tcPr>
          <w:p w14:paraId="15B8F899" w14:textId="776DB2B8" w:rsidR="00776A1F" w:rsidRDefault="00D8574B">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tcPr>
          <w:p w14:paraId="7425B0AA" w14:textId="34EAD914"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tcPr>
          <w:p w14:paraId="64F7549B" w14:textId="0738F9EF"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tcPr>
          <w:p w14:paraId="56B65A2B" w14:textId="77777777" w:rsidR="00776A1F" w:rsidRDefault="00D8574B">
            <w:pPr>
              <w:pStyle w:val="P68B1DB1-Normal8"/>
              <w:spacing w:after="0" w:line="240" w:lineRule="auto"/>
              <w:jc w:val="both"/>
              <w:rPr>
                <w:rFonts w:eastAsia="Times New Roman" w:cs="Calibri"/>
                <w:noProof/>
              </w:rPr>
            </w:pPr>
            <w:r>
              <w:rPr>
                <w:noProof/>
              </w:rPr>
              <w:t>Vietu skaits, kas izveidotas aprūpes centros bezpajumtnieku atbalstam.</w:t>
            </w:r>
          </w:p>
          <w:p w14:paraId="7F75990B" w14:textId="2CADF931" w:rsidR="00776A1F" w:rsidRDefault="00D8574B">
            <w:pPr>
              <w:pStyle w:val="P68B1DB1-Normal8"/>
              <w:spacing w:after="0" w:line="240" w:lineRule="auto"/>
              <w:jc w:val="both"/>
              <w:rPr>
                <w:rFonts w:eastAsia="Times New Roman" w:cs="Calibri"/>
                <w:noProof/>
              </w:rPr>
            </w:pPr>
            <w:r>
              <w:rPr>
                <w:noProof/>
              </w:rPr>
              <w:t>Jaunu ēku gadījumā jaunu ēku primārās enerģijas pieprasījums ir vismaz par 20 % zemāks nekā prasības gandrīz nulles enerģijas ēkām.</w:t>
            </w:r>
          </w:p>
        </w:tc>
      </w:tr>
      <w:tr w:rsidR="00776A1F" w14:paraId="03AF048D" w14:textId="77777777">
        <w:trPr>
          <w:trHeight w:val="1142"/>
        </w:trPr>
        <w:tc>
          <w:tcPr>
            <w:tcW w:w="1124" w:type="dxa"/>
            <w:shd w:val="clear" w:color="auto" w:fill="C5EFCE"/>
            <w:vAlign w:val="center"/>
            <w:hideMark/>
          </w:tcPr>
          <w:p w14:paraId="3C4ECCC1" w14:textId="77777777" w:rsidR="00776A1F" w:rsidRDefault="00D8574B">
            <w:pPr>
              <w:pStyle w:val="P68B1DB1-Normal7"/>
              <w:spacing w:after="0" w:line="240" w:lineRule="auto"/>
              <w:jc w:val="center"/>
              <w:rPr>
                <w:rFonts w:eastAsia="Times New Roman" w:cs="Calibri"/>
                <w:noProof/>
              </w:rPr>
            </w:pPr>
            <w:r>
              <w:rPr>
                <w:noProof/>
              </w:rPr>
              <w:t>3.12</w:t>
            </w:r>
          </w:p>
        </w:tc>
        <w:tc>
          <w:tcPr>
            <w:tcW w:w="1143" w:type="dxa"/>
            <w:shd w:val="clear" w:color="auto" w:fill="C4EFCE"/>
            <w:vAlign w:val="center"/>
            <w:hideMark/>
          </w:tcPr>
          <w:p w14:paraId="3611E70C" w14:textId="77777777" w:rsidR="00776A1F" w:rsidRDefault="00D8574B">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67D99684"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1703A05" w14:textId="4B599E15" w:rsidR="00776A1F" w:rsidRDefault="00D8574B">
            <w:pPr>
              <w:pStyle w:val="P68B1DB1-Normal8"/>
              <w:spacing w:after="0" w:line="240" w:lineRule="auto"/>
              <w:jc w:val="center"/>
              <w:rPr>
                <w:rFonts w:eastAsia="Times New Roman" w:cs="Calibri"/>
                <w:noProof/>
              </w:rPr>
            </w:pPr>
            <w:r>
              <w:rPr>
                <w:noProof/>
              </w:rPr>
              <w:t>To ģimeņu apmācība, uz kurām attiecas sociālās iekļaušanas ienākumi</w:t>
            </w:r>
          </w:p>
        </w:tc>
        <w:tc>
          <w:tcPr>
            <w:tcW w:w="1486" w:type="dxa"/>
            <w:shd w:val="clear" w:color="auto" w:fill="C4EFCE"/>
            <w:vAlign w:val="center"/>
            <w:hideMark/>
          </w:tcPr>
          <w:p w14:paraId="696E9327"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1027FE"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50DB1988"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06F6395" w14:textId="5B315001" w:rsidR="00776A1F" w:rsidRDefault="00D8574B">
            <w:pPr>
              <w:pStyle w:val="P68B1DB1-Normal8"/>
              <w:spacing w:after="0" w:line="240" w:lineRule="auto"/>
              <w:jc w:val="center"/>
              <w:rPr>
                <w:rFonts w:eastAsia="Times New Roman" w:cs="Calibri"/>
                <w:noProof/>
              </w:rPr>
            </w:pPr>
            <w:r>
              <w:rPr>
                <w:noProof/>
              </w:rPr>
              <w:t>4 000</w:t>
            </w:r>
          </w:p>
        </w:tc>
        <w:tc>
          <w:tcPr>
            <w:tcW w:w="680" w:type="dxa"/>
            <w:shd w:val="clear" w:color="auto" w:fill="C4EFCE"/>
            <w:vAlign w:val="center"/>
            <w:hideMark/>
          </w:tcPr>
          <w:p w14:paraId="4C4BF131"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1870C922"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9E0E49C" w14:textId="20B3C5B6" w:rsidR="00776A1F" w:rsidRDefault="00D8574B">
            <w:pPr>
              <w:pStyle w:val="P68B1DB1-Normal8"/>
              <w:spacing w:after="0" w:line="240" w:lineRule="auto"/>
              <w:jc w:val="both"/>
              <w:rPr>
                <w:rFonts w:eastAsia="Times New Roman" w:cs="Calibri"/>
                <w:noProof/>
              </w:rPr>
            </w:pPr>
            <w:r>
              <w:rPr>
                <w:noProof/>
              </w:rPr>
              <w:t>To personu skaits no ģimenēm, uz kurām attiecas sociālās iekļaušanas ienākumi un kuras apgūst 650 apmācību, lai viņi varētu iekļauties darba tirgū.</w:t>
            </w:r>
          </w:p>
        </w:tc>
      </w:tr>
      <w:tr w:rsidR="00776A1F" w14:paraId="7EC1340A" w14:textId="77777777">
        <w:trPr>
          <w:trHeight w:val="509"/>
        </w:trPr>
        <w:tc>
          <w:tcPr>
            <w:tcW w:w="1124" w:type="dxa"/>
            <w:shd w:val="clear" w:color="auto" w:fill="C5EFCE"/>
            <w:vAlign w:val="center"/>
            <w:hideMark/>
          </w:tcPr>
          <w:p w14:paraId="6C4E3A76" w14:textId="77777777" w:rsidR="00776A1F" w:rsidRDefault="00D8574B">
            <w:pPr>
              <w:pStyle w:val="P68B1DB1-Normal7"/>
              <w:spacing w:after="0" w:line="240" w:lineRule="auto"/>
              <w:jc w:val="center"/>
              <w:rPr>
                <w:rFonts w:eastAsia="Times New Roman" w:cs="Calibri"/>
                <w:noProof/>
              </w:rPr>
            </w:pPr>
            <w:r>
              <w:rPr>
                <w:noProof/>
              </w:rPr>
              <w:t>3.13</w:t>
            </w:r>
          </w:p>
        </w:tc>
        <w:tc>
          <w:tcPr>
            <w:tcW w:w="1143" w:type="dxa"/>
            <w:shd w:val="clear" w:color="auto" w:fill="C4EFCE"/>
            <w:vAlign w:val="center"/>
            <w:hideMark/>
          </w:tcPr>
          <w:p w14:paraId="1025A546" w14:textId="77777777" w:rsidR="00776A1F" w:rsidRDefault="00D8574B">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0F423132"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965F891" w14:textId="0DD7203E" w:rsidR="00776A1F" w:rsidRDefault="00D8574B">
            <w:pPr>
              <w:pStyle w:val="P68B1DB1-Normal8"/>
              <w:spacing w:after="0" w:line="240" w:lineRule="auto"/>
              <w:jc w:val="center"/>
              <w:rPr>
                <w:rFonts w:eastAsia="Times New Roman" w:cs="Calibri"/>
                <w:noProof/>
              </w:rPr>
            </w:pPr>
            <w:r>
              <w:rPr>
                <w:noProof/>
              </w:rPr>
              <w:t>Jaunas vietas cilvēkiem ar invaliditāti aprūpes centros, kas atbalsta cilvēkus ar invaliditāti</w:t>
            </w:r>
          </w:p>
        </w:tc>
        <w:tc>
          <w:tcPr>
            <w:tcW w:w="1486" w:type="dxa"/>
            <w:shd w:val="clear" w:color="auto" w:fill="C4EFCE"/>
            <w:vAlign w:val="center"/>
            <w:hideMark/>
          </w:tcPr>
          <w:p w14:paraId="57FDD5B9"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FD0E92"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6A24D43F"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1EF7398" w14:textId="7D224638" w:rsidR="00776A1F" w:rsidRDefault="00D8574B">
            <w:pPr>
              <w:pStyle w:val="P68B1DB1-Normal8"/>
              <w:spacing w:after="0" w:line="240" w:lineRule="auto"/>
              <w:jc w:val="center"/>
              <w:rPr>
                <w:rFonts w:eastAsia="Times New Roman" w:cs="Calibri"/>
                <w:noProof/>
              </w:rPr>
            </w:pPr>
            <w:r>
              <w:rPr>
                <w:noProof/>
              </w:rPr>
              <w:t>207</w:t>
            </w:r>
          </w:p>
        </w:tc>
        <w:tc>
          <w:tcPr>
            <w:tcW w:w="680" w:type="dxa"/>
            <w:shd w:val="clear" w:color="auto" w:fill="C4EFCE"/>
            <w:vAlign w:val="center"/>
            <w:hideMark/>
          </w:tcPr>
          <w:p w14:paraId="7A32479C" w14:textId="10FC90E4" w:rsidR="00776A1F" w:rsidRDefault="00D8574B">
            <w:pPr>
              <w:pStyle w:val="P68B1DB1-Normal8"/>
              <w:spacing w:after="0" w:line="240" w:lineRule="auto"/>
              <w:jc w:val="center"/>
              <w:rPr>
                <w:rFonts w:eastAsia="Times New Roman" w:cs="Calibri"/>
                <w:noProof/>
              </w:rPr>
            </w:pPr>
            <w:r>
              <w:rPr>
                <w:noProof/>
              </w:rPr>
              <w:t>2. CET.</w:t>
            </w:r>
          </w:p>
        </w:tc>
        <w:tc>
          <w:tcPr>
            <w:tcW w:w="845" w:type="dxa"/>
            <w:shd w:val="clear" w:color="auto" w:fill="C4EFCE"/>
            <w:vAlign w:val="center"/>
            <w:hideMark/>
          </w:tcPr>
          <w:p w14:paraId="75F2311E" w14:textId="444F2E4E" w:rsidR="00776A1F" w:rsidRDefault="00D8574B">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67533911" w14:textId="7F617E1D" w:rsidR="00776A1F" w:rsidRDefault="00D8574B">
            <w:pPr>
              <w:pStyle w:val="P68B1DB1-Normal8"/>
              <w:spacing w:after="0" w:line="240" w:lineRule="auto"/>
              <w:jc w:val="both"/>
              <w:rPr>
                <w:rFonts w:eastAsia="Times New Roman" w:cs="Calibri"/>
                <w:noProof/>
              </w:rPr>
            </w:pPr>
            <w:r>
              <w:rPr>
                <w:noProof/>
              </w:rPr>
              <w:t>Jaunu vietu skaits personām ar invaliditāti aprūpes centros, kas atbalsta cilvēkus ar invaliditāti. Tas ietver četru ēku būvniecību un divu citu ēku pielāgošanu. Jaunu ēku gadījumā jaunu ēku primārās enerģijas pieprasījums ir vismaz par 20 % zemāks nekā prasības gandrīz nulles enerģijas ēkām.</w:t>
            </w:r>
          </w:p>
        </w:tc>
      </w:tr>
      <w:tr w:rsidR="00776A1F" w14:paraId="049083E8" w14:textId="77777777">
        <w:trPr>
          <w:trHeight w:val="1030"/>
        </w:trPr>
        <w:tc>
          <w:tcPr>
            <w:tcW w:w="1124" w:type="dxa"/>
            <w:shd w:val="clear" w:color="auto" w:fill="C5EFCE"/>
            <w:vAlign w:val="center"/>
            <w:hideMark/>
          </w:tcPr>
          <w:p w14:paraId="4D80D6EA" w14:textId="77777777" w:rsidR="00776A1F" w:rsidRDefault="00D8574B">
            <w:pPr>
              <w:pStyle w:val="P68B1DB1-Normal7"/>
              <w:spacing w:after="0" w:line="240" w:lineRule="auto"/>
              <w:jc w:val="center"/>
              <w:rPr>
                <w:rFonts w:eastAsia="Times New Roman" w:cs="Calibri"/>
                <w:noProof/>
              </w:rPr>
            </w:pPr>
            <w:r>
              <w:rPr>
                <w:noProof/>
              </w:rPr>
              <w:t>3.14</w:t>
            </w:r>
          </w:p>
        </w:tc>
        <w:tc>
          <w:tcPr>
            <w:tcW w:w="1143" w:type="dxa"/>
            <w:shd w:val="clear" w:color="auto" w:fill="C4EFCE"/>
            <w:vAlign w:val="center"/>
            <w:hideMark/>
          </w:tcPr>
          <w:p w14:paraId="62C1B356" w14:textId="77777777" w:rsidR="00776A1F" w:rsidRDefault="00D8574B">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3C09CC66"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EF33CF2" w14:textId="06A38392" w:rsidR="00776A1F" w:rsidRDefault="00D8574B">
            <w:pPr>
              <w:pStyle w:val="P68B1DB1-Normal9"/>
              <w:spacing w:after="0" w:line="240" w:lineRule="auto"/>
              <w:jc w:val="center"/>
              <w:rPr>
                <w:rFonts w:eastAsia="Times New Roman" w:cs="Calibri"/>
                <w:noProof/>
                <w:sz w:val="16"/>
              </w:rPr>
            </w:pPr>
            <w:r>
              <w:rPr>
                <w:noProof/>
                <w:sz w:val="16"/>
              </w:rPr>
              <w:t>Instituições Particulares de Solidariedade Social vajadzībām iegādāti transportlīdzekļi</w:t>
            </w:r>
          </w:p>
        </w:tc>
        <w:tc>
          <w:tcPr>
            <w:tcW w:w="1486" w:type="dxa"/>
            <w:shd w:val="clear" w:color="auto" w:fill="C4EFCE"/>
            <w:vAlign w:val="center"/>
            <w:hideMark/>
          </w:tcPr>
          <w:p w14:paraId="3475EC3A"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2AF43E85"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770F38CC"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E02EB10" w14:textId="77777777" w:rsidR="00776A1F" w:rsidRDefault="00D8574B">
            <w:pPr>
              <w:pStyle w:val="P68B1DB1-Normal8"/>
              <w:spacing w:after="0" w:line="240" w:lineRule="auto"/>
              <w:jc w:val="center"/>
              <w:rPr>
                <w:rFonts w:eastAsia="Times New Roman" w:cs="Calibri"/>
                <w:noProof/>
              </w:rPr>
            </w:pPr>
            <w:r>
              <w:rPr>
                <w:noProof/>
              </w:rPr>
              <w:t>100</w:t>
            </w:r>
          </w:p>
        </w:tc>
        <w:tc>
          <w:tcPr>
            <w:tcW w:w="680" w:type="dxa"/>
            <w:shd w:val="clear" w:color="auto" w:fill="C4EFCE"/>
            <w:vAlign w:val="center"/>
            <w:hideMark/>
          </w:tcPr>
          <w:p w14:paraId="71008F83"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3D8E9877"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27BDB15" w14:textId="146CF533" w:rsidR="00776A1F" w:rsidRDefault="00D8574B">
            <w:pPr>
              <w:pStyle w:val="P68B1DB1-Normal9"/>
              <w:spacing w:after="0" w:line="240" w:lineRule="auto"/>
              <w:jc w:val="both"/>
              <w:rPr>
                <w:rFonts w:eastAsia="Times New Roman" w:cs="Calibri"/>
                <w:noProof/>
                <w:sz w:val="16"/>
              </w:rPr>
            </w:pPr>
            <w:r>
              <w:rPr>
                <w:noProof/>
                <w:sz w:val="16"/>
              </w:rPr>
              <w:t>Jauno elektrotransportlīdzekļu skaits, kas piegādāti Instituições</w:t>
            </w:r>
            <w:r>
              <w:rPr>
                <w:noProof/>
              </w:rPr>
              <w:t xml:space="preserve"> </w:t>
            </w:r>
            <w:r>
              <w:rPr>
                <w:noProof/>
                <w:sz w:val="16"/>
              </w:rPr>
              <w:t>Particulares de Solidariedade Social (IPSS) autoparkam.</w:t>
            </w:r>
          </w:p>
        </w:tc>
      </w:tr>
      <w:tr w:rsidR="00776A1F" w14:paraId="19247985" w14:textId="77777777">
        <w:trPr>
          <w:trHeight w:val="430"/>
        </w:trPr>
        <w:tc>
          <w:tcPr>
            <w:tcW w:w="1124" w:type="dxa"/>
            <w:shd w:val="clear" w:color="auto" w:fill="C5EFCE"/>
            <w:vAlign w:val="center"/>
            <w:hideMark/>
          </w:tcPr>
          <w:p w14:paraId="37211580" w14:textId="77777777" w:rsidR="00776A1F" w:rsidRDefault="00D8574B">
            <w:pPr>
              <w:pStyle w:val="P68B1DB1-Normal7"/>
              <w:spacing w:after="0" w:line="240" w:lineRule="auto"/>
              <w:jc w:val="center"/>
              <w:rPr>
                <w:rFonts w:eastAsia="Times New Roman" w:cs="Calibri"/>
                <w:noProof/>
              </w:rPr>
            </w:pPr>
            <w:r>
              <w:rPr>
                <w:noProof/>
              </w:rPr>
              <w:t>3.15</w:t>
            </w:r>
          </w:p>
        </w:tc>
        <w:tc>
          <w:tcPr>
            <w:tcW w:w="1143" w:type="dxa"/>
            <w:shd w:val="clear" w:color="auto" w:fill="C4EFCE"/>
            <w:vAlign w:val="center"/>
            <w:hideMark/>
          </w:tcPr>
          <w:p w14:paraId="0B42AE83" w14:textId="77777777" w:rsidR="00776A1F" w:rsidRDefault="00D8574B">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182D975B"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81447A4" w14:textId="77777777" w:rsidR="00776A1F" w:rsidRDefault="00D8574B">
            <w:pPr>
              <w:pStyle w:val="P68B1DB1-Normal8"/>
              <w:spacing w:after="0" w:line="240" w:lineRule="auto"/>
              <w:jc w:val="center"/>
              <w:rPr>
                <w:rFonts w:eastAsia="Times New Roman" w:cs="Calibri"/>
                <w:noProof/>
              </w:rPr>
            </w:pPr>
            <w:r>
              <w:rPr>
                <w:noProof/>
              </w:rPr>
              <w:t>Novecošanas projekts</w:t>
            </w:r>
          </w:p>
        </w:tc>
        <w:tc>
          <w:tcPr>
            <w:tcW w:w="1486" w:type="dxa"/>
            <w:shd w:val="clear" w:color="auto" w:fill="C4EFCE"/>
            <w:vAlign w:val="center"/>
            <w:hideMark/>
          </w:tcPr>
          <w:p w14:paraId="2D0D204B"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9C9C2F"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7220A717"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9B70C79" w14:textId="5A30131F" w:rsidR="00776A1F" w:rsidRDefault="00D8574B">
            <w:pPr>
              <w:pStyle w:val="P68B1DB1-Normal8"/>
              <w:spacing w:after="0" w:line="240" w:lineRule="auto"/>
              <w:jc w:val="center"/>
              <w:rPr>
                <w:rFonts w:eastAsia="Times New Roman" w:cs="Calibri"/>
                <w:noProof/>
              </w:rPr>
            </w:pPr>
            <w:r>
              <w:rPr>
                <w:noProof/>
              </w:rPr>
              <w:t>425</w:t>
            </w:r>
          </w:p>
        </w:tc>
        <w:tc>
          <w:tcPr>
            <w:tcW w:w="680" w:type="dxa"/>
            <w:shd w:val="clear" w:color="auto" w:fill="C4EFCE"/>
            <w:vAlign w:val="center"/>
            <w:hideMark/>
          </w:tcPr>
          <w:p w14:paraId="2E66662F"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296AE5F4"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0504830F" w14:textId="77777777" w:rsidR="00776A1F" w:rsidRDefault="00D8574B">
            <w:pPr>
              <w:pStyle w:val="P68B1DB1-Normal8"/>
              <w:spacing w:after="0" w:line="240" w:lineRule="auto"/>
              <w:jc w:val="both"/>
              <w:rPr>
                <w:rFonts w:eastAsia="Times New Roman" w:cs="Calibri"/>
                <w:noProof/>
              </w:rPr>
            </w:pPr>
            <w:r>
              <w:rPr>
                <w:noProof/>
              </w:rPr>
              <w:t>Gados vecāku cilvēku vai cilvēku ar invaliditāti skaits, uz kuriem attiecas projekts “Aging” Azoru salu autonomajā reģionā.</w:t>
            </w:r>
          </w:p>
        </w:tc>
      </w:tr>
      <w:tr w:rsidR="00776A1F" w14:paraId="722BCAC5" w14:textId="77777777">
        <w:trPr>
          <w:trHeight w:val="420"/>
        </w:trPr>
        <w:tc>
          <w:tcPr>
            <w:tcW w:w="1124" w:type="dxa"/>
            <w:shd w:val="clear" w:color="auto" w:fill="C5EFCE"/>
            <w:vAlign w:val="center"/>
            <w:hideMark/>
          </w:tcPr>
          <w:p w14:paraId="27569718" w14:textId="77777777" w:rsidR="00776A1F" w:rsidRDefault="00D8574B">
            <w:pPr>
              <w:pStyle w:val="P68B1DB1-Normal7"/>
              <w:spacing w:after="0" w:line="240" w:lineRule="auto"/>
              <w:jc w:val="center"/>
              <w:rPr>
                <w:rFonts w:eastAsia="Times New Roman" w:cs="Calibri"/>
                <w:noProof/>
              </w:rPr>
            </w:pPr>
            <w:r>
              <w:rPr>
                <w:noProof/>
              </w:rPr>
              <w:t>3.16</w:t>
            </w:r>
          </w:p>
        </w:tc>
        <w:tc>
          <w:tcPr>
            <w:tcW w:w="1143" w:type="dxa"/>
            <w:shd w:val="clear" w:color="auto" w:fill="C4EFCE"/>
            <w:vAlign w:val="center"/>
            <w:hideMark/>
          </w:tcPr>
          <w:p w14:paraId="3FEF3AE7" w14:textId="77777777" w:rsidR="00776A1F" w:rsidRDefault="00D8574B">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57B378D2"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1B2F0661" w14:textId="77777777" w:rsidR="00776A1F" w:rsidRDefault="00D8574B">
            <w:pPr>
              <w:pStyle w:val="P68B1DB1-Normal8"/>
              <w:spacing w:after="0" w:line="240" w:lineRule="auto"/>
              <w:jc w:val="center"/>
              <w:rPr>
                <w:rFonts w:eastAsia="Times New Roman" w:cs="Calibri"/>
                <w:noProof/>
              </w:rPr>
            </w:pPr>
            <w:r>
              <w:rPr>
                <w:noProof/>
              </w:rPr>
              <w:t>Pasākumi bērnu un jauniešu priekšlaicīgas mācību pārtraukšanas apkarošanai.</w:t>
            </w:r>
          </w:p>
        </w:tc>
        <w:tc>
          <w:tcPr>
            <w:tcW w:w="1486" w:type="dxa"/>
            <w:shd w:val="clear" w:color="auto" w:fill="C4EFCE"/>
            <w:vAlign w:val="center"/>
            <w:hideMark/>
          </w:tcPr>
          <w:p w14:paraId="761474E7"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9D5AE91" w14:textId="77777777" w:rsidR="00776A1F" w:rsidRDefault="00D8574B">
            <w:pPr>
              <w:pStyle w:val="P68B1DB1-Normal8"/>
              <w:spacing w:after="0" w:line="240" w:lineRule="auto"/>
              <w:jc w:val="center"/>
              <w:rPr>
                <w:rFonts w:eastAsia="Times New Roman" w:cs="Calibri"/>
                <w:noProof/>
              </w:rPr>
            </w:pPr>
            <w:r>
              <w:rPr>
                <w:noProof/>
              </w:rPr>
              <w:t>Skaits</w:t>
            </w:r>
          </w:p>
        </w:tc>
        <w:tc>
          <w:tcPr>
            <w:tcW w:w="1014" w:type="dxa"/>
            <w:shd w:val="clear" w:color="auto" w:fill="C4EFCE"/>
            <w:vAlign w:val="center"/>
            <w:hideMark/>
          </w:tcPr>
          <w:p w14:paraId="6596B2D6"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157A47D" w14:textId="77777777" w:rsidR="00776A1F" w:rsidRDefault="00D8574B">
            <w:pPr>
              <w:pStyle w:val="P68B1DB1-Normal8"/>
              <w:spacing w:after="0" w:line="240" w:lineRule="auto"/>
              <w:jc w:val="center"/>
              <w:rPr>
                <w:rFonts w:eastAsia="Times New Roman" w:cs="Calibri"/>
                <w:noProof/>
              </w:rPr>
            </w:pPr>
            <w:r>
              <w:rPr>
                <w:noProof/>
              </w:rPr>
              <w:t>11 561</w:t>
            </w:r>
          </w:p>
        </w:tc>
        <w:tc>
          <w:tcPr>
            <w:tcW w:w="680" w:type="dxa"/>
            <w:shd w:val="clear" w:color="auto" w:fill="C4EFCE"/>
            <w:vAlign w:val="center"/>
            <w:hideMark/>
          </w:tcPr>
          <w:p w14:paraId="7A4E4D10"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28EF501B"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5BF1ED67" w14:textId="77777777" w:rsidR="00776A1F" w:rsidRDefault="00D8574B">
            <w:pPr>
              <w:pStyle w:val="P68B1DB1-Normal8"/>
              <w:spacing w:after="0" w:line="240" w:lineRule="auto"/>
              <w:jc w:val="both"/>
              <w:rPr>
                <w:rFonts w:eastAsia="Times New Roman" w:cs="Calibri"/>
                <w:noProof/>
              </w:rPr>
            </w:pPr>
            <w:r>
              <w:rPr>
                <w:noProof/>
              </w:rPr>
              <w:t xml:space="preserve">Bērni un jaunieši, uz kuriem attiecas pasākumi, kuru mērķis ir apkarot mācību priekšlaicīgu pārtraukšanu un veicināt dalību augstākajā izglītībā: </w:t>
            </w:r>
          </w:p>
          <w:p w14:paraId="7FE0E7DB" w14:textId="56A390AC" w:rsidR="00776A1F" w:rsidRDefault="00D8574B">
            <w:pPr>
              <w:pStyle w:val="P68B1DB1-Normal8"/>
              <w:spacing w:after="0" w:line="240" w:lineRule="auto"/>
              <w:jc w:val="both"/>
              <w:rPr>
                <w:rFonts w:eastAsia="Times New Roman" w:cs="Calibri"/>
                <w:noProof/>
              </w:rPr>
            </w:pPr>
            <w:r>
              <w:rPr>
                <w:noProof/>
              </w:rPr>
              <w:t>subsīdijas mājsaimniecībām ar zemiem ienākumiem kā stimuls bērnudārzu apmeklējuma veicināšanai; pētījumu atbalsta punktu izveide; augstākās izglītības maksas maksāšana studentiem ģimenēm ar zemiem ienākumiem; jaunu vietu izveide bērniem bērnudārzos un dienas aprūpes centros.</w:t>
            </w:r>
          </w:p>
        </w:tc>
      </w:tr>
      <w:tr w:rsidR="00776A1F" w14:paraId="3E0BC186" w14:textId="77777777">
        <w:trPr>
          <w:trHeight w:val="1581"/>
        </w:trPr>
        <w:tc>
          <w:tcPr>
            <w:tcW w:w="1124" w:type="dxa"/>
            <w:shd w:val="clear" w:color="auto" w:fill="C5EFCE"/>
            <w:vAlign w:val="center"/>
            <w:hideMark/>
          </w:tcPr>
          <w:p w14:paraId="4AD1D11D" w14:textId="77777777" w:rsidR="00776A1F" w:rsidRDefault="00D8574B">
            <w:pPr>
              <w:pStyle w:val="P68B1DB1-Normal7"/>
              <w:spacing w:after="0" w:line="240" w:lineRule="auto"/>
              <w:jc w:val="center"/>
              <w:rPr>
                <w:rFonts w:eastAsia="Times New Roman" w:cs="Calibri"/>
                <w:noProof/>
              </w:rPr>
            </w:pPr>
            <w:r>
              <w:rPr>
                <w:noProof/>
              </w:rPr>
              <w:t>3.17</w:t>
            </w:r>
          </w:p>
        </w:tc>
        <w:tc>
          <w:tcPr>
            <w:tcW w:w="1143" w:type="dxa"/>
            <w:shd w:val="clear" w:color="auto" w:fill="C4EFCE"/>
            <w:vAlign w:val="center"/>
            <w:hideMark/>
          </w:tcPr>
          <w:p w14:paraId="6E502AC3" w14:textId="77777777" w:rsidR="00776A1F" w:rsidRDefault="00D8574B">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148563E4"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C55EEC7" w14:textId="77777777" w:rsidR="00776A1F" w:rsidRDefault="00D8574B">
            <w:pPr>
              <w:pStyle w:val="P68B1DB1-Normal8"/>
              <w:spacing w:after="0" w:line="240" w:lineRule="auto"/>
              <w:jc w:val="center"/>
              <w:rPr>
                <w:rFonts w:eastAsia="Times New Roman" w:cs="Calibri"/>
                <w:noProof/>
              </w:rPr>
            </w:pPr>
            <w:r>
              <w:rPr>
                <w:noProof/>
              </w:rPr>
              <w:t xml:space="preserve">Piedāvājuma “Digitālās infrastruktūras būve piekļūstamībai 360°” publicēšana </w:t>
            </w:r>
          </w:p>
        </w:tc>
        <w:tc>
          <w:tcPr>
            <w:tcW w:w="1486" w:type="dxa"/>
            <w:shd w:val="clear" w:color="auto" w:fill="C4EFCE"/>
            <w:vAlign w:val="center"/>
            <w:hideMark/>
          </w:tcPr>
          <w:p w14:paraId="67B63709" w14:textId="77777777" w:rsidR="00776A1F" w:rsidRDefault="00D8574B">
            <w:pPr>
              <w:pStyle w:val="P68B1DB1-Normal8"/>
              <w:spacing w:after="0" w:line="240" w:lineRule="auto"/>
              <w:jc w:val="center"/>
              <w:rPr>
                <w:rFonts w:eastAsia="Times New Roman" w:cs="Calibri"/>
                <w:noProof/>
              </w:rPr>
            </w:pPr>
            <w:r>
              <w:rPr>
                <w:noProof/>
              </w:rPr>
              <w:t>Konkursa paziņojuma par piekļuvi digitālās infrastruktūras iegādei 360° publicēšana Oficiālajā Vēstnesī — Diario da Republica</w:t>
            </w:r>
          </w:p>
        </w:tc>
        <w:tc>
          <w:tcPr>
            <w:tcW w:w="1014" w:type="dxa"/>
            <w:shd w:val="clear" w:color="auto" w:fill="C4EFCE"/>
            <w:vAlign w:val="center"/>
            <w:hideMark/>
          </w:tcPr>
          <w:p w14:paraId="546A3FF1"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B23DB11"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7997DED5"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24C9268"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5E997187" w14:textId="77777777" w:rsidR="00776A1F" w:rsidRDefault="00D8574B">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3FA52867" w14:textId="77777777" w:rsidR="00776A1F" w:rsidRDefault="00D8574B">
            <w:pPr>
              <w:pStyle w:val="P68B1DB1-Normal8"/>
              <w:spacing w:after="0" w:line="240" w:lineRule="auto"/>
              <w:jc w:val="both"/>
              <w:rPr>
                <w:rFonts w:eastAsia="Times New Roman" w:cs="Calibri"/>
                <w:noProof/>
              </w:rPr>
            </w:pPr>
            <w:r>
              <w:rPr>
                <w:noProof/>
              </w:rPr>
              <w:t>Publicēts uzaicinājums iesniegt piedāvājumus digitālās infrastruktūras būvniecībai, aptverot i) ģeogrāfisko informāciju par publiskām un privātām ēkām, ii) globālās informācijas un pozicionēšanas sistēmas (GPS), iii) autostāvvietu ģeogrāfiskās atsauces.</w:t>
            </w:r>
          </w:p>
        </w:tc>
      </w:tr>
      <w:tr w:rsidR="00776A1F" w14:paraId="37722B84" w14:textId="77777777">
        <w:trPr>
          <w:trHeight w:val="838"/>
        </w:trPr>
        <w:tc>
          <w:tcPr>
            <w:tcW w:w="1124" w:type="dxa"/>
            <w:shd w:val="clear" w:color="auto" w:fill="C5EFCE"/>
            <w:vAlign w:val="center"/>
            <w:hideMark/>
          </w:tcPr>
          <w:p w14:paraId="640BFDCE" w14:textId="77777777" w:rsidR="00776A1F" w:rsidRDefault="00D8574B">
            <w:pPr>
              <w:pStyle w:val="P68B1DB1-Normal7"/>
              <w:spacing w:after="0" w:line="240" w:lineRule="auto"/>
              <w:jc w:val="center"/>
              <w:rPr>
                <w:rFonts w:eastAsia="Times New Roman" w:cs="Calibri"/>
                <w:noProof/>
              </w:rPr>
            </w:pPr>
            <w:r>
              <w:rPr>
                <w:noProof/>
              </w:rPr>
              <w:t>3.18</w:t>
            </w:r>
          </w:p>
        </w:tc>
        <w:tc>
          <w:tcPr>
            <w:tcW w:w="1143" w:type="dxa"/>
            <w:shd w:val="clear" w:color="auto" w:fill="C4EFCE"/>
            <w:vAlign w:val="center"/>
            <w:hideMark/>
          </w:tcPr>
          <w:p w14:paraId="3B14B6A8" w14:textId="77777777" w:rsidR="00776A1F" w:rsidRDefault="00D8574B">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24B0174F"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127B0818" w14:textId="77777777" w:rsidR="00776A1F" w:rsidRDefault="00D8574B">
            <w:pPr>
              <w:pStyle w:val="P68B1DB1-Normal8"/>
              <w:spacing w:after="0" w:line="240" w:lineRule="auto"/>
              <w:jc w:val="center"/>
              <w:rPr>
                <w:rFonts w:eastAsia="Times New Roman" w:cs="Calibri"/>
                <w:noProof/>
              </w:rPr>
            </w:pPr>
            <w:r>
              <w:rPr>
                <w:noProof/>
              </w:rPr>
              <w:t>Digitāla informācijas platforma cilvēkiem ar invaliditāti</w:t>
            </w:r>
          </w:p>
        </w:tc>
        <w:tc>
          <w:tcPr>
            <w:tcW w:w="1486" w:type="dxa"/>
            <w:shd w:val="clear" w:color="auto" w:fill="C4EFCE"/>
            <w:vAlign w:val="center"/>
            <w:hideMark/>
          </w:tcPr>
          <w:p w14:paraId="14F244C2" w14:textId="77777777" w:rsidR="00776A1F" w:rsidRDefault="00D8574B">
            <w:pPr>
              <w:pStyle w:val="P68B1DB1-Normal8"/>
              <w:spacing w:after="0" w:line="240" w:lineRule="auto"/>
              <w:jc w:val="center"/>
              <w:rPr>
                <w:rFonts w:eastAsia="Times New Roman" w:cs="Calibri"/>
                <w:noProof/>
              </w:rPr>
            </w:pPr>
            <w:r>
              <w:rPr>
                <w:noProof/>
              </w:rPr>
              <w:t>Platformas darbības uzsākšana</w:t>
            </w:r>
          </w:p>
        </w:tc>
        <w:tc>
          <w:tcPr>
            <w:tcW w:w="1014" w:type="dxa"/>
            <w:shd w:val="clear" w:color="auto" w:fill="C4EFCE"/>
            <w:vAlign w:val="center"/>
            <w:hideMark/>
          </w:tcPr>
          <w:p w14:paraId="2D447742"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69FDBF8"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DC68D64"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352AF611"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4C2EC19E" w14:textId="77777777" w:rsidR="00776A1F" w:rsidRDefault="00D8574B">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38C6A344" w14:textId="77777777" w:rsidR="00776A1F" w:rsidRDefault="00D8574B">
            <w:pPr>
              <w:pStyle w:val="P68B1DB1-Normal8"/>
              <w:spacing w:after="0" w:line="240" w:lineRule="auto"/>
              <w:jc w:val="both"/>
              <w:rPr>
                <w:rFonts w:eastAsia="Times New Roman" w:cs="Calibri"/>
                <w:noProof/>
              </w:rPr>
            </w:pPr>
            <w:r>
              <w:rPr>
                <w:noProof/>
              </w:rPr>
              <w:t>Digitālās informācijas platformas darbības uzsākšana, kas apkopo un vienkāršo informāciju par attiecīgajiem tiesību aktiem un atbalsta resursus personām ar invaliditāti.</w:t>
            </w:r>
          </w:p>
        </w:tc>
      </w:tr>
      <w:tr w:rsidR="00776A1F" w14:paraId="29DF1015" w14:textId="77777777">
        <w:trPr>
          <w:trHeight w:val="928"/>
        </w:trPr>
        <w:tc>
          <w:tcPr>
            <w:tcW w:w="1124" w:type="dxa"/>
            <w:shd w:val="clear" w:color="auto" w:fill="C5EFCE"/>
            <w:vAlign w:val="center"/>
            <w:hideMark/>
          </w:tcPr>
          <w:p w14:paraId="31FC2931" w14:textId="77777777" w:rsidR="00776A1F" w:rsidRDefault="00D8574B">
            <w:pPr>
              <w:pStyle w:val="P68B1DB1-Normal7"/>
              <w:spacing w:after="0" w:line="240" w:lineRule="auto"/>
              <w:jc w:val="center"/>
              <w:rPr>
                <w:rFonts w:eastAsia="Times New Roman" w:cs="Calibri"/>
                <w:noProof/>
              </w:rPr>
            </w:pPr>
            <w:r>
              <w:rPr>
                <w:noProof/>
              </w:rPr>
              <w:t>3.19</w:t>
            </w:r>
          </w:p>
        </w:tc>
        <w:tc>
          <w:tcPr>
            <w:tcW w:w="1143" w:type="dxa"/>
            <w:shd w:val="clear" w:color="auto" w:fill="C4EFCE"/>
            <w:vAlign w:val="center"/>
            <w:hideMark/>
          </w:tcPr>
          <w:p w14:paraId="31C50628" w14:textId="77777777" w:rsidR="00776A1F" w:rsidRDefault="00D8574B">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6E89FFB3"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F2367B2" w14:textId="77777777" w:rsidR="00776A1F" w:rsidRDefault="00D8574B">
            <w:pPr>
              <w:pStyle w:val="P68B1DB1-Normal8"/>
              <w:spacing w:after="0" w:line="240" w:lineRule="auto"/>
              <w:jc w:val="center"/>
              <w:rPr>
                <w:rFonts w:eastAsia="Times New Roman" w:cs="Calibri"/>
                <w:noProof/>
              </w:rPr>
            </w:pPr>
            <w:r>
              <w:rPr>
                <w:noProof/>
              </w:rPr>
              <w:t>Portugāļu zīmju valodas zvanu centrs</w:t>
            </w:r>
          </w:p>
        </w:tc>
        <w:tc>
          <w:tcPr>
            <w:tcW w:w="1486" w:type="dxa"/>
            <w:shd w:val="clear" w:color="auto" w:fill="C4EFCE"/>
            <w:vAlign w:val="center"/>
            <w:hideMark/>
          </w:tcPr>
          <w:p w14:paraId="4C4DE045" w14:textId="77777777" w:rsidR="00776A1F" w:rsidRDefault="00D8574B">
            <w:pPr>
              <w:pStyle w:val="P68B1DB1-Normal8"/>
              <w:spacing w:after="0" w:line="240" w:lineRule="auto"/>
              <w:jc w:val="center"/>
              <w:rPr>
                <w:rFonts w:eastAsia="Times New Roman" w:cs="Calibri"/>
                <w:noProof/>
              </w:rPr>
            </w:pPr>
            <w:r>
              <w:rPr>
                <w:noProof/>
              </w:rPr>
              <w:t>Portugāļu zīmju valodas zvanu centra darbības uzsākšana</w:t>
            </w:r>
          </w:p>
        </w:tc>
        <w:tc>
          <w:tcPr>
            <w:tcW w:w="1014" w:type="dxa"/>
            <w:shd w:val="clear" w:color="auto" w:fill="C4EFCE"/>
            <w:vAlign w:val="center"/>
            <w:hideMark/>
          </w:tcPr>
          <w:p w14:paraId="62A19147"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4F454E"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5B22AC7B"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C3FE14B"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19B2E8B1"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F959E19" w14:textId="07AF1B38" w:rsidR="00776A1F" w:rsidRDefault="00D8574B">
            <w:pPr>
              <w:pStyle w:val="P68B1DB1-Normal8"/>
              <w:spacing w:after="0" w:line="240" w:lineRule="auto"/>
              <w:jc w:val="both"/>
              <w:rPr>
                <w:rFonts w:eastAsia="Times New Roman" w:cs="Calibri"/>
                <w:noProof/>
              </w:rPr>
            </w:pPr>
            <w:r>
              <w:rPr>
                <w:noProof/>
              </w:rPr>
              <w:t>Sāk darboties zvanu centrs, kas nedzirdīgajiem iedzīvotājiem nodrošina garantētu reāllaika mutisko tulkošanu portugāļu zīmju valodā (LGP), kas pieejama visai valsts pārvaldei.</w:t>
            </w:r>
          </w:p>
        </w:tc>
      </w:tr>
      <w:tr w:rsidR="00776A1F" w14:paraId="0BDE969A" w14:textId="77777777">
        <w:trPr>
          <w:trHeight w:val="1690"/>
        </w:trPr>
        <w:tc>
          <w:tcPr>
            <w:tcW w:w="1124" w:type="dxa"/>
            <w:shd w:val="clear" w:color="auto" w:fill="C5EFCE"/>
            <w:vAlign w:val="center"/>
          </w:tcPr>
          <w:p w14:paraId="6D78B7CA" w14:textId="77777777" w:rsidR="00776A1F" w:rsidRDefault="00D8574B">
            <w:pPr>
              <w:pStyle w:val="P68B1DB1-Normal7"/>
              <w:spacing w:after="0" w:line="240" w:lineRule="auto"/>
              <w:jc w:val="center"/>
              <w:rPr>
                <w:rFonts w:eastAsia="Times New Roman" w:cs="Calibri"/>
                <w:noProof/>
              </w:rPr>
            </w:pPr>
            <w:r>
              <w:rPr>
                <w:noProof/>
              </w:rPr>
              <w:t>3.20</w:t>
            </w:r>
          </w:p>
        </w:tc>
        <w:tc>
          <w:tcPr>
            <w:tcW w:w="1143" w:type="dxa"/>
            <w:shd w:val="clear" w:color="auto" w:fill="C4EFCE"/>
            <w:vAlign w:val="center"/>
          </w:tcPr>
          <w:p w14:paraId="4B2FA922" w14:textId="77777777" w:rsidR="00776A1F" w:rsidRDefault="00D8574B">
            <w:pPr>
              <w:pStyle w:val="P68B1DB1-Normal8"/>
              <w:spacing w:after="0" w:line="240" w:lineRule="auto"/>
              <w:jc w:val="center"/>
              <w:rPr>
                <w:rFonts w:eastAsia="Times New Roman" w:cs="Calibri"/>
                <w:noProof/>
              </w:rPr>
            </w:pPr>
            <w:r>
              <w:rPr>
                <w:noProof/>
              </w:rPr>
              <w:t>Re-C03-r08</w:t>
            </w:r>
          </w:p>
        </w:tc>
        <w:tc>
          <w:tcPr>
            <w:tcW w:w="982" w:type="dxa"/>
            <w:shd w:val="clear" w:color="auto" w:fill="C4EFCE"/>
            <w:vAlign w:val="center"/>
          </w:tcPr>
          <w:p w14:paraId="7E7854CA"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tcPr>
          <w:p w14:paraId="6959C89C" w14:textId="77777777" w:rsidR="00776A1F" w:rsidRDefault="00D8574B">
            <w:pPr>
              <w:pStyle w:val="P68B1DB1-Normal8"/>
              <w:spacing w:after="0" w:line="240" w:lineRule="auto"/>
              <w:jc w:val="center"/>
              <w:rPr>
                <w:rFonts w:eastAsia="Times New Roman" w:cs="Calibri"/>
                <w:noProof/>
              </w:rPr>
            </w:pPr>
            <w:r>
              <w:rPr>
                <w:noProof/>
              </w:rPr>
              <w:t>Valsts stratēģijas cīņai pret nabadzību pieņemšana</w:t>
            </w:r>
          </w:p>
        </w:tc>
        <w:tc>
          <w:tcPr>
            <w:tcW w:w="1486" w:type="dxa"/>
            <w:shd w:val="clear" w:color="auto" w:fill="C4EFCE"/>
            <w:vAlign w:val="center"/>
          </w:tcPr>
          <w:p w14:paraId="3471F2FF" w14:textId="77777777" w:rsidR="00776A1F" w:rsidRDefault="00D8574B">
            <w:pPr>
              <w:pStyle w:val="P68B1DB1-Normal8"/>
              <w:spacing w:after="0" w:line="240" w:lineRule="auto"/>
              <w:jc w:val="center"/>
              <w:rPr>
                <w:rFonts w:eastAsia="Times New Roman" w:cs="Calibri"/>
                <w:noProof/>
              </w:rPr>
            </w:pPr>
            <w:r>
              <w:rPr>
                <w:noProof/>
              </w:rPr>
              <w:t>Valsts stratēģijas cīņai pret nabadzību pieņemšana</w:t>
            </w:r>
          </w:p>
        </w:tc>
        <w:tc>
          <w:tcPr>
            <w:tcW w:w="1014" w:type="dxa"/>
            <w:shd w:val="clear" w:color="auto" w:fill="C4EFCE"/>
            <w:vAlign w:val="center"/>
          </w:tcPr>
          <w:p w14:paraId="1283F0D0"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tcPr>
          <w:p w14:paraId="6ABA1CAC"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tcPr>
          <w:p w14:paraId="00EAECC6"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tcPr>
          <w:p w14:paraId="4F8A05D3" w14:textId="77777777" w:rsidR="00776A1F" w:rsidRDefault="00D8574B">
            <w:pPr>
              <w:pStyle w:val="P68B1DB1-Normal8"/>
              <w:spacing w:after="0" w:line="240" w:lineRule="auto"/>
              <w:jc w:val="center"/>
              <w:rPr>
                <w:rFonts w:eastAsia="Times New Roman" w:cs="Calibri"/>
                <w:noProof/>
              </w:rPr>
            </w:pPr>
            <w:r>
              <w:rPr>
                <w:noProof/>
              </w:rPr>
              <w:t>3. CET.</w:t>
            </w:r>
          </w:p>
        </w:tc>
        <w:tc>
          <w:tcPr>
            <w:tcW w:w="845" w:type="dxa"/>
            <w:shd w:val="clear" w:color="auto" w:fill="C4EFCE"/>
            <w:vAlign w:val="center"/>
          </w:tcPr>
          <w:p w14:paraId="7D0E5BB2" w14:textId="77777777" w:rsidR="00776A1F" w:rsidRDefault="00D8574B">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tcPr>
          <w:p w14:paraId="2AE0C47C" w14:textId="77777777" w:rsidR="00776A1F" w:rsidRDefault="00D8574B">
            <w:pPr>
              <w:pStyle w:val="P68B1DB1-Normal8"/>
              <w:spacing w:after="0" w:line="240" w:lineRule="auto"/>
              <w:jc w:val="both"/>
              <w:rPr>
                <w:rFonts w:eastAsia="Times New Roman" w:cs="Calibri"/>
                <w:noProof/>
              </w:rPr>
            </w:pPr>
            <w:r>
              <w:rPr>
                <w:noProof/>
              </w:rPr>
              <w:t>Valsts stratēģija cīņai pret nabadzību (ENCP) nodrošina satvaru tematiskām intervencēm konkrētām grupām no bērnības līdz vecumdienām, tostarp visneaizsargātākajām grupām. Tajā izklāstīti nosacījumi, lai izstrādātu un īstenotu integrētu politiku, kas vērsta uz sociālās atstumtības un nabadzības īpatnībām vietējā līmenī. Turklāt tā arī pilnvaro izveidot vienotu uzraudzības sistēmu attiecībā uz rādītājiem, kas saistīti ar nabadzību.</w:t>
            </w:r>
          </w:p>
        </w:tc>
      </w:tr>
      <w:tr w:rsidR="00776A1F" w14:paraId="533F5B1E" w14:textId="77777777">
        <w:trPr>
          <w:trHeight w:val="290"/>
        </w:trPr>
        <w:tc>
          <w:tcPr>
            <w:tcW w:w="1124" w:type="dxa"/>
            <w:shd w:val="clear" w:color="auto" w:fill="C5EFCE"/>
            <w:vAlign w:val="center"/>
            <w:hideMark/>
          </w:tcPr>
          <w:p w14:paraId="75444558" w14:textId="77777777" w:rsidR="00776A1F" w:rsidRDefault="00D8574B">
            <w:pPr>
              <w:pStyle w:val="P68B1DB1-Normal7"/>
              <w:spacing w:after="0" w:line="240" w:lineRule="auto"/>
              <w:jc w:val="center"/>
              <w:rPr>
                <w:rFonts w:eastAsia="Times New Roman" w:cs="Calibri"/>
                <w:noProof/>
              </w:rPr>
            </w:pPr>
            <w:r>
              <w:rPr>
                <w:noProof/>
              </w:rPr>
              <w:t>3.21</w:t>
            </w:r>
          </w:p>
        </w:tc>
        <w:tc>
          <w:tcPr>
            <w:tcW w:w="1143" w:type="dxa"/>
            <w:shd w:val="clear" w:color="auto" w:fill="C4EFCE"/>
            <w:vAlign w:val="center"/>
            <w:hideMark/>
          </w:tcPr>
          <w:p w14:paraId="57253209" w14:textId="77777777" w:rsidR="00776A1F" w:rsidRDefault="00D8574B">
            <w:pPr>
              <w:pStyle w:val="P68B1DB1-Normal8"/>
              <w:spacing w:after="0" w:line="240" w:lineRule="auto"/>
              <w:jc w:val="center"/>
              <w:rPr>
                <w:rFonts w:eastAsia="Times New Roman" w:cs="Calibri"/>
                <w:noProof/>
              </w:rPr>
            </w:pPr>
            <w:r>
              <w:rPr>
                <w:noProof/>
              </w:rPr>
              <w:t>Re-C03-r06</w:t>
            </w:r>
          </w:p>
        </w:tc>
        <w:tc>
          <w:tcPr>
            <w:tcW w:w="982" w:type="dxa"/>
            <w:shd w:val="clear" w:color="auto" w:fill="C4EFCE"/>
            <w:vAlign w:val="center"/>
            <w:hideMark/>
          </w:tcPr>
          <w:p w14:paraId="48FD60DB"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B798661" w14:textId="77777777" w:rsidR="00776A1F" w:rsidRDefault="00D8574B">
            <w:pPr>
              <w:pStyle w:val="P68B1DB1-Normal8"/>
              <w:spacing w:after="0" w:line="240" w:lineRule="auto"/>
              <w:jc w:val="center"/>
              <w:rPr>
                <w:rFonts w:eastAsia="Times New Roman" w:cs="Calibri"/>
                <w:noProof/>
              </w:rPr>
            </w:pPr>
            <w:r>
              <w:rPr>
                <w:noProof/>
              </w:rPr>
              <w:t>Valsts stratēģijas personu ar invaliditāti iekļaušanai 2021.–2025. gadam pieņemšana</w:t>
            </w:r>
          </w:p>
        </w:tc>
        <w:tc>
          <w:tcPr>
            <w:tcW w:w="1486" w:type="dxa"/>
            <w:shd w:val="clear" w:color="auto" w:fill="C4EFCE"/>
            <w:vAlign w:val="center"/>
            <w:hideMark/>
          </w:tcPr>
          <w:p w14:paraId="40250264" w14:textId="77777777" w:rsidR="00776A1F" w:rsidRDefault="00D8574B">
            <w:pPr>
              <w:pStyle w:val="P68B1DB1-Normal8"/>
              <w:spacing w:after="0" w:line="240" w:lineRule="auto"/>
              <w:jc w:val="center"/>
              <w:rPr>
                <w:rFonts w:eastAsia="Times New Roman" w:cs="Calibri"/>
                <w:noProof/>
              </w:rPr>
            </w:pPr>
            <w:r>
              <w:rPr>
                <w:noProof/>
              </w:rPr>
              <w:t>Valsts stratēģijas personu ar invaliditāti iekļaušanai 2021.–2025. gadam pieņemšana</w:t>
            </w:r>
          </w:p>
        </w:tc>
        <w:tc>
          <w:tcPr>
            <w:tcW w:w="1014" w:type="dxa"/>
            <w:shd w:val="clear" w:color="auto" w:fill="C4EFCE"/>
            <w:vAlign w:val="center"/>
            <w:hideMark/>
          </w:tcPr>
          <w:p w14:paraId="66D99749"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448DA702"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94CC941"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61D167B3"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39843ADC" w14:textId="77777777" w:rsidR="00776A1F" w:rsidRDefault="00D8574B">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7651022" w14:textId="77777777" w:rsidR="00776A1F" w:rsidRDefault="00D8574B">
            <w:pPr>
              <w:pStyle w:val="P68B1DB1-Normal8"/>
              <w:spacing w:after="0" w:line="240" w:lineRule="auto"/>
              <w:jc w:val="both"/>
              <w:rPr>
                <w:rFonts w:eastAsia="Times New Roman" w:cs="Calibri"/>
                <w:noProof/>
              </w:rPr>
            </w:pPr>
            <w:r>
              <w:rPr>
                <w:noProof/>
              </w:rPr>
              <w:t xml:space="preserve">Valsts stratēģija personu ar invaliditāti iekļaušanai rada nosacījumus, lai: </w:t>
            </w:r>
          </w:p>
          <w:p w14:paraId="5BEAE38C"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jauna invaliditātes novērtēšanas un sertifikācijas sistēma; </w:t>
            </w:r>
          </w:p>
          <w:p w14:paraId="1AE861D1"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jauna sistēma ar invaliditāti saistītas informācijas vākšanai, apstrādei un organizēšanai, lai atbalstītu lēmumu pieņemšanu; </w:t>
            </w:r>
          </w:p>
          <w:p w14:paraId="6C12A290"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 sabiedriskās vietās</w:t>
            </w:r>
            <w:r>
              <w:rPr>
                <w:rFonts w:ascii="Times New Roman" w:hAnsi="Times New Roman"/>
                <w:noProof/>
                <w:sz w:val="14"/>
              </w:rPr>
              <w:t xml:space="preserve"> </w:t>
            </w:r>
            <w:r>
              <w:rPr>
                <w:rFonts w:ascii="Calibri" w:hAnsi="Calibri"/>
                <w:noProof/>
                <w:sz w:val="16"/>
              </w:rPr>
              <w:t>veiktu intervenču kvalificēšana;</w:t>
            </w:r>
          </w:p>
          <w:p w14:paraId="090CA10D"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personu ar invaliditāti iekļaušanas iekļaušana lēmumos, pasākumos, programmās un projektos;</w:t>
            </w:r>
          </w:p>
          <w:p w14:paraId="47358F4D"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atbalsta modeļa neatkarīgai dzīvei paplašināšana, kas sniedz personisku palīdzību personām ar invaliditāti;</w:t>
            </w:r>
          </w:p>
          <w:p w14:paraId="20D2D4ED" w14:textId="0DE988E4" w:rsidR="00776A1F" w:rsidRDefault="00D8574B">
            <w:pPr>
              <w:spacing w:after="0" w:line="240" w:lineRule="auto"/>
              <w:jc w:val="both"/>
              <w:rPr>
                <w:rFonts w:ascii="Calibri" w:eastAsia="Times New Roman" w:hAnsi="Calibri" w:cs="Calibri"/>
                <w:noProof/>
                <w:sz w:val="16"/>
              </w:rPr>
            </w:pPr>
            <w:r>
              <w:rPr>
                <w:rFonts w:ascii="Calibri" w:hAnsi="Calibri"/>
                <w:noProof/>
                <w:sz w:val="16"/>
              </w:rPr>
              <w:t>• personu ar invaliditāti apmācības, nodarbinātības un kvalifikācijas sistēmas</w:t>
            </w:r>
            <w:r>
              <w:rPr>
                <w:rFonts w:ascii="Times New Roman" w:hAnsi="Times New Roman"/>
                <w:noProof/>
                <w:sz w:val="14"/>
              </w:rPr>
              <w:t xml:space="preserve"> </w:t>
            </w:r>
            <w:r>
              <w:rPr>
                <w:rFonts w:ascii="Calibri" w:hAnsi="Calibri"/>
                <w:noProof/>
                <w:sz w:val="16"/>
              </w:rPr>
              <w:t>pielāgošana.</w:t>
            </w:r>
          </w:p>
        </w:tc>
      </w:tr>
      <w:tr w:rsidR="00776A1F" w14:paraId="259EB076" w14:textId="77777777">
        <w:trPr>
          <w:trHeight w:val="1060"/>
        </w:trPr>
        <w:tc>
          <w:tcPr>
            <w:tcW w:w="1124" w:type="dxa"/>
            <w:shd w:val="clear" w:color="auto" w:fill="C5EFCE"/>
            <w:vAlign w:val="center"/>
            <w:hideMark/>
          </w:tcPr>
          <w:p w14:paraId="26DEA246" w14:textId="77777777" w:rsidR="00776A1F" w:rsidRDefault="00D8574B">
            <w:pPr>
              <w:pStyle w:val="P68B1DB1-Normal7"/>
              <w:spacing w:after="0" w:line="240" w:lineRule="auto"/>
              <w:jc w:val="center"/>
              <w:rPr>
                <w:rFonts w:eastAsia="Times New Roman" w:cs="Calibri"/>
                <w:noProof/>
              </w:rPr>
            </w:pPr>
            <w:r>
              <w:rPr>
                <w:noProof/>
              </w:rPr>
              <w:t>3.22</w:t>
            </w:r>
          </w:p>
        </w:tc>
        <w:tc>
          <w:tcPr>
            <w:tcW w:w="1143" w:type="dxa"/>
            <w:shd w:val="clear" w:color="auto" w:fill="C4EFCE"/>
            <w:vAlign w:val="center"/>
            <w:hideMark/>
          </w:tcPr>
          <w:p w14:paraId="46042C8C" w14:textId="77777777" w:rsidR="00776A1F" w:rsidRDefault="00D8574B">
            <w:pPr>
              <w:pStyle w:val="P68B1DB1-Normal8"/>
              <w:spacing w:after="0" w:line="240" w:lineRule="auto"/>
              <w:jc w:val="center"/>
              <w:rPr>
                <w:rFonts w:eastAsia="Times New Roman" w:cs="Calibri"/>
                <w:noProof/>
              </w:rPr>
            </w:pPr>
            <w:r>
              <w:rPr>
                <w:noProof/>
              </w:rPr>
              <w:t>Re-C03-r05</w:t>
            </w:r>
          </w:p>
        </w:tc>
        <w:tc>
          <w:tcPr>
            <w:tcW w:w="982" w:type="dxa"/>
            <w:shd w:val="clear" w:color="auto" w:fill="C4EFCE"/>
            <w:vAlign w:val="center"/>
            <w:hideMark/>
          </w:tcPr>
          <w:p w14:paraId="292DDDE3"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FA61DF0" w14:textId="77777777" w:rsidR="00776A1F" w:rsidRDefault="00D8574B">
            <w:pPr>
              <w:pStyle w:val="P68B1DB1-Normal8"/>
              <w:spacing w:after="0" w:line="240" w:lineRule="auto"/>
              <w:jc w:val="center"/>
              <w:rPr>
                <w:rFonts w:eastAsia="Times New Roman" w:cs="Calibri"/>
                <w:noProof/>
              </w:rPr>
            </w:pPr>
            <w:r>
              <w:rPr>
                <w:noProof/>
              </w:rPr>
              <w:t>Vienkāršotā sociālā aprīkojuma uzstādīšanas režīma stāšanās spēkā</w:t>
            </w:r>
          </w:p>
        </w:tc>
        <w:tc>
          <w:tcPr>
            <w:tcW w:w="1486" w:type="dxa"/>
            <w:shd w:val="clear" w:color="auto" w:fill="C4EFCE"/>
            <w:vAlign w:val="center"/>
            <w:hideMark/>
          </w:tcPr>
          <w:p w14:paraId="02D75D2D" w14:textId="77777777" w:rsidR="00776A1F" w:rsidRDefault="00D8574B">
            <w:pPr>
              <w:pStyle w:val="P68B1DB1-Normal8"/>
              <w:spacing w:after="0" w:line="240" w:lineRule="auto"/>
              <w:jc w:val="center"/>
              <w:rPr>
                <w:rFonts w:eastAsia="Times New Roman" w:cs="Calibri"/>
                <w:noProof/>
              </w:rPr>
            </w:pPr>
            <w:r>
              <w:rPr>
                <w:noProof/>
              </w:rPr>
              <w:t>Vienkāršotā sociālā aprīkojuma uzstādīšanas režīma stāšanās spēkā</w:t>
            </w:r>
          </w:p>
        </w:tc>
        <w:tc>
          <w:tcPr>
            <w:tcW w:w="1014" w:type="dxa"/>
            <w:shd w:val="clear" w:color="auto" w:fill="C4EFCE"/>
            <w:vAlign w:val="center"/>
            <w:hideMark/>
          </w:tcPr>
          <w:p w14:paraId="1B1E4AC9"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7427C6C7"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3501B542"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1D936D49"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3BD447DC" w14:textId="77777777" w:rsidR="00776A1F" w:rsidRDefault="00D8574B">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9D5A18E" w14:textId="77777777"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Stājas spēkā vienkāršotais sociālā aprīkojuma uzstādīšanas režīms ar šādiem raksturlielumiem</w:t>
            </w:r>
            <w:r>
              <w:rPr>
                <w:noProof/>
              </w:rPr>
              <w:br/>
            </w:r>
            <w:r>
              <w:rPr>
                <w:rFonts w:ascii="Times New Roman" w:hAnsi="Times New Roman"/>
                <w:noProof/>
                <w:sz w:val="14"/>
              </w:rPr>
              <w:t xml:space="preserve"> </w:t>
            </w:r>
            <w:r>
              <w:rPr>
                <w:rFonts w:ascii="Calibri" w:hAnsi="Calibri"/>
                <w:noProof/>
                <w:sz w:val="16"/>
              </w:rPr>
              <w:t>Noteikt licencēšanas un legalizācijas prasības vecāka gadagājuma cilvēkiem paredzētām dzīvojamām struktūrām, kas darbojas nelikumīgi;</w:t>
            </w:r>
            <w:r>
              <w:rPr>
                <w:noProof/>
              </w:rPr>
              <w:br/>
            </w:r>
            <w:r>
              <w:rPr>
                <w:rFonts w:ascii="Times New Roman" w:hAnsi="Times New Roman"/>
                <w:noProof/>
                <w:sz w:val="14"/>
              </w:rPr>
              <w:t xml:space="preserve"> </w:t>
            </w:r>
            <w:r>
              <w:rPr>
                <w:rFonts w:ascii="Calibri" w:hAnsi="Calibri"/>
                <w:noProof/>
                <w:sz w:val="16"/>
              </w:rPr>
              <w:t>Ieviest kvalitātes kritērijus sniegtajiem pakalpojumiem un aprūpes sociālajām iestādēm;</w:t>
            </w:r>
          </w:p>
          <w:p w14:paraId="73A3AE3B" w14:textId="77777777"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Izveidot sistēmu, lai ieviestu jaunus sociālo pasākumu veidus, piemēram, sadarbīgus mājokļus un jaunus mājokļu atbalsta modeļus, lai apmierinātu vecāka gadagājuma cilvēku dažādās vajadzības.</w:t>
            </w:r>
          </w:p>
          <w:p w14:paraId="696011FB" w14:textId="77777777" w:rsidR="00776A1F" w:rsidRDefault="00776A1F">
            <w:pPr>
              <w:spacing w:after="0" w:line="240" w:lineRule="auto"/>
              <w:jc w:val="both"/>
              <w:rPr>
                <w:rFonts w:ascii="Calibri" w:eastAsia="Times New Roman" w:hAnsi="Calibri" w:cs="Calibri"/>
                <w:noProof/>
                <w:sz w:val="16"/>
              </w:rPr>
            </w:pPr>
          </w:p>
        </w:tc>
      </w:tr>
      <w:tr w:rsidR="00776A1F" w14:paraId="4AAC7737" w14:textId="77777777">
        <w:trPr>
          <w:trHeight w:val="1470"/>
        </w:trPr>
        <w:tc>
          <w:tcPr>
            <w:tcW w:w="1124" w:type="dxa"/>
            <w:shd w:val="clear" w:color="auto" w:fill="C5EFCE"/>
            <w:vAlign w:val="center"/>
            <w:hideMark/>
          </w:tcPr>
          <w:p w14:paraId="53E47662" w14:textId="77777777" w:rsidR="00776A1F" w:rsidRDefault="00D8574B">
            <w:pPr>
              <w:pStyle w:val="P68B1DB1-Normal7"/>
              <w:spacing w:after="0" w:line="240" w:lineRule="auto"/>
              <w:jc w:val="center"/>
              <w:rPr>
                <w:rFonts w:eastAsia="Times New Roman" w:cs="Calibri"/>
                <w:noProof/>
              </w:rPr>
            </w:pPr>
            <w:r>
              <w:rPr>
                <w:noProof/>
              </w:rPr>
              <w:t>3.23</w:t>
            </w:r>
          </w:p>
        </w:tc>
        <w:tc>
          <w:tcPr>
            <w:tcW w:w="1143" w:type="dxa"/>
            <w:shd w:val="clear" w:color="auto" w:fill="C4EFCE"/>
            <w:vAlign w:val="center"/>
            <w:hideMark/>
          </w:tcPr>
          <w:p w14:paraId="7E9E6D6E" w14:textId="77777777" w:rsidR="00776A1F" w:rsidRDefault="00D8574B">
            <w:pPr>
              <w:pStyle w:val="P68B1DB1-Normal8"/>
              <w:spacing w:after="0" w:line="240" w:lineRule="auto"/>
              <w:jc w:val="center"/>
              <w:rPr>
                <w:rFonts w:eastAsia="Times New Roman" w:cs="Calibri"/>
                <w:noProof/>
              </w:rPr>
            </w:pPr>
            <w:r>
              <w:rPr>
                <w:noProof/>
              </w:rPr>
              <w:t>Re-C03-r07</w:t>
            </w:r>
          </w:p>
        </w:tc>
        <w:tc>
          <w:tcPr>
            <w:tcW w:w="982" w:type="dxa"/>
            <w:shd w:val="clear" w:color="auto" w:fill="C4EFCE"/>
            <w:vAlign w:val="center"/>
            <w:hideMark/>
          </w:tcPr>
          <w:p w14:paraId="1ED92161"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0AE24901" w14:textId="77777777" w:rsidR="00776A1F" w:rsidRDefault="00D8574B">
            <w:pPr>
              <w:pStyle w:val="P68B1DB1-Normal8"/>
              <w:spacing w:after="0" w:line="240" w:lineRule="auto"/>
              <w:jc w:val="center"/>
              <w:rPr>
                <w:rFonts w:eastAsia="Times New Roman" w:cs="Calibri"/>
                <w:noProof/>
              </w:rPr>
            </w:pPr>
            <w:r>
              <w:rPr>
                <w:noProof/>
              </w:rPr>
              <w:t>Rīcības plānu apstiprināšana nelabvēlīgā situācijā esošām kopienām Lisabonas un Portu aglomerācijās</w:t>
            </w:r>
          </w:p>
        </w:tc>
        <w:tc>
          <w:tcPr>
            <w:tcW w:w="1486" w:type="dxa"/>
            <w:shd w:val="clear" w:color="auto" w:fill="C4EFCE"/>
            <w:vAlign w:val="center"/>
            <w:hideMark/>
          </w:tcPr>
          <w:p w14:paraId="261758C6" w14:textId="77777777" w:rsidR="00776A1F" w:rsidRDefault="00D8574B">
            <w:pPr>
              <w:pStyle w:val="P68B1DB1-Normal8"/>
              <w:spacing w:after="0" w:line="240" w:lineRule="auto"/>
              <w:jc w:val="center"/>
              <w:rPr>
                <w:rFonts w:eastAsia="Times New Roman" w:cs="Calibri"/>
                <w:noProof/>
              </w:rPr>
            </w:pPr>
            <w:r>
              <w:rPr>
                <w:noProof/>
              </w:rPr>
              <w:t>Rīcības plānu apstiprināšana nelabvēlīgā situācijā esošām kopienām Lisabonas un Portu aglomerācijās attiecīgajās teritorijās.</w:t>
            </w:r>
          </w:p>
        </w:tc>
        <w:tc>
          <w:tcPr>
            <w:tcW w:w="1014" w:type="dxa"/>
            <w:shd w:val="clear" w:color="auto" w:fill="C4EFCE"/>
            <w:vAlign w:val="center"/>
            <w:hideMark/>
          </w:tcPr>
          <w:p w14:paraId="68B55A40"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0543D8B"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AC9AD61"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60D1855"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6F6B7AA0" w14:textId="77777777" w:rsidR="00776A1F" w:rsidRDefault="00D8574B">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094C2ECF" w14:textId="474A4AD6" w:rsidR="00776A1F" w:rsidRDefault="00D8574B">
            <w:pPr>
              <w:pStyle w:val="P68B1DB1-Normal8"/>
              <w:spacing w:after="0" w:line="240" w:lineRule="auto"/>
              <w:jc w:val="both"/>
              <w:rPr>
                <w:rFonts w:eastAsia="Times New Roman" w:cs="Calibri"/>
                <w:noProof/>
              </w:rPr>
            </w:pPr>
            <w:r>
              <w:rPr>
                <w:noProof/>
              </w:rPr>
              <w:t>Lisabonas un Portu aglomerāciju rīcības plānu apstiprināšana nelabvēlīgā situācijā esošām kopienām. Rīcības plānos galvenā uzmanība ir pievērsta divām galvenajām jomām: pasākumi publiskajā telpā un sociālajā infrastruktūrā, piemēram, bērnudārzos un pamatskolās, veselības aprūpes iestādēs un kultūras pasākumu telpās, darbsemināros un/vai mācību kursos; II) Nemateriāli pasākumi sociālās kohēzijas veicināšanai, piemēram, kopienu aktīva iesaistīšana to izstrādē un īstenošanā, mazo vietējo uzņēmumu uzņēmējdarbības veicināšana, tādu projektu izstrāde, kuru mērķis ir cīnīties pret nesekmību un mācību pārtraukšanu, profesionālās apmācības piedāvāšana un sporta popularizēšana. Tiek ieviests pārvaldības modelis, kura pamatā ir daudzlīmeņu pārvaldības principi un kurā iesaistīti dažādi dalībnieki no centrālās valdības līdz vietējām teritorijām/kaimiņattiecībām. Tajā pašā laikā šā modeļa darbības priekšplānā ir vietējās tehniskās vienības, lai veicinātu īpašumtiesības un tuvumu līgumu pārvaldībā un īstenošanā.</w:t>
            </w:r>
          </w:p>
        </w:tc>
      </w:tr>
      <w:tr w:rsidR="00776A1F" w14:paraId="6A8DEB67" w14:textId="77777777">
        <w:trPr>
          <w:trHeight w:val="54"/>
        </w:trPr>
        <w:tc>
          <w:tcPr>
            <w:tcW w:w="1124" w:type="dxa"/>
            <w:shd w:val="clear" w:color="auto" w:fill="C5EFCE"/>
            <w:vAlign w:val="center"/>
            <w:hideMark/>
          </w:tcPr>
          <w:p w14:paraId="2E2BCCE3" w14:textId="77777777" w:rsidR="00776A1F" w:rsidRDefault="00D8574B">
            <w:pPr>
              <w:pStyle w:val="P68B1DB1-Normal7"/>
              <w:spacing w:after="0" w:line="240" w:lineRule="auto"/>
              <w:jc w:val="center"/>
              <w:rPr>
                <w:rFonts w:eastAsia="Times New Roman" w:cs="Calibri"/>
                <w:noProof/>
              </w:rPr>
            </w:pPr>
            <w:r>
              <w:rPr>
                <w:noProof/>
              </w:rPr>
              <w:t>3.24</w:t>
            </w:r>
          </w:p>
        </w:tc>
        <w:tc>
          <w:tcPr>
            <w:tcW w:w="1143" w:type="dxa"/>
            <w:shd w:val="clear" w:color="auto" w:fill="C4EFCE"/>
            <w:vAlign w:val="center"/>
            <w:hideMark/>
          </w:tcPr>
          <w:p w14:paraId="615FFB2A" w14:textId="3295EEAC" w:rsidR="00776A1F" w:rsidRDefault="00D8574B">
            <w:pPr>
              <w:pStyle w:val="P68B1DB1-Normal9"/>
              <w:spacing w:after="0" w:line="240" w:lineRule="auto"/>
              <w:jc w:val="center"/>
              <w:rPr>
                <w:rFonts w:eastAsia="Times New Roman" w:cs="Calibri"/>
                <w:noProof/>
                <w:sz w:val="2"/>
              </w:rPr>
            </w:pPr>
            <w:r>
              <w:rPr>
                <w:noProof/>
                <w:sz w:val="16"/>
              </w:rPr>
              <w:t>Re-C03-i06</w:t>
            </w:r>
            <w:r>
              <w:rPr>
                <w:noProof/>
                <w:sz w:val="2"/>
              </w:rPr>
              <w:t xml:space="preserve"> </w:t>
            </w:r>
          </w:p>
        </w:tc>
        <w:tc>
          <w:tcPr>
            <w:tcW w:w="982" w:type="dxa"/>
            <w:shd w:val="clear" w:color="auto" w:fill="C4EFCE"/>
            <w:vAlign w:val="center"/>
            <w:hideMark/>
          </w:tcPr>
          <w:p w14:paraId="3A336285" w14:textId="340ADB5F" w:rsidR="00776A1F" w:rsidRDefault="00D8574B">
            <w:pPr>
              <w:pStyle w:val="P68B1DB1-Normal9"/>
              <w:spacing w:after="0" w:line="240" w:lineRule="auto"/>
              <w:jc w:val="center"/>
              <w:rPr>
                <w:rFonts w:eastAsia="Times New Roman" w:cs="Calibri"/>
                <w:noProof/>
                <w:sz w:val="2"/>
              </w:rPr>
            </w:pPr>
            <w:r>
              <w:rPr>
                <w:noProof/>
                <w:sz w:val="16"/>
              </w:rPr>
              <w:t>M</w:t>
            </w:r>
            <w:r>
              <w:rPr>
                <w:noProof/>
                <w:sz w:val="2"/>
              </w:rPr>
              <w:t xml:space="preserve"> </w:t>
            </w:r>
          </w:p>
        </w:tc>
        <w:tc>
          <w:tcPr>
            <w:tcW w:w="1740" w:type="dxa"/>
            <w:shd w:val="clear" w:color="auto" w:fill="C4EFCE"/>
            <w:vAlign w:val="center"/>
            <w:hideMark/>
          </w:tcPr>
          <w:p w14:paraId="60576BD2" w14:textId="7F78B1AB" w:rsidR="00776A1F" w:rsidRDefault="00D8574B">
            <w:pPr>
              <w:pStyle w:val="P68B1DB1-Normal9"/>
              <w:spacing w:after="0" w:line="240" w:lineRule="auto"/>
              <w:jc w:val="center"/>
              <w:rPr>
                <w:rFonts w:eastAsia="Times New Roman" w:cs="Calibri"/>
                <w:noProof/>
                <w:sz w:val="2"/>
              </w:rPr>
            </w:pPr>
            <w:r>
              <w:rPr>
                <w:noProof/>
                <w:sz w:val="16"/>
              </w:rPr>
              <w:t>Lisabonas/Porto pašvaldību un vietējo tehnisko vienību nolīgumu parakstīšana, kuros noteikts atbalstāmo pasākumu tvērums.</w:t>
            </w:r>
            <w:r>
              <w:rPr>
                <w:noProof/>
                <w:sz w:val="2"/>
              </w:rPr>
              <w:t xml:space="preserve"> </w:t>
            </w:r>
          </w:p>
        </w:tc>
        <w:tc>
          <w:tcPr>
            <w:tcW w:w="1486" w:type="dxa"/>
            <w:shd w:val="clear" w:color="auto" w:fill="C4EFCE"/>
            <w:vAlign w:val="center"/>
            <w:hideMark/>
          </w:tcPr>
          <w:p w14:paraId="14D03986" w14:textId="6BAAE04A" w:rsidR="00776A1F" w:rsidRDefault="00D8574B">
            <w:pPr>
              <w:pStyle w:val="P68B1DB1-Normal9"/>
              <w:spacing w:after="0" w:line="240" w:lineRule="auto"/>
              <w:jc w:val="center"/>
              <w:rPr>
                <w:rFonts w:eastAsia="Times New Roman" w:cs="Calibri"/>
                <w:noProof/>
                <w:sz w:val="2"/>
              </w:rPr>
            </w:pPr>
            <w:r>
              <w:rPr>
                <w:noProof/>
                <w:sz w:val="16"/>
              </w:rPr>
              <w:t>Nolīgumu parakstīšana par plāniem attiecībā uz 12 intervences jomām</w:t>
            </w:r>
            <w:r>
              <w:rPr>
                <w:noProof/>
                <w:sz w:val="2"/>
              </w:rPr>
              <w:t xml:space="preserve"> </w:t>
            </w:r>
          </w:p>
        </w:tc>
        <w:tc>
          <w:tcPr>
            <w:tcW w:w="1014" w:type="dxa"/>
            <w:shd w:val="clear" w:color="auto" w:fill="C4EFCE"/>
            <w:vAlign w:val="center"/>
            <w:hideMark/>
          </w:tcPr>
          <w:p w14:paraId="133B822E" w14:textId="77777777" w:rsidR="00776A1F" w:rsidRDefault="00D8574B">
            <w:pPr>
              <w:pStyle w:val="P68B1DB1-Normal15"/>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FDD089" w14:textId="77777777" w:rsidR="00776A1F" w:rsidRDefault="00D8574B">
            <w:pPr>
              <w:pStyle w:val="P68B1DB1-Normal15"/>
              <w:spacing w:after="0" w:line="240" w:lineRule="auto"/>
              <w:jc w:val="center"/>
              <w:rPr>
                <w:rFonts w:eastAsia="Times New Roman" w:cs="Calibri"/>
                <w:noProof/>
              </w:rPr>
            </w:pPr>
            <w:r>
              <w:rPr>
                <w:noProof/>
              </w:rPr>
              <w:t> </w:t>
            </w:r>
          </w:p>
        </w:tc>
        <w:tc>
          <w:tcPr>
            <w:tcW w:w="882" w:type="dxa"/>
            <w:shd w:val="clear" w:color="auto" w:fill="C4EFCE"/>
            <w:vAlign w:val="center"/>
            <w:hideMark/>
          </w:tcPr>
          <w:p w14:paraId="60360FF4" w14:textId="77777777" w:rsidR="00776A1F" w:rsidRDefault="00D8574B">
            <w:pPr>
              <w:pStyle w:val="P68B1DB1-Normal15"/>
              <w:spacing w:after="0" w:line="240" w:lineRule="auto"/>
              <w:jc w:val="center"/>
              <w:rPr>
                <w:rFonts w:eastAsia="Times New Roman" w:cs="Calibri"/>
                <w:noProof/>
              </w:rPr>
            </w:pPr>
            <w:r>
              <w:rPr>
                <w:noProof/>
              </w:rPr>
              <w:t> </w:t>
            </w:r>
          </w:p>
        </w:tc>
        <w:tc>
          <w:tcPr>
            <w:tcW w:w="680" w:type="dxa"/>
            <w:shd w:val="clear" w:color="auto" w:fill="C4EFCE"/>
            <w:vAlign w:val="center"/>
            <w:hideMark/>
          </w:tcPr>
          <w:p w14:paraId="150EEAF8" w14:textId="19C15C24" w:rsidR="00776A1F" w:rsidRDefault="00D8574B">
            <w:pPr>
              <w:pStyle w:val="P68B1DB1-Normal9"/>
              <w:spacing w:after="0" w:line="240" w:lineRule="auto"/>
              <w:jc w:val="center"/>
              <w:rPr>
                <w:rFonts w:eastAsia="Times New Roman" w:cs="Calibri"/>
                <w:noProof/>
                <w:sz w:val="2"/>
              </w:rPr>
            </w:pPr>
            <w:r>
              <w:rPr>
                <w:noProof/>
                <w:sz w:val="16"/>
              </w:rPr>
              <w:t>1. CET.</w:t>
            </w:r>
            <w:r>
              <w:rPr>
                <w:noProof/>
                <w:sz w:val="2"/>
              </w:rPr>
              <w:t xml:space="preserve"> </w:t>
            </w:r>
          </w:p>
        </w:tc>
        <w:tc>
          <w:tcPr>
            <w:tcW w:w="845" w:type="dxa"/>
            <w:shd w:val="clear" w:color="auto" w:fill="C4EFCE"/>
            <w:vAlign w:val="center"/>
            <w:hideMark/>
          </w:tcPr>
          <w:p w14:paraId="7858F213" w14:textId="0BA23128" w:rsidR="00776A1F" w:rsidRDefault="00D8574B">
            <w:pPr>
              <w:pStyle w:val="P68B1DB1-Normal9"/>
              <w:spacing w:after="0" w:line="240" w:lineRule="auto"/>
              <w:jc w:val="center"/>
              <w:rPr>
                <w:rFonts w:eastAsia="Times New Roman" w:cs="Calibri"/>
                <w:noProof/>
                <w:sz w:val="2"/>
              </w:rPr>
            </w:pPr>
            <w:r>
              <w:rPr>
                <w:noProof/>
                <w:sz w:val="16"/>
              </w:rPr>
              <w:t>2022</w:t>
            </w:r>
            <w:r>
              <w:rPr>
                <w:noProof/>
                <w:sz w:val="2"/>
              </w:rPr>
              <w:t xml:space="preserve"> </w:t>
            </w:r>
          </w:p>
        </w:tc>
        <w:tc>
          <w:tcPr>
            <w:tcW w:w="4277" w:type="dxa"/>
            <w:shd w:val="clear" w:color="auto" w:fill="C4EFCE"/>
            <w:vAlign w:val="center"/>
            <w:hideMark/>
          </w:tcPr>
          <w:p w14:paraId="074BB5C5" w14:textId="77777777" w:rsidR="00776A1F" w:rsidRDefault="00776A1F">
            <w:pPr>
              <w:spacing w:after="0" w:line="240" w:lineRule="auto"/>
              <w:jc w:val="both"/>
              <w:rPr>
                <w:rFonts w:ascii="Calibri" w:eastAsia="Times New Roman" w:hAnsi="Calibri" w:cs="Calibri"/>
                <w:noProof/>
                <w:sz w:val="2"/>
              </w:rPr>
            </w:pPr>
          </w:p>
          <w:p w14:paraId="2B90755B" w14:textId="77777777" w:rsidR="00776A1F" w:rsidRDefault="00D8574B">
            <w:pPr>
              <w:pStyle w:val="P68B1DB1-Normal8"/>
              <w:spacing w:after="0" w:line="240" w:lineRule="auto"/>
              <w:jc w:val="both"/>
              <w:rPr>
                <w:rFonts w:eastAsia="Times New Roman" w:cs="Calibri"/>
                <w:noProof/>
              </w:rPr>
            </w:pPr>
            <w:r>
              <w:rPr>
                <w:noProof/>
              </w:rPr>
              <w:t xml:space="preserve">Nolīgumu parakstīšana starp Portu un Lisabonas aglomerācijām un vietējām tehniskajām vienībām, kas atbild par katru no 12 intervences jomām (t. i., apkaimes), nosakot atbalstāmo pasākumu darbības jomu, to izpildes grafiku, piešķirto budžeta atbalstu EUR 225 miljonu apmērā un izvēlētos darbības rādītājus. Atbalstāmie pasākumi pieder pie šādām kategorijām: </w:t>
            </w:r>
          </w:p>
          <w:p w14:paraId="17B62751" w14:textId="420F0041" w:rsidR="00776A1F" w:rsidRDefault="00D8574B">
            <w:pPr>
              <w:pStyle w:val="P68B1DB1-Normal8"/>
              <w:spacing w:after="0" w:line="240" w:lineRule="auto"/>
              <w:jc w:val="both"/>
              <w:rPr>
                <w:rFonts w:eastAsia="Times New Roman" w:cs="Calibri"/>
                <w:noProof/>
              </w:rPr>
            </w:pPr>
            <w:r>
              <w:rPr>
                <w:noProof/>
              </w:rPr>
              <w:t>• Sabiedrības veselības un dzīves kvalitātes veicināšana</w:t>
            </w:r>
          </w:p>
          <w:p w14:paraId="54898F6F" w14:textId="01E4CBF5" w:rsidR="00776A1F" w:rsidRDefault="00D8574B">
            <w:pPr>
              <w:pStyle w:val="P68B1DB1-Normal8"/>
              <w:spacing w:after="0" w:line="240" w:lineRule="auto"/>
              <w:jc w:val="both"/>
              <w:rPr>
                <w:rFonts w:eastAsia="Times New Roman" w:cs="Calibri"/>
                <w:noProof/>
              </w:rPr>
            </w:pPr>
            <w:r>
              <w:rPr>
                <w:noProof/>
              </w:rPr>
              <w:t>• Publiskās telpas fiziska uzlabošana vai sociālās, veselības, mājokļu vai sporta infrastruktūras stiprināšana;</w:t>
            </w:r>
          </w:p>
          <w:p w14:paraId="624EBE3B" w14:textId="4572A9ED" w:rsidR="00776A1F" w:rsidRDefault="00D8574B">
            <w:pPr>
              <w:pStyle w:val="P68B1DB1-Normal8"/>
              <w:spacing w:after="0" w:line="240" w:lineRule="auto"/>
              <w:jc w:val="both"/>
              <w:rPr>
                <w:rFonts w:eastAsia="Times New Roman" w:cs="Calibri"/>
                <w:noProof/>
              </w:rPr>
            </w:pPr>
            <w:r>
              <w:rPr>
                <w:noProof/>
              </w:rPr>
              <w:t>• Sociāli nelabvēlīgā situācijā esošu reģionu ekonomikas atjaunošana</w:t>
            </w:r>
          </w:p>
          <w:p w14:paraId="5AEDB899" w14:textId="1FE16CD3" w:rsidR="00776A1F" w:rsidRDefault="00D8574B">
            <w:pPr>
              <w:pStyle w:val="P68B1DB1-Normal8"/>
              <w:spacing w:after="0" w:line="240" w:lineRule="auto"/>
              <w:jc w:val="both"/>
              <w:rPr>
                <w:rFonts w:eastAsia="Times New Roman" w:cs="Calibri"/>
                <w:noProof/>
              </w:rPr>
            </w:pPr>
            <w:r>
              <w:rPr>
                <w:noProof/>
              </w:rPr>
              <w:t>• Mazo, vietējo uzņēmumu uzņēmējdarbība</w:t>
            </w:r>
          </w:p>
          <w:p w14:paraId="2618AB0D" w14:textId="60D4AC3E" w:rsidR="00776A1F" w:rsidRDefault="00D8574B">
            <w:pPr>
              <w:pStyle w:val="P68B1DB1-Normal8"/>
              <w:spacing w:after="0" w:line="240" w:lineRule="auto"/>
              <w:jc w:val="both"/>
              <w:rPr>
                <w:rFonts w:eastAsia="Times New Roman" w:cs="Calibri"/>
                <w:noProof/>
              </w:rPr>
            </w:pPr>
            <w:r>
              <w:rPr>
                <w:noProof/>
              </w:rPr>
              <w:t>• Veselības aprūpes pieejamība, sabiedrības veselības attīstība un atkarības apkarošana</w:t>
            </w:r>
          </w:p>
          <w:p w14:paraId="59E0A48F" w14:textId="2B2BB1BF" w:rsidR="00776A1F" w:rsidRDefault="00D8574B">
            <w:pPr>
              <w:pStyle w:val="P68B1DB1-Normal8"/>
              <w:spacing w:after="0" w:line="240" w:lineRule="auto"/>
              <w:jc w:val="both"/>
              <w:rPr>
                <w:rFonts w:eastAsia="Times New Roman" w:cs="Calibri"/>
                <w:noProof/>
              </w:rPr>
            </w:pPr>
            <w:r>
              <w:rPr>
                <w:noProof/>
              </w:rPr>
              <w:t>• Aktīvas un veselīgas novecošanas programmas</w:t>
            </w:r>
          </w:p>
          <w:p w14:paraId="464EC0E8" w14:textId="7A5664FE" w:rsidR="00776A1F" w:rsidRDefault="00D8574B">
            <w:pPr>
              <w:pStyle w:val="P68B1DB1-Normal8"/>
              <w:spacing w:after="0" w:line="240" w:lineRule="auto"/>
              <w:jc w:val="both"/>
              <w:rPr>
                <w:rFonts w:eastAsia="Times New Roman" w:cs="Calibri"/>
                <w:noProof/>
              </w:rPr>
            </w:pPr>
            <w:r>
              <w:rPr>
                <w:noProof/>
              </w:rPr>
              <w:t>• Projekti, kuru mērķis ir cīnīties pret nesekmību un mācību pārtraukšanu</w:t>
            </w:r>
          </w:p>
          <w:p w14:paraId="5F6D5B68" w14:textId="2CE34C86" w:rsidR="00776A1F" w:rsidRDefault="00D8574B">
            <w:pPr>
              <w:pStyle w:val="P68B1DB1-Normal8"/>
              <w:spacing w:after="0" w:line="240" w:lineRule="auto"/>
              <w:jc w:val="both"/>
              <w:rPr>
                <w:rFonts w:eastAsia="Times New Roman" w:cs="Calibri"/>
                <w:noProof/>
              </w:rPr>
            </w:pPr>
            <w:r>
              <w:rPr>
                <w:noProof/>
              </w:rPr>
              <w:t>• Pieaugušo kvalifikācija un prasmju sertifikācija</w:t>
            </w:r>
          </w:p>
          <w:p w14:paraId="23C5A42E" w14:textId="572B3615" w:rsidR="00776A1F" w:rsidRDefault="00D8574B">
            <w:pPr>
              <w:pStyle w:val="P68B1DB1-Normal8"/>
              <w:spacing w:after="0" w:line="240" w:lineRule="auto"/>
              <w:jc w:val="both"/>
              <w:rPr>
                <w:rFonts w:eastAsia="Times New Roman" w:cs="Calibri"/>
                <w:noProof/>
              </w:rPr>
            </w:pPr>
            <w:r>
              <w:rPr>
                <w:noProof/>
              </w:rPr>
              <w:t>• Iedzīvotāju vajadzību diagnoze un pieaugušo rakstpratības, portugāļu valodas apguves un digitālās iekļaušanas programmu attīstība;</w:t>
            </w:r>
          </w:p>
          <w:p w14:paraId="2FC6B1C6" w14:textId="707952D2" w:rsidR="00776A1F" w:rsidRDefault="00D8574B">
            <w:pPr>
              <w:pStyle w:val="P68B1DB1-Normal8"/>
              <w:spacing w:after="0" w:line="240" w:lineRule="auto"/>
              <w:jc w:val="both"/>
              <w:rPr>
                <w:rFonts w:eastAsia="Times New Roman" w:cs="Calibri"/>
                <w:noProof/>
              </w:rPr>
            </w:pPr>
            <w:r>
              <w:rPr>
                <w:noProof/>
              </w:rPr>
              <w:t xml:space="preserve">• Profesionālā apmācība un politika  </w:t>
            </w:r>
          </w:p>
          <w:p w14:paraId="0C19E077" w14:textId="16BBF976" w:rsidR="00776A1F" w:rsidRDefault="00D8574B">
            <w:pPr>
              <w:pStyle w:val="P68B1DB1-Normal8"/>
              <w:spacing w:after="0" w:line="240" w:lineRule="auto"/>
              <w:jc w:val="both"/>
              <w:rPr>
                <w:rFonts w:eastAsia="Times New Roman" w:cs="Calibri"/>
                <w:noProof/>
              </w:rPr>
            </w:pPr>
            <w:r>
              <w:rPr>
                <w:noProof/>
              </w:rPr>
              <w:t xml:space="preserve">• Piekļuve kultūrai un radošumam  </w:t>
            </w:r>
          </w:p>
          <w:p w14:paraId="445DE787" w14:textId="15E88B9F" w:rsidR="00776A1F" w:rsidRDefault="00D8574B">
            <w:pPr>
              <w:pStyle w:val="P68B1DB1-Normal8"/>
              <w:spacing w:after="0" w:line="240" w:lineRule="auto"/>
              <w:jc w:val="both"/>
              <w:rPr>
                <w:rFonts w:eastAsia="Times New Roman" w:cs="Calibri"/>
                <w:noProof/>
              </w:rPr>
            </w:pPr>
            <w:r>
              <w:rPr>
                <w:noProof/>
              </w:rPr>
              <w:t>• Kopienas līdzdalība programmas pārvaldībā</w:t>
            </w:r>
          </w:p>
          <w:p w14:paraId="1541178C" w14:textId="77FC312E" w:rsidR="00776A1F" w:rsidRDefault="00D8574B">
            <w:pPr>
              <w:pStyle w:val="P68B1DB1-Normal8"/>
              <w:spacing w:after="0" w:line="240" w:lineRule="auto"/>
              <w:jc w:val="both"/>
              <w:rPr>
                <w:rFonts w:eastAsia="Times New Roman" w:cs="Calibri"/>
                <w:noProof/>
              </w:rPr>
            </w:pPr>
            <w:r>
              <w:rPr>
                <w:noProof/>
              </w:rPr>
              <w:t>• Vietējo dalībnieku iespēju palielināšana partnerības tīklos</w:t>
            </w:r>
          </w:p>
          <w:p w14:paraId="20F7BB6E" w14:textId="58EAC5BB" w:rsidR="00776A1F" w:rsidRDefault="00D8574B">
            <w:pPr>
              <w:pStyle w:val="P68B1DB1-Normal8"/>
              <w:spacing w:after="0" w:line="240" w:lineRule="auto"/>
              <w:jc w:val="both"/>
              <w:rPr>
                <w:rFonts w:eastAsia="Times New Roman" w:cs="Calibri"/>
                <w:noProof/>
              </w:rPr>
            </w:pPr>
            <w:r>
              <w:rPr>
                <w:noProof/>
              </w:rPr>
              <w:t>• Risinājumi nabadzības un sociālās atstumtības apkarošanai</w:t>
            </w:r>
          </w:p>
          <w:p w14:paraId="41B06FE0" w14:textId="626AE119" w:rsidR="00776A1F" w:rsidRDefault="00D8574B">
            <w:pPr>
              <w:pStyle w:val="P68B1DB1-Normal8"/>
              <w:spacing w:after="0" w:line="240" w:lineRule="auto"/>
              <w:jc w:val="both"/>
              <w:rPr>
                <w:rFonts w:eastAsia="Times New Roman" w:cs="Calibri"/>
                <w:noProof/>
              </w:rPr>
            </w:pPr>
            <w:r>
              <w:rPr>
                <w:noProof/>
              </w:rPr>
              <w:t>• Sporta veicināšana</w:t>
            </w:r>
          </w:p>
          <w:p w14:paraId="652D8882" w14:textId="77777777" w:rsidR="00776A1F" w:rsidRDefault="00D8574B">
            <w:pPr>
              <w:pStyle w:val="P68B1DB1-Normal8"/>
              <w:spacing w:after="0" w:line="240" w:lineRule="auto"/>
              <w:jc w:val="both"/>
              <w:rPr>
                <w:rFonts w:eastAsia="Times New Roman" w:cs="Calibri"/>
                <w:noProof/>
              </w:rPr>
            </w:pPr>
            <w:r>
              <w:rPr>
                <w:noProof/>
              </w:rPr>
              <w:t>• Pilsonība un piekļuve tiesībām un pilsoniskai līdzdalībai</w:t>
            </w:r>
          </w:p>
          <w:p w14:paraId="394A6176" w14:textId="316BED13" w:rsidR="00776A1F" w:rsidRDefault="00776A1F">
            <w:pPr>
              <w:spacing w:after="0" w:line="240" w:lineRule="auto"/>
              <w:jc w:val="both"/>
              <w:rPr>
                <w:rFonts w:ascii="Calibri" w:eastAsia="Times New Roman" w:hAnsi="Calibri" w:cs="Calibri"/>
                <w:noProof/>
                <w:sz w:val="16"/>
              </w:rPr>
            </w:pPr>
          </w:p>
          <w:p w14:paraId="1472C29A" w14:textId="2ED36D93" w:rsidR="00776A1F" w:rsidRDefault="00D8574B">
            <w:pPr>
              <w:pStyle w:val="P68B1DB1-Normal8"/>
              <w:spacing w:after="0" w:line="240" w:lineRule="auto"/>
              <w:jc w:val="both"/>
              <w:rPr>
                <w:rFonts w:eastAsia="Times New Roman" w:cs="Calibri"/>
                <w:noProof/>
              </w:rPr>
            </w:pPr>
            <w:r>
              <w:rPr>
                <w:noProof/>
              </w:rPr>
              <w:t>Nākamo uzaicinājumu iesniegt projektus darba uzdevums ietver atbilstības kritērijus, kas nodrošina, ka atlasītie projekti atbilst Tehniskajiem norādījumiem “nenodari būtisku kaitējumu” (2021/C58/01), izmantojot izslēgšanas sarakstu un prasību par atbilstību attiecīgajiem ES un valstu tiesību aktiem vides jomā.</w:t>
            </w:r>
          </w:p>
          <w:p w14:paraId="7E890B92" w14:textId="3B827B04" w:rsidR="00776A1F" w:rsidRDefault="00776A1F">
            <w:pPr>
              <w:spacing w:after="0" w:line="240" w:lineRule="auto"/>
              <w:jc w:val="both"/>
              <w:rPr>
                <w:rFonts w:ascii="Calibri" w:eastAsia="Times New Roman" w:hAnsi="Calibri" w:cs="Calibri"/>
                <w:noProof/>
                <w:sz w:val="2"/>
              </w:rPr>
            </w:pPr>
          </w:p>
        </w:tc>
      </w:tr>
      <w:tr w:rsidR="00776A1F" w14:paraId="4A758E18" w14:textId="77777777">
        <w:trPr>
          <w:trHeight w:val="1610"/>
        </w:trPr>
        <w:tc>
          <w:tcPr>
            <w:tcW w:w="1124" w:type="dxa"/>
            <w:shd w:val="clear" w:color="auto" w:fill="C5EFCE"/>
            <w:vAlign w:val="center"/>
            <w:hideMark/>
          </w:tcPr>
          <w:p w14:paraId="497D6364" w14:textId="77777777" w:rsidR="00776A1F" w:rsidRDefault="00D8574B">
            <w:pPr>
              <w:pStyle w:val="P68B1DB1-Normal7"/>
              <w:spacing w:after="0" w:line="240" w:lineRule="auto"/>
              <w:jc w:val="center"/>
              <w:rPr>
                <w:rFonts w:eastAsia="Times New Roman" w:cs="Calibri"/>
                <w:noProof/>
              </w:rPr>
            </w:pPr>
            <w:r>
              <w:rPr>
                <w:noProof/>
              </w:rPr>
              <w:t>3.25</w:t>
            </w:r>
          </w:p>
        </w:tc>
        <w:tc>
          <w:tcPr>
            <w:tcW w:w="1143" w:type="dxa"/>
            <w:shd w:val="clear" w:color="auto" w:fill="C4EFCE"/>
            <w:vAlign w:val="center"/>
            <w:hideMark/>
          </w:tcPr>
          <w:p w14:paraId="6A5AD6FB" w14:textId="77777777" w:rsidR="00776A1F" w:rsidRDefault="00D8574B">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39F64B5A" w14:textId="77777777" w:rsidR="00776A1F" w:rsidRDefault="00D8574B">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8B59250" w14:textId="77777777" w:rsidR="00776A1F" w:rsidRDefault="00D8574B">
            <w:pPr>
              <w:pStyle w:val="P68B1DB1-Normal8"/>
              <w:spacing w:after="0" w:line="240" w:lineRule="auto"/>
              <w:jc w:val="center"/>
              <w:rPr>
                <w:rFonts w:eastAsia="Times New Roman" w:cs="Calibri"/>
                <w:noProof/>
              </w:rPr>
            </w:pPr>
            <w:r>
              <w:rPr>
                <w:noProof/>
              </w:rPr>
              <w:t>Portu un Lisabonas aglomerāciju monitoringa ziņojuma publicēšana par pasākumiem, kas veikti katrā no 12 intervences jomām.</w:t>
            </w:r>
          </w:p>
        </w:tc>
        <w:tc>
          <w:tcPr>
            <w:tcW w:w="1486" w:type="dxa"/>
            <w:shd w:val="clear" w:color="auto" w:fill="C4EFCE"/>
            <w:vAlign w:val="center"/>
            <w:hideMark/>
          </w:tcPr>
          <w:p w14:paraId="28BAE001" w14:textId="77777777" w:rsidR="00776A1F" w:rsidRDefault="00D8574B">
            <w:pPr>
              <w:pStyle w:val="P68B1DB1-Normal8"/>
              <w:spacing w:after="0" w:line="240" w:lineRule="auto"/>
              <w:jc w:val="center"/>
              <w:rPr>
                <w:rFonts w:eastAsia="Times New Roman" w:cs="Calibri"/>
                <w:noProof/>
              </w:rPr>
            </w:pPr>
            <w:r>
              <w:rPr>
                <w:noProof/>
              </w:rPr>
              <w:t>Portu un Lisabonas aglomerāciju monitoringa ziņojuma publicēšana</w:t>
            </w:r>
          </w:p>
        </w:tc>
        <w:tc>
          <w:tcPr>
            <w:tcW w:w="1014" w:type="dxa"/>
            <w:shd w:val="clear" w:color="auto" w:fill="C4EFCE"/>
            <w:vAlign w:val="center"/>
            <w:hideMark/>
          </w:tcPr>
          <w:p w14:paraId="24305125"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A5B68E" w14:textId="77777777" w:rsidR="00776A1F" w:rsidRDefault="00D8574B">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C5955AE" w14:textId="77777777" w:rsidR="00776A1F" w:rsidRDefault="00D8574B">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A38C3DB" w14:textId="77777777" w:rsidR="00776A1F" w:rsidRDefault="00D8574B">
            <w:pPr>
              <w:pStyle w:val="P68B1DB1-Normal8"/>
              <w:spacing w:after="0" w:line="240" w:lineRule="auto"/>
              <w:jc w:val="center"/>
              <w:rPr>
                <w:rFonts w:eastAsia="Times New Roman" w:cs="Calibri"/>
                <w:noProof/>
              </w:rPr>
            </w:pPr>
            <w:r>
              <w:rPr>
                <w:noProof/>
              </w:rPr>
              <w:t>2. CET.</w:t>
            </w:r>
          </w:p>
        </w:tc>
        <w:tc>
          <w:tcPr>
            <w:tcW w:w="845" w:type="dxa"/>
            <w:shd w:val="clear" w:color="auto" w:fill="C4EFCE"/>
            <w:vAlign w:val="center"/>
            <w:hideMark/>
          </w:tcPr>
          <w:p w14:paraId="6EBEABFB" w14:textId="77777777" w:rsidR="00776A1F" w:rsidRDefault="00D8574B">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D8AD1A" w14:textId="77777777" w:rsidR="00776A1F" w:rsidRDefault="00D8574B">
            <w:pPr>
              <w:pStyle w:val="P68B1DB1-Normal8"/>
              <w:spacing w:after="0" w:line="240" w:lineRule="auto"/>
              <w:jc w:val="both"/>
              <w:rPr>
                <w:rFonts w:eastAsia="Times New Roman" w:cs="Calibri"/>
                <w:noProof/>
              </w:rPr>
            </w:pPr>
            <w:r>
              <w:rPr>
                <w:noProof/>
              </w:rPr>
              <w:t>Portu un Lisabonas aglomerāciju uzraudzības ziņojuma publicēšana, kurā aprakstīts progress, kas panākts programmas finansēto pasākumu īstenošanā katrā intervences jomā, tostarp budžeta izpilde un rezultāti salīdzinājumā ar katram pasākumam izvēlētajiem rādītājiem.</w:t>
            </w:r>
          </w:p>
        </w:tc>
      </w:tr>
      <w:tr w:rsidR="00776A1F" w14:paraId="729825A9" w14:textId="77777777">
        <w:trPr>
          <w:trHeight w:val="1060"/>
        </w:trPr>
        <w:tc>
          <w:tcPr>
            <w:tcW w:w="1124" w:type="dxa"/>
            <w:shd w:val="clear" w:color="auto" w:fill="C4EFCE"/>
            <w:vAlign w:val="center"/>
            <w:hideMark/>
          </w:tcPr>
          <w:p w14:paraId="1AD90BC8" w14:textId="77777777" w:rsidR="00776A1F" w:rsidRDefault="00D8574B">
            <w:pPr>
              <w:pStyle w:val="P68B1DB1-Normal7"/>
              <w:spacing w:after="0" w:line="240" w:lineRule="auto"/>
              <w:jc w:val="center"/>
              <w:rPr>
                <w:rFonts w:eastAsia="Times New Roman" w:cs="Calibri"/>
                <w:noProof/>
              </w:rPr>
            </w:pPr>
            <w:r>
              <w:rPr>
                <w:noProof/>
              </w:rPr>
              <w:t>3.26</w:t>
            </w:r>
          </w:p>
        </w:tc>
        <w:tc>
          <w:tcPr>
            <w:tcW w:w="1143" w:type="dxa"/>
            <w:shd w:val="clear" w:color="auto" w:fill="C4EFCE"/>
            <w:vAlign w:val="center"/>
            <w:hideMark/>
          </w:tcPr>
          <w:p w14:paraId="13A5C210" w14:textId="77777777" w:rsidR="00776A1F" w:rsidRDefault="00D8574B">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5912A173" w14:textId="77777777" w:rsidR="00776A1F" w:rsidRDefault="00D8574B">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AC8971D" w14:textId="77777777" w:rsidR="00776A1F" w:rsidRDefault="00D8574B">
            <w:pPr>
              <w:pStyle w:val="P68B1DB1-Normal8"/>
              <w:spacing w:after="0" w:line="240" w:lineRule="auto"/>
              <w:jc w:val="center"/>
              <w:rPr>
                <w:rFonts w:eastAsia="Times New Roman" w:cs="Calibri"/>
                <w:noProof/>
              </w:rPr>
            </w:pPr>
            <w:r>
              <w:rPr>
                <w:noProof/>
              </w:rPr>
              <w:t>Vismaz 90 % pasākumu pilnīga īstenošana</w:t>
            </w:r>
          </w:p>
        </w:tc>
        <w:tc>
          <w:tcPr>
            <w:tcW w:w="1486" w:type="dxa"/>
            <w:shd w:val="clear" w:color="auto" w:fill="C4EFCE"/>
            <w:vAlign w:val="center"/>
            <w:hideMark/>
          </w:tcPr>
          <w:p w14:paraId="3C5A0150" w14:textId="77777777" w:rsidR="00776A1F" w:rsidRDefault="00D8574B">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3F1225E" w14:textId="77777777" w:rsidR="00776A1F" w:rsidRDefault="00D8574B">
            <w:pPr>
              <w:pStyle w:val="P68B1DB1-Normal8"/>
              <w:spacing w:after="0" w:line="240" w:lineRule="auto"/>
              <w:jc w:val="center"/>
              <w:rPr>
                <w:rFonts w:eastAsia="Times New Roman" w:cs="Calibri"/>
                <w:noProof/>
              </w:rPr>
            </w:pPr>
            <w:r>
              <w:rPr>
                <w:noProof/>
              </w:rPr>
              <w:t>%</w:t>
            </w:r>
          </w:p>
        </w:tc>
        <w:tc>
          <w:tcPr>
            <w:tcW w:w="1014" w:type="dxa"/>
            <w:shd w:val="clear" w:color="auto" w:fill="C4EFCE"/>
            <w:vAlign w:val="center"/>
            <w:hideMark/>
          </w:tcPr>
          <w:p w14:paraId="34C054DA" w14:textId="77777777" w:rsidR="00776A1F" w:rsidRDefault="00D8574B">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1840DD4" w14:textId="77777777" w:rsidR="00776A1F" w:rsidRDefault="00D8574B">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hideMark/>
          </w:tcPr>
          <w:p w14:paraId="521367AA" w14:textId="77777777" w:rsidR="00776A1F" w:rsidRDefault="00D8574B">
            <w:pPr>
              <w:pStyle w:val="P68B1DB1-Normal8"/>
              <w:spacing w:after="0" w:line="240" w:lineRule="auto"/>
              <w:jc w:val="center"/>
              <w:rPr>
                <w:rFonts w:eastAsia="Times New Roman" w:cs="Calibri"/>
                <w:noProof/>
              </w:rPr>
            </w:pPr>
            <w:r>
              <w:rPr>
                <w:noProof/>
              </w:rPr>
              <w:t>4. CET.</w:t>
            </w:r>
          </w:p>
        </w:tc>
        <w:tc>
          <w:tcPr>
            <w:tcW w:w="845" w:type="dxa"/>
            <w:shd w:val="clear" w:color="auto" w:fill="C4EFCE"/>
            <w:vAlign w:val="center"/>
            <w:hideMark/>
          </w:tcPr>
          <w:p w14:paraId="4D7CC2F1" w14:textId="77777777" w:rsidR="00776A1F" w:rsidRDefault="00D8574B">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464F7DC1" w14:textId="77777777" w:rsidR="00776A1F" w:rsidRDefault="00D8574B">
            <w:pPr>
              <w:pStyle w:val="P68B1DB1-Normal8"/>
              <w:spacing w:after="0" w:line="240" w:lineRule="auto"/>
              <w:jc w:val="both"/>
              <w:rPr>
                <w:rFonts w:eastAsia="Times New Roman" w:cs="Calibri"/>
                <w:noProof/>
              </w:rPr>
            </w:pPr>
            <w:r>
              <w:rPr>
                <w:noProof/>
              </w:rPr>
              <w:t>Pilnībā īstenoti vismaz 90 % pasākumu, par kuriem panākta vienošanās nolīgumos, kas parakstīti attiecībā uz 12 intervences jomām, ja budžeta izpilde ir vismaz EUR 225000000.</w:t>
            </w:r>
          </w:p>
        </w:tc>
      </w:tr>
      <w:tr w:rsidR="00776A1F" w14:paraId="4DC276BA" w14:textId="77777777">
        <w:trPr>
          <w:trHeight w:val="1060"/>
        </w:trPr>
        <w:tc>
          <w:tcPr>
            <w:tcW w:w="1124" w:type="dxa"/>
            <w:shd w:val="clear" w:color="auto" w:fill="C4EFCE"/>
            <w:vAlign w:val="center"/>
          </w:tcPr>
          <w:p w14:paraId="4507E8E2" w14:textId="4B98B2CA" w:rsidR="00776A1F" w:rsidRDefault="00D8574B">
            <w:pPr>
              <w:pStyle w:val="P68B1DB1-Normal11"/>
              <w:spacing w:after="0" w:line="240" w:lineRule="auto"/>
              <w:jc w:val="center"/>
              <w:rPr>
                <w:rFonts w:eastAsia="Times New Roman" w:cstheme="minorHAnsi"/>
                <w:noProof/>
              </w:rPr>
            </w:pPr>
            <w:r>
              <w:rPr>
                <w:noProof/>
              </w:rPr>
              <w:t>3.28</w:t>
            </w:r>
          </w:p>
        </w:tc>
        <w:tc>
          <w:tcPr>
            <w:tcW w:w="1143" w:type="dxa"/>
            <w:shd w:val="clear" w:color="auto" w:fill="C4EFCE"/>
            <w:vAlign w:val="center"/>
          </w:tcPr>
          <w:p w14:paraId="5B7E0077" w14:textId="4E1DBF5D" w:rsidR="00776A1F" w:rsidRDefault="00D8574B">
            <w:pPr>
              <w:pStyle w:val="P68B1DB1-Normal12"/>
              <w:spacing w:after="0" w:line="240" w:lineRule="auto"/>
              <w:jc w:val="center"/>
              <w:rPr>
                <w:rFonts w:eastAsia="Times New Roman"/>
                <w:noProof/>
              </w:rPr>
            </w:pPr>
            <w:r>
              <w:rPr>
                <w:noProof/>
              </w:rPr>
              <w:t>Re-03-i07-RAA</w:t>
            </w:r>
          </w:p>
        </w:tc>
        <w:tc>
          <w:tcPr>
            <w:tcW w:w="982" w:type="dxa"/>
            <w:shd w:val="clear" w:color="auto" w:fill="C4EFCE"/>
            <w:vAlign w:val="center"/>
          </w:tcPr>
          <w:p w14:paraId="0BE4B152" w14:textId="6BC582B8" w:rsidR="00776A1F" w:rsidRDefault="00D8574B">
            <w:pPr>
              <w:pStyle w:val="P68B1DB1-Normal12"/>
              <w:spacing w:after="0" w:line="240" w:lineRule="auto"/>
              <w:jc w:val="center"/>
              <w:rPr>
                <w:rFonts w:eastAsia="Times New Roman" w:cstheme="minorHAnsi"/>
                <w:noProof/>
              </w:rPr>
            </w:pPr>
            <w:r>
              <w:rPr>
                <w:noProof/>
              </w:rPr>
              <w:t>T</w:t>
            </w:r>
          </w:p>
        </w:tc>
        <w:tc>
          <w:tcPr>
            <w:tcW w:w="1740" w:type="dxa"/>
            <w:shd w:val="clear" w:color="auto" w:fill="C4EFCE"/>
            <w:vAlign w:val="center"/>
          </w:tcPr>
          <w:p w14:paraId="5F735354" w14:textId="27282FEA" w:rsidR="00776A1F" w:rsidRDefault="00D8574B">
            <w:pPr>
              <w:pStyle w:val="P68B1DB1-Normal12"/>
              <w:spacing w:after="0" w:line="240" w:lineRule="auto"/>
              <w:jc w:val="center"/>
              <w:rPr>
                <w:rFonts w:eastAsia="Times New Roman" w:cstheme="minorHAnsi"/>
                <w:noProof/>
              </w:rPr>
            </w:pPr>
            <w:r>
              <w:rPr>
                <w:noProof/>
              </w:rPr>
              <w:t>Paplašinātas vai atjaunotas vietas aprūpes iestādēs</w:t>
            </w:r>
          </w:p>
        </w:tc>
        <w:tc>
          <w:tcPr>
            <w:tcW w:w="1486" w:type="dxa"/>
            <w:shd w:val="clear" w:color="auto" w:fill="C4EFCE"/>
            <w:vAlign w:val="center"/>
          </w:tcPr>
          <w:p w14:paraId="6650B4B9" w14:textId="77777777" w:rsidR="00776A1F" w:rsidRDefault="00776A1F">
            <w:pPr>
              <w:spacing w:after="0" w:line="240" w:lineRule="auto"/>
              <w:jc w:val="center"/>
              <w:rPr>
                <w:rFonts w:eastAsia="Times New Roman" w:cstheme="minorHAnsi"/>
                <w:noProof/>
                <w:sz w:val="16"/>
              </w:rPr>
            </w:pPr>
          </w:p>
        </w:tc>
        <w:tc>
          <w:tcPr>
            <w:tcW w:w="1014" w:type="dxa"/>
            <w:shd w:val="clear" w:color="auto" w:fill="C4EFCE"/>
            <w:vAlign w:val="center"/>
          </w:tcPr>
          <w:p w14:paraId="41321D09" w14:textId="260F65A8" w:rsidR="00776A1F" w:rsidRDefault="00D8574B">
            <w:pPr>
              <w:pStyle w:val="P68B1DB1-Normal12"/>
              <w:spacing w:after="0" w:line="240" w:lineRule="auto"/>
              <w:jc w:val="center"/>
              <w:rPr>
                <w:rFonts w:eastAsia="Times New Roman" w:cstheme="minorHAnsi"/>
                <w:noProof/>
              </w:rPr>
            </w:pPr>
            <w:r>
              <w:rPr>
                <w:noProof/>
              </w:rPr>
              <w:t>Skaits</w:t>
            </w:r>
          </w:p>
        </w:tc>
        <w:tc>
          <w:tcPr>
            <w:tcW w:w="1014" w:type="dxa"/>
            <w:shd w:val="clear" w:color="auto" w:fill="C4EFCE"/>
            <w:vAlign w:val="center"/>
          </w:tcPr>
          <w:p w14:paraId="3A90B777" w14:textId="37BB98B3" w:rsidR="00776A1F" w:rsidRDefault="00D8574B">
            <w:pPr>
              <w:pStyle w:val="P68B1DB1-Normal12"/>
              <w:spacing w:after="0" w:line="240" w:lineRule="auto"/>
              <w:jc w:val="center"/>
              <w:rPr>
                <w:rFonts w:eastAsia="Times New Roman" w:cstheme="minorHAnsi"/>
                <w:noProof/>
              </w:rPr>
            </w:pPr>
            <w:r>
              <w:rPr>
                <w:noProof/>
              </w:rPr>
              <w:t>0</w:t>
            </w:r>
          </w:p>
        </w:tc>
        <w:tc>
          <w:tcPr>
            <w:tcW w:w="882" w:type="dxa"/>
            <w:shd w:val="clear" w:color="auto" w:fill="C4EFCE"/>
            <w:vAlign w:val="center"/>
          </w:tcPr>
          <w:p w14:paraId="5CDB17DC" w14:textId="772002B1" w:rsidR="00776A1F" w:rsidRDefault="00D8574B">
            <w:pPr>
              <w:pStyle w:val="P68B1DB1-Normal12"/>
              <w:spacing w:after="0" w:line="240" w:lineRule="auto"/>
              <w:jc w:val="center"/>
              <w:rPr>
                <w:rFonts w:eastAsia="Times New Roman" w:cstheme="minorHAnsi"/>
                <w:noProof/>
              </w:rPr>
            </w:pPr>
            <w:r>
              <w:rPr>
                <w:noProof/>
              </w:rPr>
              <w:t>91</w:t>
            </w:r>
          </w:p>
        </w:tc>
        <w:tc>
          <w:tcPr>
            <w:tcW w:w="680" w:type="dxa"/>
            <w:shd w:val="clear" w:color="auto" w:fill="C4EFCE"/>
            <w:vAlign w:val="center"/>
          </w:tcPr>
          <w:p w14:paraId="5C2F45A3" w14:textId="06EC7B74" w:rsidR="00776A1F" w:rsidRDefault="00D8574B">
            <w:pPr>
              <w:pStyle w:val="P68B1DB1-Normal12"/>
              <w:spacing w:after="0" w:line="240" w:lineRule="auto"/>
              <w:jc w:val="center"/>
              <w:rPr>
                <w:rFonts w:eastAsia="Times New Roman" w:cstheme="minorHAnsi"/>
                <w:noProof/>
              </w:rPr>
            </w:pPr>
            <w:r>
              <w:rPr>
                <w:noProof/>
              </w:rPr>
              <w:t>1. CET.</w:t>
            </w:r>
          </w:p>
        </w:tc>
        <w:tc>
          <w:tcPr>
            <w:tcW w:w="845" w:type="dxa"/>
            <w:shd w:val="clear" w:color="auto" w:fill="C4EFCE"/>
            <w:vAlign w:val="center"/>
          </w:tcPr>
          <w:p w14:paraId="1C8F5B94" w14:textId="3948B69B" w:rsidR="00776A1F" w:rsidRDefault="00D8574B">
            <w:pPr>
              <w:pStyle w:val="P68B1DB1-Normal12"/>
              <w:spacing w:after="0" w:line="240" w:lineRule="auto"/>
              <w:jc w:val="center"/>
              <w:rPr>
                <w:rFonts w:eastAsia="Times New Roman" w:cstheme="minorHAnsi"/>
                <w:noProof/>
              </w:rPr>
            </w:pPr>
            <w:r>
              <w:rPr>
                <w:noProof/>
              </w:rPr>
              <w:t>2026</w:t>
            </w:r>
          </w:p>
        </w:tc>
        <w:tc>
          <w:tcPr>
            <w:tcW w:w="4277" w:type="dxa"/>
            <w:shd w:val="clear" w:color="auto" w:fill="C4EFCE"/>
          </w:tcPr>
          <w:p w14:paraId="42B8FCAE" w14:textId="3605253D" w:rsidR="00776A1F" w:rsidRDefault="00D8574B">
            <w:pPr>
              <w:pStyle w:val="P68B1DB1-Normal12"/>
              <w:spacing w:after="0" w:line="240" w:lineRule="auto"/>
              <w:jc w:val="both"/>
              <w:rPr>
                <w:rFonts w:eastAsia="Times New Roman" w:cstheme="minorHAnsi"/>
                <w:noProof/>
              </w:rPr>
            </w:pPr>
            <w:r>
              <w:rPr>
                <w:noProof/>
              </w:rPr>
              <w:t xml:space="preserve">Vietu skaits veco ļaužu aprūpes iestādēs (ERPI), kas paplašināts vai renovēts Azoru salu autonomajā reģionā. </w:t>
            </w:r>
            <w:r>
              <w:rPr>
                <w:noProof/>
              </w:rPr>
              <w:br/>
              <w:t>Ja tiek būvētas jaunas ēkas, jauno ēku primārās enerģijas pieprasījums ir vismaz par 20 % zemāks, nekā prasīts gandrīz nulles enerģijas ēkām.</w:t>
            </w:r>
          </w:p>
        </w:tc>
      </w:tr>
      <w:tr w:rsidR="00776A1F" w14:paraId="51E16407" w14:textId="77777777">
        <w:trPr>
          <w:trHeight w:val="1060"/>
        </w:trPr>
        <w:tc>
          <w:tcPr>
            <w:tcW w:w="1124" w:type="dxa"/>
            <w:shd w:val="clear" w:color="auto" w:fill="C4EFCE"/>
            <w:vAlign w:val="center"/>
          </w:tcPr>
          <w:p w14:paraId="31ECAE86" w14:textId="3C0FD4B9" w:rsidR="00776A1F" w:rsidRDefault="00D8574B">
            <w:pPr>
              <w:pStyle w:val="P68B1DB1-Normal11"/>
              <w:spacing w:after="0" w:line="240" w:lineRule="auto"/>
              <w:jc w:val="center"/>
              <w:rPr>
                <w:rFonts w:cstheme="minorHAnsi"/>
                <w:noProof/>
              </w:rPr>
            </w:pPr>
            <w:r>
              <w:rPr>
                <w:noProof/>
              </w:rPr>
              <w:t>3.29</w:t>
            </w:r>
          </w:p>
        </w:tc>
        <w:tc>
          <w:tcPr>
            <w:tcW w:w="1143" w:type="dxa"/>
            <w:shd w:val="clear" w:color="auto" w:fill="C4EFCE"/>
            <w:vAlign w:val="center"/>
          </w:tcPr>
          <w:p w14:paraId="5FF028A3" w14:textId="7F4C3916" w:rsidR="00776A1F" w:rsidRDefault="00D8574B">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1B53ECE1" w14:textId="6640AC21" w:rsidR="00776A1F" w:rsidRDefault="00D8574B">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7DB32A48" w14:textId="5A1867D2" w:rsidR="00776A1F" w:rsidRDefault="00D8574B">
            <w:pPr>
              <w:pStyle w:val="P68B1DB1-Normal12"/>
              <w:spacing w:after="0" w:line="240" w:lineRule="auto"/>
              <w:jc w:val="center"/>
              <w:rPr>
                <w:rFonts w:cstheme="minorHAnsi"/>
                <w:noProof/>
              </w:rPr>
            </w:pPr>
            <w:r>
              <w:rPr>
                <w:noProof/>
              </w:rPr>
              <w:t>Vienotā sociālā pabalsta darba grupas ziņojums</w:t>
            </w:r>
          </w:p>
        </w:tc>
        <w:tc>
          <w:tcPr>
            <w:tcW w:w="1486" w:type="dxa"/>
            <w:shd w:val="clear" w:color="auto" w:fill="C4EFCE"/>
            <w:vAlign w:val="center"/>
          </w:tcPr>
          <w:p w14:paraId="5D6A1559" w14:textId="7553CA76" w:rsidR="00776A1F" w:rsidRDefault="00D8574B">
            <w:pPr>
              <w:pStyle w:val="P68B1DB1-Normal12"/>
              <w:spacing w:after="0" w:line="240" w:lineRule="auto"/>
              <w:jc w:val="center"/>
              <w:rPr>
                <w:rFonts w:eastAsia="Times New Roman" w:cstheme="minorHAnsi"/>
                <w:noProof/>
              </w:rPr>
            </w:pPr>
            <w:r>
              <w:rPr>
                <w:noProof/>
              </w:rPr>
              <w:t xml:space="preserve">Vienotā sociālā pabalsta darba grupas ziņojuma publicēšana </w:t>
            </w:r>
          </w:p>
        </w:tc>
        <w:tc>
          <w:tcPr>
            <w:tcW w:w="1014" w:type="dxa"/>
            <w:shd w:val="clear" w:color="auto" w:fill="C4EFCE"/>
            <w:vAlign w:val="center"/>
          </w:tcPr>
          <w:p w14:paraId="49C1E7A6" w14:textId="77777777" w:rsidR="00776A1F" w:rsidRDefault="00776A1F">
            <w:pPr>
              <w:spacing w:after="0" w:line="240" w:lineRule="auto"/>
              <w:jc w:val="center"/>
              <w:rPr>
                <w:rFonts w:cstheme="minorHAnsi"/>
                <w:noProof/>
                <w:sz w:val="16"/>
              </w:rPr>
            </w:pPr>
          </w:p>
        </w:tc>
        <w:tc>
          <w:tcPr>
            <w:tcW w:w="1014" w:type="dxa"/>
            <w:shd w:val="clear" w:color="auto" w:fill="C4EFCE"/>
            <w:vAlign w:val="center"/>
          </w:tcPr>
          <w:p w14:paraId="2EE0AFDC" w14:textId="77777777" w:rsidR="00776A1F" w:rsidRDefault="00776A1F">
            <w:pPr>
              <w:spacing w:after="0" w:line="240" w:lineRule="auto"/>
              <w:jc w:val="center"/>
              <w:rPr>
                <w:rFonts w:cstheme="minorHAnsi"/>
                <w:noProof/>
                <w:sz w:val="16"/>
              </w:rPr>
            </w:pPr>
          </w:p>
        </w:tc>
        <w:tc>
          <w:tcPr>
            <w:tcW w:w="882" w:type="dxa"/>
            <w:shd w:val="clear" w:color="auto" w:fill="C4EFCE"/>
            <w:vAlign w:val="center"/>
          </w:tcPr>
          <w:p w14:paraId="7CC75B9E" w14:textId="77777777" w:rsidR="00776A1F" w:rsidRDefault="00776A1F">
            <w:pPr>
              <w:spacing w:after="0" w:line="240" w:lineRule="auto"/>
              <w:jc w:val="center"/>
              <w:rPr>
                <w:rFonts w:cstheme="minorHAnsi"/>
                <w:noProof/>
                <w:sz w:val="16"/>
              </w:rPr>
            </w:pPr>
          </w:p>
        </w:tc>
        <w:tc>
          <w:tcPr>
            <w:tcW w:w="680" w:type="dxa"/>
            <w:shd w:val="clear" w:color="auto" w:fill="C4EFCE"/>
            <w:vAlign w:val="center"/>
          </w:tcPr>
          <w:p w14:paraId="0712AE4B" w14:textId="2A8B15A4" w:rsidR="00776A1F" w:rsidRDefault="00D8574B">
            <w:pPr>
              <w:pStyle w:val="P68B1DB1-Normal12"/>
              <w:spacing w:after="0" w:line="240" w:lineRule="auto"/>
              <w:jc w:val="center"/>
              <w:rPr>
                <w:rFonts w:cstheme="minorHAnsi"/>
                <w:noProof/>
              </w:rPr>
            </w:pPr>
            <w:r>
              <w:rPr>
                <w:noProof/>
              </w:rPr>
              <w:t>1. CET.</w:t>
            </w:r>
          </w:p>
        </w:tc>
        <w:tc>
          <w:tcPr>
            <w:tcW w:w="845" w:type="dxa"/>
            <w:shd w:val="clear" w:color="auto" w:fill="C4EFCE"/>
            <w:vAlign w:val="center"/>
          </w:tcPr>
          <w:p w14:paraId="72B52A51" w14:textId="34CA0953" w:rsidR="00776A1F" w:rsidRDefault="00D8574B">
            <w:pPr>
              <w:pStyle w:val="P68B1DB1-Normal12"/>
              <w:spacing w:after="0" w:line="240" w:lineRule="auto"/>
              <w:jc w:val="center"/>
              <w:rPr>
                <w:rFonts w:cstheme="minorHAnsi"/>
                <w:noProof/>
              </w:rPr>
            </w:pPr>
            <w:r>
              <w:rPr>
                <w:noProof/>
              </w:rPr>
              <w:t>2025</w:t>
            </w:r>
          </w:p>
        </w:tc>
        <w:tc>
          <w:tcPr>
            <w:tcW w:w="4277" w:type="dxa"/>
            <w:shd w:val="clear" w:color="auto" w:fill="C4EFCE"/>
          </w:tcPr>
          <w:p w14:paraId="2B2552AC" w14:textId="033FBD53" w:rsidR="00776A1F" w:rsidRDefault="00D8574B">
            <w:pPr>
              <w:pStyle w:val="P68B1DB1-Normal12"/>
              <w:spacing w:after="0" w:line="240" w:lineRule="auto"/>
              <w:jc w:val="both"/>
              <w:rPr>
                <w:rFonts w:cstheme="minorHAnsi"/>
                <w:noProof/>
              </w:rPr>
            </w:pPr>
            <w:r>
              <w:rPr>
                <w:noProof/>
              </w:rPr>
              <w:t>Vienotā sociālā pabalsta darba grupas ziņojuma publicēšana, kurā ietverti tā izstrādes un formālās īstenošanas galvenie elementi. Ziņojumā iekļauj novērtējumu par tās ietekmi uz aptvērumu, adekvātuma un efektivitātes līmeni, tostarp tādiem aspektiem kā pārklāšanās novēršana, sociālās aizsardzības nepilnību novēršana un apguves līmeņa uzlabošana.</w:t>
            </w:r>
          </w:p>
        </w:tc>
      </w:tr>
      <w:tr w:rsidR="00776A1F" w14:paraId="320C179B" w14:textId="77777777">
        <w:trPr>
          <w:trHeight w:val="1060"/>
        </w:trPr>
        <w:tc>
          <w:tcPr>
            <w:tcW w:w="1124" w:type="dxa"/>
            <w:shd w:val="clear" w:color="auto" w:fill="C4EFCE"/>
            <w:vAlign w:val="center"/>
          </w:tcPr>
          <w:p w14:paraId="6DED1EC3" w14:textId="46609D91" w:rsidR="00776A1F" w:rsidRDefault="00D8574B">
            <w:pPr>
              <w:pStyle w:val="P68B1DB1-Normal11"/>
              <w:spacing w:after="0" w:line="240" w:lineRule="auto"/>
              <w:jc w:val="center"/>
              <w:rPr>
                <w:rFonts w:cstheme="minorHAnsi"/>
                <w:noProof/>
              </w:rPr>
            </w:pPr>
            <w:r>
              <w:rPr>
                <w:noProof/>
              </w:rPr>
              <w:t>3.30</w:t>
            </w:r>
          </w:p>
        </w:tc>
        <w:tc>
          <w:tcPr>
            <w:tcW w:w="1143" w:type="dxa"/>
            <w:shd w:val="clear" w:color="auto" w:fill="C4EFCE"/>
            <w:vAlign w:val="center"/>
          </w:tcPr>
          <w:p w14:paraId="3CC2208B" w14:textId="71329F96" w:rsidR="00776A1F" w:rsidRDefault="00D8574B">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7E673827" w14:textId="115241B8" w:rsidR="00776A1F" w:rsidRDefault="00D8574B">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58E23131" w14:textId="741F88C0" w:rsidR="00776A1F" w:rsidRDefault="00D8574B">
            <w:pPr>
              <w:pStyle w:val="P68B1DB1-Normal12"/>
              <w:spacing w:after="0" w:line="240" w:lineRule="auto"/>
              <w:jc w:val="center"/>
              <w:rPr>
                <w:noProof/>
              </w:rPr>
            </w:pPr>
            <w:r>
              <w:rPr>
                <w:noProof/>
              </w:rPr>
              <w:t xml:space="preserve">Vienotā sociālā pabalsta (saskaņā ar pilsonības sociālās aizsardzības sistēmu) un Sociālo pabalstu kodeksa stāšanās spēkā </w:t>
            </w:r>
          </w:p>
        </w:tc>
        <w:tc>
          <w:tcPr>
            <w:tcW w:w="1486" w:type="dxa"/>
            <w:shd w:val="clear" w:color="auto" w:fill="C4EFCE"/>
            <w:vAlign w:val="center"/>
          </w:tcPr>
          <w:p w14:paraId="78861CE8" w14:textId="020506AF" w:rsidR="00776A1F" w:rsidRDefault="00D8574B">
            <w:pPr>
              <w:pStyle w:val="P68B1DB1-Normal12"/>
              <w:spacing w:after="0" w:line="240" w:lineRule="auto"/>
              <w:jc w:val="center"/>
              <w:rPr>
                <w:rFonts w:eastAsia="Times New Roman" w:cstheme="minorHAnsi"/>
                <w:noProof/>
              </w:rPr>
            </w:pPr>
            <w:r>
              <w:rPr>
                <w:noProof/>
              </w:rPr>
              <w:t xml:space="preserve">Tiesību aktu noteikumi, kas norāda uz tiesību aktu stāšanos spēkā </w:t>
            </w:r>
          </w:p>
        </w:tc>
        <w:tc>
          <w:tcPr>
            <w:tcW w:w="1014" w:type="dxa"/>
            <w:shd w:val="clear" w:color="auto" w:fill="C4EFCE"/>
            <w:vAlign w:val="center"/>
          </w:tcPr>
          <w:p w14:paraId="4C0FF700" w14:textId="77777777" w:rsidR="00776A1F" w:rsidRDefault="00776A1F">
            <w:pPr>
              <w:spacing w:after="0" w:line="240" w:lineRule="auto"/>
              <w:jc w:val="center"/>
              <w:rPr>
                <w:rFonts w:cstheme="minorHAnsi"/>
                <w:noProof/>
                <w:sz w:val="16"/>
              </w:rPr>
            </w:pPr>
          </w:p>
        </w:tc>
        <w:tc>
          <w:tcPr>
            <w:tcW w:w="1014" w:type="dxa"/>
            <w:shd w:val="clear" w:color="auto" w:fill="C4EFCE"/>
            <w:vAlign w:val="center"/>
          </w:tcPr>
          <w:p w14:paraId="1B83AB9F" w14:textId="77777777" w:rsidR="00776A1F" w:rsidRDefault="00776A1F">
            <w:pPr>
              <w:spacing w:after="0" w:line="240" w:lineRule="auto"/>
              <w:jc w:val="center"/>
              <w:rPr>
                <w:rFonts w:cstheme="minorHAnsi"/>
                <w:noProof/>
                <w:sz w:val="16"/>
              </w:rPr>
            </w:pPr>
          </w:p>
        </w:tc>
        <w:tc>
          <w:tcPr>
            <w:tcW w:w="882" w:type="dxa"/>
            <w:shd w:val="clear" w:color="auto" w:fill="C4EFCE"/>
            <w:vAlign w:val="center"/>
          </w:tcPr>
          <w:p w14:paraId="255BA677" w14:textId="77777777" w:rsidR="00776A1F" w:rsidRDefault="00776A1F">
            <w:pPr>
              <w:spacing w:after="0" w:line="240" w:lineRule="auto"/>
              <w:jc w:val="center"/>
              <w:rPr>
                <w:rFonts w:cstheme="minorHAnsi"/>
                <w:noProof/>
                <w:sz w:val="16"/>
              </w:rPr>
            </w:pPr>
          </w:p>
        </w:tc>
        <w:tc>
          <w:tcPr>
            <w:tcW w:w="680" w:type="dxa"/>
            <w:shd w:val="clear" w:color="auto" w:fill="C4EFCE"/>
            <w:vAlign w:val="center"/>
          </w:tcPr>
          <w:p w14:paraId="480DE372" w14:textId="1647FFAA" w:rsidR="00776A1F" w:rsidRDefault="00D8574B">
            <w:pPr>
              <w:pStyle w:val="P68B1DB1-Normal12"/>
              <w:spacing w:after="0" w:line="240" w:lineRule="auto"/>
              <w:jc w:val="center"/>
              <w:rPr>
                <w:rFonts w:cstheme="minorHAnsi"/>
                <w:noProof/>
              </w:rPr>
            </w:pPr>
            <w:r>
              <w:rPr>
                <w:noProof/>
              </w:rPr>
              <w:t>2. CET.</w:t>
            </w:r>
          </w:p>
        </w:tc>
        <w:tc>
          <w:tcPr>
            <w:tcW w:w="845" w:type="dxa"/>
            <w:shd w:val="clear" w:color="auto" w:fill="C4EFCE"/>
            <w:vAlign w:val="center"/>
          </w:tcPr>
          <w:p w14:paraId="57DB5970" w14:textId="6327CAC3" w:rsidR="00776A1F" w:rsidRDefault="00D8574B">
            <w:pPr>
              <w:pStyle w:val="P68B1DB1-Normal12"/>
              <w:spacing w:after="0" w:line="240" w:lineRule="auto"/>
              <w:jc w:val="center"/>
              <w:rPr>
                <w:rFonts w:cstheme="minorHAnsi"/>
                <w:noProof/>
              </w:rPr>
            </w:pPr>
            <w:r>
              <w:rPr>
                <w:noProof/>
              </w:rPr>
              <w:t>2026</w:t>
            </w:r>
          </w:p>
        </w:tc>
        <w:tc>
          <w:tcPr>
            <w:tcW w:w="4277" w:type="dxa"/>
            <w:shd w:val="clear" w:color="auto" w:fill="C4EFCE"/>
            <w:vAlign w:val="center"/>
          </w:tcPr>
          <w:p w14:paraId="5ECEC7B1" w14:textId="737ABB65" w:rsidR="00776A1F" w:rsidRDefault="00D8574B">
            <w:pPr>
              <w:pStyle w:val="P68B1DB1-Normal12"/>
              <w:spacing w:after="0" w:line="240" w:lineRule="auto"/>
              <w:jc w:val="both"/>
              <w:rPr>
                <w:noProof/>
              </w:rPr>
            </w:pPr>
            <w:r>
              <w:rPr>
                <w:noProof/>
              </w:rPr>
              <w:t xml:space="preserve">Tiesību aktu, ar ko izveido vienoto sociālo pabalstu (pilsoniskās sociālās aizsardzības sistēmā), stāšanās spēkā pēc vienotā sociālā pabalsta darba grupas ziņojuma publicēšanas un apspriešanās ar attiecīgajām ieinteresētajām personām. </w:t>
            </w:r>
          </w:p>
          <w:p w14:paraId="32A056B9" w14:textId="49C14321" w:rsidR="00776A1F" w:rsidRDefault="00776A1F">
            <w:pPr>
              <w:spacing w:after="0" w:line="240" w:lineRule="auto"/>
              <w:jc w:val="both"/>
              <w:rPr>
                <w:noProof/>
                <w:sz w:val="16"/>
              </w:rPr>
            </w:pPr>
          </w:p>
          <w:p w14:paraId="15031367" w14:textId="7F2F4187" w:rsidR="00776A1F" w:rsidRDefault="00D8574B">
            <w:pPr>
              <w:pStyle w:val="P68B1DB1-Normal12"/>
              <w:spacing w:after="0" w:line="240" w:lineRule="auto"/>
              <w:jc w:val="both"/>
              <w:rPr>
                <w:noProof/>
              </w:rPr>
            </w:pPr>
            <w:r>
              <w:rPr>
                <w:noProof/>
              </w:rPr>
              <w:t>Stājas spēkā tiesību akti, ar ko izveido Sociālo pabalstu kodeksu, ar kuru vienkāršo, saskaņo un konsolidē tiesību aktus, kas reglamentē sociālos pabalstus.</w:t>
            </w:r>
          </w:p>
        </w:tc>
      </w:tr>
    </w:tbl>
    <w:p w14:paraId="01FFACF8"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8BEF5A8"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78"/>
          <w:headerReference w:type="default" r:id="rId79"/>
          <w:footerReference w:type="even" r:id="rId80"/>
          <w:footerReference w:type="default" r:id="rId81"/>
          <w:headerReference w:type="first" r:id="rId82"/>
          <w:footerReference w:type="first" r:id="rId83"/>
          <w:pgSz w:w="16839" w:h="11907" w:orient="landscape"/>
          <w:pgMar w:top="1134" w:right="1134" w:bottom="1134" w:left="1134" w:header="567" w:footer="567" w:gutter="0"/>
          <w:cols w:space="720"/>
          <w:docGrid w:linePitch="360"/>
        </w:sectPr>
      </w:pPr>
    </w:p>
    <w:p w14:paraId="20E2D1A0"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D. 4. KOMPONENTS: Kultūra</w:t>
      </w:r>
    </w:p>
    <w:p w14:paraId="3890A551" w14:textId="77777777" w:rsidR="00776A1F" w:rsidRDefault="00D8574B">
      <w:pPr>
        <w:pStyle w:val="P68B1DB1-Normal4"/>
        <w:keepNext/>
        <w:spacing w:before="40" w:after="0" w:line="259" w:lineRule="auto"/>
        <w:jc w:val="both"/>
        <w:rPr>
          <w:rFonts w:eastAsiaTheme="minorEastAsia" w:cs="Times New Roman"/>
          <w:noProof/>
        </w:rPr>
      </w:pPr>
      <w:r>
        <w:rPr>
          <w:noProof/>
        </w:rPr>
        <w:t>Komponents risina gan problēmas, kas saistītas ar Covid-19 pandēmijas sekām, gan mantotās problēmas, kas izriet no situācijas, kad pastāvīgi trūkst resursu kultūras instalāciju un aprīkojuma uzturēšanai, renovācijai un modernizācijai.</w:t>
      </w:r>
    </w:p>
    <w:p w14:paraId="2022E520" w14:textId="77777777" w:rsidR="00776A1F" w:rsidRDefault="00D8574B">
      <w:pPr>
        <w:pStyle w:val="P68B1DB1-Normal4"/>
        <w:keepNext/>
        <w:spacing w:before="40" w:after="0" w:line="259" w:lineRule="auto"/>
        <w:jc w:val="both"/>
        <w:rPr>
          <w:rFonts w:eastAsiaTheme="minorEastAsia" w:cs="Times New Roman"/>
          <w:noProof/>
        </w:rPr>
      </w:pPr>
      <w:r>
        <w:rPr>
          <w:noProof/>
        </w:rPr>
        <w:t>Kultūras komponenta galvenie mērķi ir ēku un nacionālo pieminekļu renovācija; amatnieku metožu un profesiju aizsardzība; tehnoloģiskās infrastruktūras un kultūras iekārtu modernizācija; mākslas darbu un kultūras mantojuma digitalizācija; un grāmatnīcu un grāmatu izdošanas internacionalizācija, modernizācija un digitālā pārkārtošanās.</w:t>
      </w:r>
    </w:p>
    <w:p w14:paraId="75BCC82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Komponents palīdz īstenot konkrētām valstīm adresētos ieteikumus veikt visus vajadzīgos pasākumus, lai efektīvi vērstos pret pandēmiju, stiprinātu ekonomiku un atbalstītu tās atveseļošanu (konkrētais ieteikums Nr. 1 2020); un atbalstīt digitālo tehnoloģiju izmantošanu uzņēmumu konkurētspējas veicināšanai (valsts īpašais ieteikums Nr. 2 2020). </w:t>
      </w:r>
    </w:p>
    <w:p w14:paraId="66575D9A" w14:textId="77777777" w:rsidR="00776A1F" w:rsidRDefault="00D8574B">
      <w:pPr>
        <w:pStyle w:val="P68B1DB1-Normal4"/>
        <w:keepNext/>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40AECA44"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D.1. Neatmaksājamam finansiālajam atbalstam pieteikto reformu un investīciju apraksts</w:t>
      </w:r>
    </w:p>
    <w:p w14:paraId="0C926D12"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RE-C04-i01: Kultūras tīkli un digitālā pārkārtošanās</w:t>
      </w:r>
    </w:p>
    <w:p w14:paraId="686F0143" w14:textId="1C6FCC1E" w:rsidR="00776A1F" w:rsidRDefault="00D8574B">
      <w:pPr>
        <w:pStyle w:val="P68B1DB1-Normal4"/>
        <w:widowControl w:val="0"/>
        <w:spacing w:before="120" w:after="140" w:line="257" w:lineRule="auto"/>
        <w:jc w:val="both"/>
        <w:rPr>
          <w:rFonts w:eastAsiaTheme="minorEastAsia" w:cs="Times New Roman"/>
          <w:noProof/>
        </w:rPr>
      </w:pPr>
      <w:r>
        <w:rPr>
          <w:noProof/>
        </w:rPr>
        <w:t>Pasākuma mērķis ir modernizēt publisko kultūras objektu tehnoloģisko infrastruktūru, veicinot to digitālo pārkārtošanos. Konkrētāk, tas ietver mākslas darbu un kultūras mantojuma saglabāšanu nākotnē; uzlabot kultūras pieredzi; palielināt pieprasījumu pēc kultūras pasākumiem un sasniegt jaunas auditorijas, jo īpaši jaunās paaudzes. Paredzams, ka nozares noturība palielināsies, veicinot jaunus uzņēmējdarbības modeļus, piemēram, abonēšanu un straumēšanu; un atbalsts kultūras jomām ar spēcīgu tehnoloģisko komponentu, piemēram, 3D filmu ražošanu.</w:t>
      </w:r>
    </w:p>
    <w:p w14:paraId="05904A40" w14:textId="77777777" w:rsidR="00776A1F" w:rsidRDefault="00D8574B">
      <w:pPr>
        <w:pStyle w:val="P68B1DB1-Normal4"/>
        <w:spacing w:before="40" w:after="0" w:line="259" w:lineRule="auto"/>
        <w:jc w:val="both"/>
        <w:rPr>
          <w:rFonts w:eastAsiaTheme="minorEastAsia" w:cs="Times New Roman"/>
          <w:noProof/>
        </w:rPr>
      </w:pPr>
      <w:r>
        <w:rPr>
          <w:noProof/>
        </w:rPr>
        <w:t xml:space="preserve">Šīs investīcijas sastāv no šādām intervencēm: </w:t>
      </w:r>
    </w:p>
    <w:p w14:paraId="0B7D23BD" w14:textId="77777777" w:rsidR="00776A1F" w:rsidRDefault="00D8574B">
      <w:pPr>
        <w:pStyle w:val="P68B1DB1-Normal4"/>
        <w:numPr>
          <w:ilvl w:val="0"/>
          <w:numId w:val="56"/>
        </w:numPr>
        <w:spacing w:before="40" w:after="160" w:line="259" w:lineRule="auto"/>
        <w:ind w:hanging="357"/>
        <w:contextualSpacing/>
        <w:jc w:val="both"/>
        <w:rPr>
          <w:rFonts w:eastAsiaTheme="minorEastAsia" w:cs="Times New Roman"/>
          <w:noProof/>
        </w:rPr>
      </w:pPr>
      <w:r>
        <w:rPr>
          <w:noProof/>
        </w:rPr>
        <w:t>kultūras objektu tehnoloģiskās infrastruktūras modernizācija</w:t>
      </w:r>
    </w:p>
    <w:p w14:paraId="5AD0BCC3" w14:textId="7FCD7F04"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it aprīkojuma iegāde, tiešsaistes mobilo bibliotēku, informācijas sistēmu un integrētu katalogu izveide 239 publiskām bibliotēkām;</w:t>
      </w:r>
    </w:p>
    <w:p w14:paraId="14E65A09" w14:textId="727DB745"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i/>
          <w:noProof/>
        </w:rPr>
        <w:t>bezvadu</w:t>
      </w:r>
      <w:r>
        <w:rPr>
          <w:noProof/>
        </w:rPr>
        <w:t xml:space="preserve"> pārklājuma ierīkošana 50 muzejos, palācēs un piemineņos;</w:t>
      </w:r>
    </w:p>
    <w:p w14:paraId="6418D2E6" w14:textId="77777777"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digitālā un videoprojektēšanas aprīkojuma iegāde 155 kinoteātriem un publiskiem laikmetīgās mākslas centriem;</w:t>
      </w:r>
    </w:p>
    <w:p w14:paraId="60152140" w14:textId="3D336127"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publisko laboratoriju tehnoloģiskā modernizācija un uzturēšana;</w:t>
      </w:r>
    </w:p>
    <w:p w14:paraId="1D93986E" w14:textId="596F8A12" w:rsidR="00776A1F" w:rsidRDefault="00D8574B">
      <w:pPr>
        <w:pStyle w:val="ListParagraph"/>
        <w:numPr>
          <w:ilvl w:val="1"/>
          <w:numId w:val="70"/>
        </w:numPr>
        <w:spacing w:before="40"/>
        <w:rPr>
          <w:noProof/>
        </w:rPr>
      </w:pPr>
      <w:r>
        <w:rPr>
          <w:noProof/>
        </w:rPr>
        <w:t>valsts kustīgo attēlu arhīva (ANIM) tehnoloģiskā modernizācija;</w:t>
      </w:r>
    </w:p>
    <w:p w14:paraId="129B1E79" w14:textId="4144A407" w:rsidR="00776A1F" w:rsidRDefault="00D8574B">
      <w:pPr>
        <w:pStyle w:val="P68B1DB1-Normal4"/>
        <w:numPr>
          <w:ilvl w:val="1"/>
          <w:numId w:val="70"/>
        </w:numPr>
        <w:spacing w:before="40" w:after="160" w:line="259" w:lineRule="auto"/>
        <w:ind w:hanging="357"/>
        <w:contextualSpacing/>
        <w:jc w:val="both"/>
        <w:rPr>
          <w:rFonts w:eastAsia="Times New Roman" w:cs="Times New Roman"/>
          <w:noProof/>
        </w:rPr>
      </w:pPr>
      <w:r>
        <w:rPr>
          <w:noProof/>
        </w:rPr>
        <w:t>Sound Nacionālā arhīva uzstādīšana.</w:t>
      </w:r>
    </w:p>
    <w:p w14:paraId="63A92FE4" w14:textId="1C99C7CC" w:rsidR="00776A1F" w:rsidRDefault="00D8574B">
      <w:pPr>
        <w:pStyle w:val="P68B1DB1-Normal4"/>
        <w:numPr>
          <w:ilvl w:val="0"/>
          <w:numId w:val="56"/>
        </w:numPr>
        <w:spacing w:before="40" w:after="160" w:line="259" w:lineRule="auto"/>
        <w:ind w:hanging="357"/>
        <w:contextualSpacing/>
        <w:jc w:val="both"/>
        <w:rPr>
          <w:rFonts w:eastAsiaTheme="minorEastAsia" w:cs="Times New Roman"/>
          <w:noProof/>
        </w:rPr>
      </w:pPr>
      <w:r>
        <w:rPr>
          <w:noProof/>
        </w:rPr>
        <w:t>grāmatu, arhīvu un bibliotēku ģenerāldirektorāta (DGLAB), Portugāles Nacionālās bibliotēkas, Évora publiskās bibliotēkas, Cinematheque, Kultūras mantojuma ģenerāldirektorāta (DGPC) un reģionālo kultūras direktorātu pārvaldīto kolekciju digitalizācija un valsts vēstures arhīvu audiovizuālo materiālu digitalizācija un digitalizācija:</w:t>
      </w:r>
    </w:p>
    <w:p w14:paraId="6C9F1DA9" w14:textId="77777777"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publisko bibliotēku kolekciju digitalizācija un virtualizācija (20000000 attēlu);</w:t>
      </w:r>
    </w:p>
    <w:p w14:paraId="2F41C273" w14:textId="77777777"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nacionālo arhīvu kolekciju digitalizācija un virtualizācija (19 5 00 000 dokumenti);</w:t>
      </w:r>
    </w:p>
    <w:p w14:paraId="08CD788B" w14:textId="77777777"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59500 publisku muzeju ierakstu digitalizācija;</w:t>
      </w:r>
    </w:p>
    <w:p w14:paraId="4D9619E7" w14:textId="63B3EDDD"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virtuāli muzeju apmeklējumi;</w:t>
      </w:r>
    </w:p>
    <w:p w14:paraId="6147E91E" w14:textId="0637379A"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1000 filmu digitalizācija (Kinematēka); un</w:t>
      </w:r>
    </w:p>
    <w:p w14:paraId="126C8F9B" w14:textId="08B9174F"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45000 stundu audiovizuālu materiālu no valsts vēsturiskajiem plašsaziņas līdzekļiem un televīzijas apraides pakalpojumu sniedzēju arhīviem digitalizācija un pieejamība sabiedrībai</w:t>
      </w:r>
    </w:p>
    <w:p w14:paraId="69CDFB3B" w14:textId="6E712039" w:rsidR="00776A1F" w:rsidRDefault="00D8574B">
      <w:pPr>
        <w:pStyle w:val="ListParagraph"/>
        <w:numPr>
          <w:ilvl w:val="0"/>
          <w:numId w:val="71"/>
        </w:numPr>
        <w:spacing w:before="40"/>
        <w:rPr>
          <w:noProof/>
        </w:rPr>
      </w:pPr>
      <w:r>
        <w:rPr>
          <w:noProof/>
        </w:rPr>
        <w:t>Grāmatu un autoru internacionalizācija, modernizācija un digitālā pārkārtošanās:</w:t>
      </w:r>
    </w:p>
    <w:p w14:paraId="1E2C030B" w14:textId="6017B88F"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atbalsts grāmatu tulkošanai un publicēšanai svešvalodās.</w:t>
      </w:r>
    </w:p>
    <w:p w14:paraId="197D7319" w14:textId="77777777" w:rsidR="00776A1F" w:rsidRDefault="00D8574B">
      <w:pPr>
        <w:pStyle w:val="P68B1DB1-Normal4"/>
        <w:numPr>
          <w:ilvl w:val="1"/>
          <w:numId w:val="70"/>
        </w:numPr>
        <w:spacing w:before="40" w:after="160" w:line="259" w:lineRule="auto"/>
        <w:ind w:hanging="357"/>
        <w:contextualSpacing/>
        <w:jc w:val="both"/>
        <w:rPr>
          <w:rFonts w:eastAsiaTheme="minorEastAsia" w:cs="Times New Roman"/>
          <w:noProof/>
        </w:rPr>
      </w:pPr>
      <w:r>
        <w:rPr>
          <w:noProof/>
        </w:rPr>
        <w:t>atbalsts literāro darbu, tostarp audiogrāmatu un e-grāmatu, tulkošanai un izdošanai;</w:t>
      </w:r>
    </w:p>
    <w:p w14:paraId="2A41A423" w14:textId="6D165E09" w:rsidR="00776A1F" w:rsidRDefault="00D8574B">
      <w:pPr>
        <w:pStyle w:val="P68B1DB1-Normal4"/>
        <w:numPr>
          <w:ilvl w:val="1"/>
          <w:numId w:val="70"/>
        </w:numPr>
        <w:spacing w:before="40" w:after="160" w:line="259" w:lineRule="auto"/>
        <w:ind w:hanging="357"/>
        <w:contextualSpacing/>
        <w:jc w:val="both"/>
        <w:rPr>
          <w:rFonts w:eastAsia="Times New Roman" w:cs="Times New Roman"/>
          <w:noProof/>
        </w:rPr>
      </w:pPr>
      <w:r>
        <w:rPr>
          <w:noProof/>
        </w:rPr>
        <w:t>atbalsts grāmatveikalu modernizācijai un digitālajai pārejai aprīkojuma un tehnoloģiju iegādei.</w:t>
      </w:r>
    </w:p>
    <w:p w14:paraId="496B0AF5" w14:textId="57DF3BD5" w:rsidR="00776A1F" w:rsidRDefault="00776A1F">
      <w:pPr>
        <w:spacing w:before="40" w:after="160" w:line="259" w:lineRule="auto"/>
        <w:ind w:left="1800"/>
        <w:contextualSpacing/>
        <w:jc w:val="both"/>
        <w:rPr>
          <w:rFonts w:ascii="Times New Roman" w:eastAsia="Times New Roman" w:hAnsi="Times New Roman" w:cs="Times New Roman"/>
          <w:noProof/>
          <w:sz w:val="24"/>
        </w:rPr>
      </w:pPr>
    </w:p>
    <w:p w14:paraId="75954FB6" w14:textId="41574F0B" w:rsidR="00776A1F" w:rsidRDefault="00D8574B">
      <w:pPr>
        <w:pStyle w:val="P68B1DB1-Normal4"/>
        <w:spacing w:before="40" w:after="0" w:line="259" w:lineRule="auto"/>
        <w:jc w:val="both"/>
        <w:rPr>
          <w:rFonts w:eastAsiaTheme="minorEastAsia" w:cs="Times New Roman"/>
          <w:noProof/>
        </w:rPr>
      </w:pPr>
      <w:r>
        <w:rPr>
          <w:noProof/>
        </w:rPr>
        <w:t>Investīciju īstenošanu pabeidz līdz 2026. gada 31. martam.</w:t>
      </w:r>
    </w:p>
    <w:p w14:paraId="0CCAFF13" w14:textId="06C899D3" w:rsidR="00776A1F" w:rsidRDefault="00776A1F">
      <w:pPr>
        <w:spacing w:before="40" w:after="0" w:line="259" w:lineRule="auto"/>
        <w:jc w:val="both"/>
        <w:rPr>
          <w:rFonts w:ascii="Times New Roman" w:eastAsiaTheme="minorEastAsia" w:hAnsi="Times New Roman" w:cs="Times New Roman"/>
          <w:noProof/>
          <w:sz w:val="24"/>
        </w:rPr>
      </w:pPr>
    </w:p>
    <w:p w14:paraId="28A8ED10"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RE-C04-i02: Kultūras mantojuma</w:t>
      </w:r>
    </w:p>
    <w:p w14:paraId="739B4265" w14:textId="3F51DE11" w:rsidR="00776A1F" w:rsidRDefault="00D8574B">
      <w:pPr>
        <w:pStyle w:val="P68B1DB1-Normal4"/>
        <w:keepNext/>
        <w:widowControl w:val="0"/>
        <w:spacing w:before="120" w:after="120" w:line="259" w:lineRule="auto"/>
        <w:jc w:val="both"/>
        <w:rPr>
          <w:rFonts w:eastAsiaTheme="minorEastAsia" w:cs="Times New Roman"/>
          <w:noProof/>
        </w:rPr>
      </w:pPr>
      <w:r>
        <w:rPr>
          <w:noProof/>
        </w:rPr>
        <w:t>Šā pasākuma mērķis ir atjaunot kultūras objektus, kas klasificēti kā kultūras mantojums. Viens no galvenajiem mērķiem ir pielāgot šīs iekārtas jaunajiem vides standartiem. Tas ietver tādus pasākumus kā ēku primārās enerģijas patēriņa samazināšana, kā arī iejaukšanās vēsturiskajos zaļajos parkos ar unikālu floru un faunu, lai veicinātu pielāgošanos klimata pārmaiņām un to mazināšanu, efektīvi atkārtoti izmantojot ūdeni apūdeņošanai.</w:t>
      </w:r>
    </w:p>
    <w:p w14:paraId="264F16C0" w14:textId="77777777" w:rsidR="00776A1F" w:rsidRDefault="00D8574B">
      <w:pPr>
        <w:pStyle w:val="P68B1DB1-Normal4"/>
        <w:spacing w:before="120" w:after="120" w:line="259" w:lineRule="auto"/>
        <w:jc w:val="both"/>
        <w:rPr>
          <w:rFonts w:eastAsiaTheme="minorEastAsia" w:cs="Times New Roman"/>
          <w:noProof/>
        </w:rPr>
      </w:pPr>
      <w:r>
        <w:rPr>
          <w:noProof/>
        </w:rPr>
        <w:t xml:space="preserve">Šīs investīcijas sastāv no šādām intervencēm: </w:t>
      </w:r>
    </w:p>
    <w:p w14:paraId="4328998B" w14:textId="77777777" w:rsidR="00776A1F" w:rsidRDefault="00D8574B">
      <w:pPr>
        <w:pStyle w:val="P68B1DB1-Normal4"/>
        <w:keepNext/>
        <w:numPr>
          <w:ilvl w:val="0"/>
          <w:numId w:val="51"/>
        </w:numPr>
        <w:spacing w:before="120" w:after="120" w:line="259" w:lineRule="auto"/>
        <w:contextualSpacing/>
        <w:jc w:val="both"/>
        <w:rPr>
          <w:rFonts w:eastAsiaTheme="minorEastAsia" w:cs="Times New Roman"/>
          <w:noProof/>
        </w:rPr>
      </w:pPr>
      <w:r>
        <w:rPr>
          <w:noProof/>
        </w:rPr>
        <w:t>informācijas un dokumentācijas krātuves izveide par vietējo nerūpniecisko ražošanu, izejvielu identifikāciju un kartēšanu;</w:t>
      </w:r>
    </w:p>
    <w:p w14:paraId="07974284" w14:textId="77777777" w:rsidR="00776A1F" w:rsidRDefault="00D8574B">
      <w:pPr>
        <w:pStyle w:val="P68B1DB1-Normal4"/>
        <w:keepNext/>
        <w:numPr>
          <w:ilvl w:val="0"/>
          <w:numId w:val="51"/>
        </w:numPr>
        <w:spacing w:before="120" w:after="120" w:line="259" w:lineRule="auto"/>
        <w:contextualSpacing/>
        <w:jc w:val="both"/>
        <w:rPr>
          <w:rFonts w:eastAsiaTheme="minorEastAsia" w:cs="Times New Roman"/>
          <w:noProof/>
        </w:rPr>
      </w:pPr>
      <w:r>
        <w:rPr>
          <w:noProof/>
        </w:rPr>
        <w:t>“</w:t>
      </w:r>
      <w:r>
        <w:rPr>
          <w:i/>
          <w:noProof/>
        </w:rPr>
        <w:t>Saber Fazer</w:t>
      </w:r>
      <w:r>
        <w:rPr>
          <w:noProof/>
        </w:rPr>
        <w:t>” Tehnoloģiju centra iniciatīvas laboratoriju un maršrutu uzstādīšana (amatnieku metožu un profesiju aizsardzība), tostarp produktu tirdzniecība;</w:t>
      </w:r>
    </w:p>
    <w:p w14:paraId="50DF6D56" w14:textId="106A4F30" w:rsidR="00776A1F" w:rsidRDefault="00D8574B">
      <w:pPr>
        <w:pStyle w:val="P68B1DB1-Normal4"/>
        <w:keepNext/>
        <w:numPr>
          <w:ilvl w:val="0"/>
          <w:numId w:val="51"/>
        </w:numPr>
        <w:spacing w:before="120" w:after="120" w:line="259" w:lineRule="auto"/>
        <w:contextualSpacing/>
        <w:jc w:val="both"/>
        <w:rPr>
          <w:rFonts w:eastAsiaTheme="minorEastAsia" w:cs="Times New Roman"/>
          <w:noProof/>
        </w:rPr>
      </w:pPr>
      <w:r>
        <w:rPr>
          <w:noProof/>
        </w:rPr>
        <w:t>darbību radīšana (pedagoģiski un informatīvi par tradicionālajiem paņēmieniem);</w:t>
      </w:r>
    </w:p>
    <w:p w14:paraId="773D0F6E" w14:textId="596CA147" w:rsidR="00776A1F" w:rsidRDefault="00D8574B">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muzeju, pieminekļu, valsts palešu un nacionālo teātru darbu pabeigšana, kas ietver atjaunošanu un/vai pārkvalifikāciju;</w:t>
      </w:r>
    </w:p>
    <w:p w14:paraId="78989F13" w14:textId="56AD200E" w:rsidR="00776A1F" w:rsidRDefault="00D8574B">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Sound Nacionālā arhīva ēkas būvniecība.</w:t>
      </w:r>
    </w:p>
    <w:p w14:paraId="07BCF263" w14:textId="5FACEEE5" w:rsidR="00776A1F" w:rsidRDefault="00776A1F">
      <w:pPr>
        <w:keepNext/>
        <w:spacing w:before="120" w:after="0" w:line="259" w:lineRule="auto"/>
        <w:contextualSpacing/>
        <w:jc w:val="both"/>
        <w:rPr>
          <w:rFonts w:ascii="Times New Roman" w:eastAsia="Times New Roman" w:hAnsi="Times New Roman" w:cs="Times New Roman"/>
          <w:noProof/>
          <w:sz w:val="24"/>
        </w:rPr>
      </w:pPr>
    </w:p>
    <w:p w14:paraId="406F9B64" w14:textId="7A3749EE" w:rsidR="00776A1F" w:rsidRDefault="00D8574B">
      <w:pPr>
        <w:pStyle w:val="P68B1DB1-Normal4"/>
        <w:keepNext/>
        <w:spacing w:before="120" w:after="0" w:line="259" w:lineRule="auto"/>
        <w:contextualSpacing/>
        <w:jc w:val="both"/>
        <w:rPr>
          <w:rFonts w:eastAsiaTheme="minorEastAsia" w:cs="Times New Roman"/>
          <w:noProof/>
        </w:rPr>
      </w:pPr>
      <w:r>
        <w:rPr>
          <w:noProof/>
        </w:rPr>
        <w:t>Investīciju īstenošanu pabeidz līdz 2026. gada 31. martam.</w:t>
      </w:r>
    </w:p>
    <w:p w14:paraId="22EEA54D" w14:textId="77777777" w:rsidR="00776A1F" w:rsidRDefault="00776A1F">
      <w:pPr>
        <w:rPr>
          <w:rFonts w:ascii="Times New Roman" w:eastAsiaTheme="minorEastAsia" w:hAnsi="Times New Roman" w:cs="Times New Roman"/>
          <w:noProof/>
          <w:sz w:val="24"/>
        </w:rPr>
      </w:pPr>
    </w:p>
    <w:p w14:paraId="461EECF2" w14:textId="77777777" w:rsidR="00776A1F" w:rsidRDefault="00776A1F">
      <w:pPr>
        <w:rPr>
          <w:rFonts w:ascii="Times New Roman" w:eastAsiaTheme="minorEastAsia" w:hAnsi="Times New Roman" w:cs="Times New Roman"/>
          <w:noProof/>
          <w:sz w:val="24"/>
        </w:rPr>
      </w:pPr>
    </w:p>
    <w:p w14:paraId="3E877F21" w14:textId="77777777" w:rsidR="00776A1F" w:rsidRDefault="00776A1F">
      <w:pPr>
        <w:rPr>
          <w:rFonts w:ascii="Times New Roman" w:eastAsiaTheme="minorEastAsia" w:hAnsi="Times New Roman" w:cs="Times New Roman"/>
          <w:noProof/>
          <w:sz w:val="24"/>
        </w:rPr>
      </w:pPr>
    </w:p>
    <w:p w14:paraId="74F6E330" w14:textId="5CC31371" w:rsidR="00776A1F" w:rsidRDefault="00D8574B">
      <w:pPr>
        <w:pStyle w:val="P68B1DB1-Normal4"/>
        <w:tabs>
          <w:tab w:val="left" w:pos="3527"/>
        </w:tabs>
        <w:rPr>
          <w:rFonts w:eastAsia="Times New Roman" w:cs="Times New Roman"/>
          <w:noProof/>
        </w:rPr>
      </w:pPr>
      <w:r>
        <w:rPr>
          <w:noProof/>
        </w:rPr>
        <w:tab/>
      </w:r>
    </w:p>
    <w:p w14:paraId="67590288" w14:textId="77777777" w:rsidR="00776A1F" w:rsidRDefault="00776A1F">
      <w:pPr>
        <w:rPr>
          <w:rFonts w:ascii="Times New Roman" w:eastAsia="Times New Roman" w:hAnsi="Times New Roman" w:cs="Times New Roman"/>
          <w:noProof/>
          <w:sz w:val="24"/>
        </w:rPr>
      </w:pPr>
    </w:p>
    <w:p w14:paraId="33277AD8" w14:textId="77777777" w:rsidR="00776A1F" w:rsidRDefault="00776A1F">
      <w:pPr>
        <w:rPr>
          <w:rFonts w:ascii="Times New Roman" w:eastAsiaTheme="minorEastAsia" w:hAnsi="Times New Roman" w:cs="Times New Roman"/>
          <w:noProof/>
          <w:sz w:val="24"/>
        </w:rPr>
        <w:sectPr w:rsidR="00776A1F" w:rsidSect="00E00EDD">
          <w:headerReference w:type="even" r:id="rId84"/>
          <w:headerReference w:type="default" r:id="rId85"/>
          <w:footerReference w:type="even" r:id="rId86"/>
          <w:footerReference w:type="default" r:id="rId87"/>
          <w:headerReference w:type="first" r:id="rId88"/>
          <w:footerReference w:type="first" r:id="rId89"/>
          <w:pgSz w:w="11907" w:h="16839"/>
          <w:pgMar w:top="1134" w:right="1134" w:bottom="1134" w:left="1134" w:header="567" w:footer="567" w:gutter="0"/>
          <w:cols w:space="720"/>
          <w:docGrid w:linePitch="360"/>
        </w:sectPr>
      </w:pPr>
    </w:p>
    <w:p w14:paraId="0CA086A4" w14:textId="77777777" w:rsidR="00776A1F" w:rsidRDefault="00D8574B">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D.2. </w:t>
      </w:r>
      <w:r>
        <w:rPr>
          <w:noProof/>
        </w:rPr>
        <w:tab/>
      </w:r>
      <w:r>
        <w:rPr>
          <w:rFonts w:ascii="Times New Roman" w:hAnsi="Times New Roman"/>
          <w:b/>
          <w:noProof/>
          <w:sz w:val="24"/>
          <w:u w:val="single"/>
        </w:rPr>
        <w:t>Atskaites punkti, mērķrādītāji, citi rādītāji un neatmaksājamā finansiālā atbalsta uzraudzības un īstenošanas grafiks</w:t>
      </w:r>
    </w:p>
    <w:p w14:paraId="0559F0B6"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191"/>
        <w:gridCol w:w="1060"/>
        <w:gridCol w:w="1588"/>
        <w:gridCol w:w="1193"/>
        <w:gridCol w:w="930"/>
        <w:gridCol w:w="1225"/>
        <w:gridCol w:w="671"/>
        <w:gridCol w:w="539"/>
        <w:gridCol w:w="672"/>
        <w:gridCol w:w="3756"/>
      </w:tblGrid>
      <w:tr w:rsidR="00776A1F" w14:paraId="04D8F8F1" w14:textId="77777777">
        <w:trPr>
          <w:trHeight w:val="910"/>
          <w:tblHeader/>
        </w:trPr>
        <w:tc>
          <w:tcPr>
            <w:tcW w:w="1067" w:type="dxa"/>
            <w:vMerge w:val="restart"/>
            <w:shd w:val="clear" w:color="auto" w:fill="B4C6E7"/>
            <w:vAlign w:val="center"/>
            <w:hideMark/>
          </w:tcPr>
          <w:p w14:paraId="66743342"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191" w:type="dxa"/>
            <w:vMerge w:val="restart"/>
            <w:shd w:val="clear" w:color="auto" w:fill="B4C6E7"/>
            <w:vAlign w:val="center"/>
            <w:hideMark/>
          </w:tcPr>
          <w:p w14:paraId="12DF4D36" w14:textId="77777777" w:rsidR="00776A1F" w:rsidRDefault="00D8574B">
            <w:pPr>
              <w:pStyle w:val="P68B1DB1-Normal16"/>
              <w:spacing w:after="0" w:line="240" w:lineRule="auto"/>
              <w:jc w:val="center"/>
              <w:rPr>
                <w:rFonts w:eastAsia="Times New Roman" w:cs="Times New Roman"/>
                <w:b/>
                <w:noProof/>
              </w:rPr>
            </w:pPr>
            <w:r>
              <w:rPr>
                <w:b/>
                <w:noProof/>
              </w:rPr>
              <w:t>Pasākums (reforma vai investīcijas)</w:t>
            </w:r>
            <w:r>
              <w:rPr>
                <w:noProof/>
              </w:rPr>
              <w:t> </w:t>
            </w:r>
          </w:p>
        </w:tc>
        <w:tc>
          <w:tcPr>
            <w:tcW w:w="1060" w:type="dxa"/>
            <w:vMerge w:val="restart"/>
            <w:shd w:val="clear" w:color="auto" w:fill="B4C6E7"/>
            <w:vAlign w:val="center"/>
            <w:hideMark/>
          </w:tcPr>
          <w:p w14:paraId="1BA1C91E" w14:textId="292277FC" w:rsidR="00776A1F" w:rsidRDefault="00D8574B">
            <w:pPr>
              <w:pStyle w:val="P68B1DB1-Normal16"/>
              <w:spacing w:after="0" w:line="240" w:lineRule="auto"/>
              <w:jc w:val="center"/>
              <w:rPr>
                <w:rFonts w:eastAsia="Times New Roman" w:cs="Times New Roman"/>
                <w:b/>
                <w:noProof/>
              </w:rPr>
            </w:pPr>
            <w:r>
              <w:rPr>
                <w:b/>
                <w:noProof/>
              </w:rPr>
              <w:t>Stūrakmens/</w:t>
            </w:r>
            <w:r>
              <w:rPr>
                <w:noProof/>
              </w:rPr>
              <w:t xml:space="preserve"> </w:t>
            </w:r>
            <w:r>
              <w:rPr>
                <w:b/>
                <w:noProof/>
              </w:rPr>
              <w:t>mērķis</w:t>
            </w:r>
          </w:p>
        </w:tc>
        <w:tc>
          <w:tcPr>
            <w:tcW w:w="1588" w:type="dxa"/>
            <w:vMerge w:val="restart"/>
            <w:shd w:val="clear" w:color="auto" w:fill="B4C6E7"/>
            <w:vAlign w:val="center"/>
            <w:hideMark/>
          </w:tcPr>
          <w:p w14:paraId="28AD35BA" w14:textId="77777777" w:rsidR="00776A1F" w:rsidRDefault="00D8574B">
            <w:pPr>
              <w:pStyle w:val="P68B1DB1-Normal16"/>
              <w:spacing w:after="0" w:line="240" w:lineRule="auto"/>
              <w:jc w:val="center"/>
              <w:rPr>
                <w:rFonts w:eastAsia="Times New Roman" w:cs="Times New Roman"/>
                <w:b/>
                <w:noProof/>
              </w:rPr>
            </w:pPr>
            <w:r>
              <w:rPr>
                <w:b/>
                <w:noProof/>
              </w:rPr>
              <w:t>Uzvārds</w:t>
            </w:r>
            <w:r>
              <w:rPr>
                <w:noProof/>
              </w:rPr>
              <w:t> </w:t>
            </w:r>
          </w:p>
        </w:tc>
        <w:tc>
          <w:tcPr>
            <w:tcW w:w="1193" w:type="dxa"/>
            <w:vMerge w:val="restart"/>
            <w:shd w:val="clear" w:color="auto" w:fill="B4C6E7"/>
            <w:vAlign w:val="center"/>
            <w:hideMark/>
          </w:tcPr>
          <w:p w14:paraId="17F2F265" w14:textId="77777777" w:rsidR="00776A1F" w:rsidRDefault="00D8574B">
            <w:pPr>
              <w:pStyle w:val="P68B1DB1-Normal16"/>
              <w:spacing w:after="0" w:line="240" w:lineRule="auto"/>
              <w:jc w:val="center"/>
              <w:rPr>
                <w:rFonts w:eastAsia="Times New Roman" w:cs="Times New Roman"/>
                <w:b/>
                <w:noProof/>
              </w:rPr>
            </w:pPr>
            <w:r>
              <w:rPr>
                <w:b/>
                <w:noProof/>
              </w:rPr>
              <w:t>Kvalitatīvie rādītāji (atskaites punktiem)</w:t>
            </w:r>
            <w:r>
              <w:rPr>
                <w:noProof/>
              </w:rPr>
              <w:t> </w:t>
            </w:r>
          </w:p>
        </w:tc>
        <w:tc>
          <w:tcPr>
            <w:tcW w:w="2826" w:type="dxa"/>
            <w:gridSpan w:val="3"/>
            <w:shd w:val="clear" w:color="auto" w:fill="B4C6E7"/>
            <w:vAlign w:val="center"/>
            <w:hideMark/>
          </w:tcPr>
          <w:p w14:paraId="5E49CDA7" w14:textId="77777777" w:rsidR="00776A1F" w:rsidRDefault="00D8574B">
            <w:pPr>
              <w:pStyle w:val="P68B1DB1-Normal16"/>
              <w:spacing w:after="0" w:line="240" w:lineRule="auto"/>
              <w:jc w:val="center"/>
              <w:rPr>
                <w:rFonts w:eastAsia="Times New Roman" w:cs="Times New Roman"/>
                <w:b/>
                <w:noProof/>
              </w:rPr>
            </w:pPr>
            <w:r>
              <w:rPr>
                <w:b/>
                <w:noProof/>
              </w:rPr>
              <w:t>Kvantitatīvie rādītāji (mērķrādītājiem)</w:t>
            </w:r>
            <w:r>
              <w:rPr>
                <w:noProof/>
              </w:rPr>
              <w:t> </w:t>
            </w:r>
          </w:p>
        </w:tc>
        <w:tc>
          <w:tcPr>
            <w:tcW w:w="1211" w:type="dxa"/>
            <w:gridSpan w:val="2"/>
            <w:shd w:val="clear" w:color="auto" w:fill="B4C6E7"/>
            <w:vAlign w:val="center"/>
            <w:hideMark/>
          </w:tcPr>
          <w:p w14:paraId="50636C03" w14:textId="77777777" w:rsidR="00776A1F" w:rsidRDefault="00D8574B">
            <w:pPr>
              <w:pStyle w:val="P68B1DB1-Normal16"/>
              <w:spacing w:after="0" w:line="240" w:lineRule="auto"/>
              <w:jc w:val="center"/>
              <w:rPr>
                <w:rFonts w:eastAsia="Times New Roman" w:cs="Times New Roman"/>
                <w:b/>
                <w:noProof/>
              </w:rPr>
            </w:pPr>
            <w:r>
              <w:rPr>
                <w:b/>
                <w:noProof/>
              </w:rPr>
              <w:t>Orientējošs pabeigšanas termiņš</w:t>
            </w:r>
            <w:r>
              <w:rPr>
                <w:noProof/>
              </w:rPr>
              <w:t> </w:t>
            </w:r>
          </w:p>
        </w:tc>
        <w:tc>
          <w:tcPr>
            <w:tcW w:w="3756" w:type="dxa"/>
            <w:vMerge w:val="restart"/>
            <w:shd w:val="clear" w:color="auto" w:fill="B4C6E7"/>
            <w:noWrap/>
            <w:vAlign w:val="center"/>
            <w:hideMark/>
          </w:tcPr>
          <w:p w14:paraId="1133A1F5" w14:textId="77777777" w:rsidR="00776A1F" w:rsidRDefault="00D8574B">
            <w:pPr>
              <w:pStyle w:val="P68B1DB1-Normal16"/>
              <w:spacing w:after="0" w:line="240" w:lineRule="auto"/>
              <w:jc w:val="center"/>
              <w:rPr>
                <w:rFonts w:eastAsia="Times New Roman" w:cs="Times New Roman"/>
                <w:b/>
                <w:noProof/>
              </w:rPr>
            </w:pPr>
            <w:r>
              <w:rPr>
                <w:b/>
                <w:noProof/>
              </w:rPr>
              <w:t>Katra atskaites punkta un mērķrādītāja apraksts un skaidra definīcija</w:t>
            </w:r>
            <w:r>
              <w:rPr>
                <w:noProof/>
              </w:rPr>
              <w:t> </w:t>
            </w:r>
          </w:p>
        </w:tc>
      </w:tr>
      <w:tr w:rsidR="00776A1F" w14:paraId="52076021" w14:textId="77777777">
        <w:trPr>
          <w:trHeight w:val="470"/>
          <w:tblHeader/>
        </w:trPr>
        <w:tc>
          <w:tcPr>
            <w:tcW w:w="1067" w:type="dxa"/>
            <w:vMerge/>
            <w:vAlign w:val="center"/>
            <w:hideMark/>
          </w:tcPr>
          <w:p w14:paraId="12D2ED3A" w14:textId="77777777" w:rsidR="00776A1F" w:rsidRDefault="00776A1F">
            <w:pPr>
              <w:spacing w:after="0" w:line="240" w:lineRule="auto"/>
              <w:rPr>
                <w:rFonts w:ascii="Times New Roman" w:eastAsia="Times New Roman" w:hAnsi="Times New Roman" w:cs="Times New Roman"/>
                <w:b/>
                <w:noProof/>
                <w:sz w:val="18"/>
              </w:rPr>
            </w:pPr>
          </w:p>
        </w:tc>
        <w:tc>
          <w:tcPr>
            <w:tcW w:w="1191" w:type="dxa"/>
            <w:vMerge/>
            <w:vAlign w:val="center"/>
            <w:hideMark/>
          </w:tcPr>
          <w:p w14:paraId="40E37BF9" w14:textId="77777777" w:rsidR="00776A1F" w:rsidRDefault="00776A1F">
            <w:pPr>
              <w:spacing w:after="0" w:line="240" w:lineRule="auto"/>
              <w:rPr>
                <w:rFonts w:ascii="Times New Roman" w:eastAsia="Times New Roman" w:hAnsi="Times New Roman" w:cs="Times New Roman"/>
                <w:b/>
                <w:noProof/>
                <w:sz w:val="18"/>
              </w:rPr>
            </w:pPr>
          </w:p>
        </w:tc>
        <w:tc>
          <w:tcPr>
            <w:tcW w:w="1060" w:type="dxa"/>
            <w:vMerge/>
            <w:vAlign w:val="center"/>
            <w:hideMark/>
          </w:tcPr>
          <w:p w14:paraId="7217D83F" w14:textId="40991F61" w:rsidR="00776A1F" w:rsidRDefault="00776A1F">
            <w:pPr>
              <w:spacing w:after="0" w:line="240" w:lineRule="auto"/>
              <w:jc w:val="center"/>
              <w:rPr>
                <w:rFonts w:ascii="Times New Roman" w:eastAsia="Times New Roman" w:hAnsi="Times New Roman" w:cs="Times New Roman"/>
                <w:b/>
                <w:noProof/>
                <w:sz w:val="18"/>
              </w:rPr>
            </w:pPr>
          </w:p>
        </w:tc>
        <w:tc>
          <w:tcPr>
            <w:tcW w:w="1588" w:type="dxa"/>
            <w:vMerge/>
            <w:vAlign w:val="center"/>
            <w:hideMark/>
          </w:tcPr>
          <w:p w14:paraId="17CFCC18" w14:textId="77777777" w:rsidR="00776A1F" w:rsidRDefault="00776A1F">
            <w:pPr>
              <w:spacing w:after="0" w:line="240" w:lineRule="auto"/>
              <w:rPr>
                <w:rFonts w:ascii="Times New Roman" w:eastAsia="Times New Roman" w:hAnsi="Times New Roman" w:cs="Times New Roman"/>
                <w:b/>
                <w:noProof/>
                <w:sz w:val="18"/>
              </w:rPr>
            </w:pPr>
          </w:p>
        </w:tc>
        <w:tc>
          <w:tcPr>
            <w:tcW w:w="1193" w:type="dxa"/>
            <w:vMerge/>
            <w:vAlign w:val="center"/>
            <w:hideMark/>
          </w:tcPr>
          <w:p w14:paraId="19D57B14" w14:textId="77777777" w:rsidR="00776A1F" w:rsidRDefault="00776A1F">
            <w:pPr>
              <w:spacing w:after="0" w:line="240" w:lineRule="auto"/>
              <w:rPr>
                <w:rFonts w:ascii="Times New Roman" w:eastAsia="Times New Roman" w:hAnsi="Times New Roman" w:cs="Times New Roman"/>
                <w:b/>
                <w:noProof/>
                <w:sz w:val="18"/>
              </w:rPr>
            </w:pPr>
          </w:p>
        </w:tc>
        <w:tc>
          <w:tcPr>
            <w:tcW w:w="930" w:type="dxa"/>
            <w:shd w:val="clear" w:color="auto" w:fill="B4C6E7"/>
            <w:vAlign w:val="center"/>
            <w:hideMark/>
          </w:tcPr>
          <w:p w14:paraId="2DDF773F" w14:textId="77777777" w:rsidR="00776A1F" w:rsidRDefault="00D8574B">
            <w:pPr>
              <w:pStyle w:val="P68B1DB1-Normal16"/>
              <w:spacing w:after="0" w:line="240" w:lineRule="auto"/>
              <w:jc w:val="center"/>
              <w:rPr>
                <w:rFonts w:eastAsia="Times New Roman" w:cs="Times New Roman"/>
                <w:b/>
                <w:noProof/>
              </w:rPr>
            </w:pPr>
            <w:r>
              <w:rPr>
                <w:b/>
                <w:noProof/>
              </w:rPr>
              <w:t>Mēra vienība</w:t>
            </w:r>
            <w:r>
              <w:rPr>
                <w:noProof/>
              </w:rPr>
              <w:t> </w:t>
            </w:r>
          </w:p>
        </w:tc>
        <w:tc>
          <w:tcPr>
            <w:tcW w:w="1225" w:type="dxa"/>
            <w:shd w:val="clear" w:color="auto" w:fill="B4C6E7"/>
            <w:vAlign w:val="center"/>
            <w:hideMark/>
          </w:tcPr>
          <w:p w14:paraId="70EE8293" w14:textId="77777777" w:rsidR="00776A1F" w:rsidRDefault="00D8574B">
            <w:pPr>
              <w:pStyle w:val="P68B1DB1-Normal16"/>
              <w:spacing w:after="0" w:line="240" w:lineRule="auto"/>
              <w:jc w:val="center"/>
              <w:rPr>
                <w:rFonts w:eastAsia="Times New Roman" w:cs="Times New Roman"/>
                <w:b/>
                <w:noProof/>
              </w:rPr>
            </w:pPr>
            <w:r>
              <w:rPr>
                <w:b/>
                <w:noProof/>
              </w:rPr>
              <w:t>Pamatscenārijs</w:t>
            </w:r>
            <w:r>
              <w:rPr>
                <w:noProof/>
              </w:rPr>
              <w:t> </w:t>
            </w:r>
          </w:p>
        </w:tc>
        <w:tc>
          <w:tcPr>
            <w:tcW w:w="671" w:type="dxa"/>
            <w:shd w:val="clear" w:color="auto" w:fill="B4C6E7"/>
            <w:vAlign w:val="center"/>
            <w:hideMark/>
          </w:tcPr>
          <w:p w14:paraId="091447AD" w14:textId="77777777" w:rsidR="00776A1F" w:rsidRDefault="00D8574B">
            <w:pPr>
              <w:pStyle w:val="P68B1DB1-Normal16"/>
              <w:spacing w:after="0" w:line="240" w:lineRule="auto"/>
              <w:jc w:val="center"/>
              <w:rPr>
                <w:rFonts w:eastAsia="Times New Roman" w:cs="Times New Roman"/>
                <w:b/>
                <w:noProof/>
              </w:rPr>
            </w:pPr>
            <w:r>
              <w:rPr>
                <w:b/>
                <w:noProof/>
              </w:rPr>
              <w:t>Mērķis</w:t>
            </w:r>
            <w:r>
              <w:rPr>
                <w:noProof/>
              </w:rPr>
              <w:t> </w:t>
            </w:r>
          </w:p>
        </w:tc>
        <w:tc>
          <w:tcPr>
            <w:tcW w:w="539" w:type="dxa"/>
            <w:shd w:val="clear" w:color="auto" w:fill="B4C6E7"/>
            <w:vAlign w:val="center"/>
            <w:hideMark/>
          </w:tcPr>
          <w:p w14:paraId="6A0E7E81" w14:textId="77777777" w:rsidR="00776A1F" w:rsidRDefault="00D8574B">
            <w:pPr>
              <w:pStyle w:val="P68B1DB1-Normal16"/>
              <w:spacing w:after="0" w:line="240" w:lineRule="auto"/>
              <w:jc w:val="center"/>
              <w:rPr>
                <w:rFonts w:eastAsia="Times New Roman" w:cs="Times New Roman"/>
                <w:b/>
                <w:noProof/>
              </w:rPr>
            </w:pPr>
            <w:r>
              <w:rPr>
                <w:b/>
                <w:noProof/>
              </w:rPr>
              <w:t>Q</w:t>
            </w:r>
            <w:r>
              <w:rPr>
                <w:noProof/>
              </w:rPr>
              <w:t> </w:t>
            </w:r>
          </w:p>
        </w:tc>
        <w:tc>
          <w:tcPr>
            <w:tcW w:w="672" w:type="dxa"/>
            <w:shd w:val="clear" w:color="auto" w:fill="B4C6E7"/>
            <w:vAlign w:val="center"/>
            <w:hideMark/>
          </w:tcPr>
          <w:p w14:paraId="4917FFB7" w14:textId="77777777" w:rsidR="00776A1F" w:rsidRDefault="00D8574B">
            <w:pPr>
              <w:pStyle w:val="P68B1DB1-Normal16"/>
              <w:spacing w:after="0" w:line="240" w:lineRule="auto"/>
              <w:jc w:val="center"/>
              <w:rPr>
                <w:rFonts w:eastAsia="Times New Roman" w:cs="Times New Roman"/>
                <w:b/>
                <w:noProof/>
              </w:rPr>
            </w:pPr>
            <w:r>
              <w:rPr>
                <w:b/>
                <w:noProof/>
              </w:rPr>
              <w:t>Gadā</w:t>
            </w:r>
            <w:r>
              <w:rPr>
                <w:noProof/>
              </w:rPr>
              <w:t> </w:t>
            </w:r>
          </w:p>
        </w:tc>
        <w:tc>
          <w:tcPr>
            <w:tcW w:w="3756" w:type="dxa"/>
            <w:vMerge/>
            <w:vAlign w:val="center"/>
            <w:hideMark/>
          </w:tcPr>
          <w:p w14:paraId="38B9FC0D" w14:textId="77777777" w:rsidR="00776A1F" w:rsidRDefault="00776A1F">
            <w:pPr>
              <w:spacing w:after="0" w:line="240" w:lineRule="auto"/>
              <w:rPr>
                <w:rFonts w:ascii="Times New Roman" w:eastAsia="Times New Roman" w:hAnsi="Times New Roman" w:cs="Times New Roman"/>
                <w:b/>
                <w:noProof/>
                <w:sz w:val="18"/>
              </w:rPr>
            </w:pPr>
          </w:p>
        </w:tc>
      </w:tr>
      <w:tr w:rsidR="00776A1F" w14:paraId="69100ED4" w14:textId="77777777">
        <w:trPr>
          <w:trHeight w:val="1480"/>
        </w:trPr>
        <w:tc>
          <w:tcPr>
            <w:tcW w:w="1067" w:type="dxa"/>
            <w:shd w:val="clear" w:color="auto" w:fill="C5EFCE"/>
            <w:vAlign w:val="center"/>
            <w:hideMark/>
          </w:tcPr>
          <w:p w14:paraId="7FFFB0EB" w14:textId="77777777" w:rsidR="00776A1F" w:rsidRDefault="00D8574B">
            <w:pPr>
              <w:pStyle w:val="P68B1DB1-Normal7"/>
              <w:spacing w:after="0" w:line="240" w:lineRule="auto"/>
              <w:jc w:val="center"/>
              <w:rPr>
                <w:rFonts w:eastAsia="Times New Roman" w:cs="Calibri"/>
                <w:noProof/>
              </w:rPr>
            </w:pPr>
            <w:r>
              <w:rPr>
                <w:noProof/>
              </w:rPr>
              <w:t>4.1</w:t>
            </w:r>
          </w:p>
        </w:tc>
        <w:tc>
          <w:tcPr>
            <w:tcW w:w="1191" w:type="dxa"/>
            <w:shd w:val="clear" w:color="auto" w:fill="C4EFCE"/>
            <w:vAlign w:val="center"/>
            <w:hideMark/>
          </w:tcPr>
          <w:p w14:paraId="0F332CE6" w14:textId="77777777" w:rsidR="00776A1F" w:rsidRDefault="00D8574B">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94E1B0B" w14:textId="77777777" w:rsidR="00776A1F" w:rsidRDefault="00D8574B">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04704446" w14:textId="77777777" w:rsidR="00776A1F" w:rsidRDefault="00D8574B">
            <w:pPr>
              <w:pStyle w:val="P68B1DB1-Normal8"/>
              <w:spacing w:after="0" w:line="240" w:lineRule="auto"/>
              <w:jc w:val="center"/>
              <w:rPr>
                <w:rFonts w:eastAsia="Times New Roman" w:cs="Calibri"/>
                <w:noProof/>
              </w:rPr>
            </w:pPr>
            <w:r>
              <w:rPr>
                <w:noProof/>
              </w:rPr>
              <w:t>Kultūras objektu tīkla tehnoloģiskās specifikācijas</w:t>
            </w:r>
          </w:p>
        </w:tc>
        <w:tc>
          <w:tcPr>
            <w:tcW w:w="1193" w:type="dxa"/>
            <w:shd w:val="clear" w:color="auto" w:fill="C4EFCE"/>
            <w:vAlign w:val="center"/>
            <w:hideMark/>
          </w:tcPr>
          <w:p w14:paraId="61F7EBA6" w14:textId="77777777" w:rsidR="00776A1F" w:rsidRDefault="00D8574B">
            <w:pPr>
              <w:pStyle w:val="P68B1DB1-Normal8"/>
              <w:spacing w:after="0" w:line="240" w:lineRule="auto"/>
              <w:jc w:val="center"/>
              <w:rPr>
                <w:rFonts w:eastAsia="Times New Roman" w:cs="Calibri"/>
                <w:noProof/>
              </w:rPr>
            </w:pPr>
            <w:r>
              <w:rPr>
                <w:noProof/>
              </w:rPr>
              <w:t>Ziņojums par kultūras iestāžu tīkla tehnoloģiskajām specifikācijām</w:t>
            </w:r>
          </w:p>
        </w:tc>
        <w:tc>
          <w:tcPr>
            <w:tcW w:w="930" w:type="dxa"/>
            <w:shd w:val="clear" w:color="auto" w:fill="C4EFCE"/>
            <w:vAlign w:val="center"/>
            <w:hideMark/>
          </w:tcPr>
          <w:p w14:paraId="7F181E4F" w14:textId="77777777" w:rsidR="00776A1F" w:rsidRDefault="00D8574B">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B4FC930" w14:textId="77777777" w:rsidR="00776A1F" w:rsidRDefault="00D8574B">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1EE62675" w14:textId="77777777" w:rsidR="00776A1F" w:rsidRDefault="00D8574B">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E5E1F2E" w14:textId="77777777" w:rsidR="00776A1F" w:rsidRDefault="00D8574B">
            <w:pPr>
              <w:pStyle w:val="P68B1DB1-Normal8"/>
              <w:spacing w:after="0" w:line="240" w:lineRule="auto"/>
              <w:jc w:val="center"/>
              <w:rPr>
                <w:rFonts w:eastAsia="Times New Roman" w:cs="Calibri"/>
                <w:noProof/>
              </w:rPr>
            </w:pPr>
            <w:r>
              <w:rPr>
                <w:noProof/>
              </w:rPr>
              <w:t>2. CET. </w:t>
            </w:r>
          </w:p>
        </w:tc>
        <w:tc>
          <w:tcPr>
            <w:tcW w:w="672" w:type="dxa"/>
            <w:shd w:val="clear" w:color="auto" w:fill="C4EFCE"/>
            <w:vAlign w:val="center"/>
            <w:hideMark/>
          </w:tcPr>
          <w:p w14:paraId="7BDF2F41" w14:textId="77777777" w:rsidR="00776A1F" w:rsidRDefault="00D8574B">
            <w:pPr>
              <w:pStyle w:val="P68B1DB1-Normal8"/>
              <w:spacing w:after="0" w:line="240" w:lineRule="auto"/>
              <w:jc w:val="center"/>
              <w:rPr>
                <w:rFonts w:eastAsia="Times New Roman" w:cs="Calibri"/>
                <w:noProof/>
              </w:rPr>
            </w:pPr>
            <w:r>
              <w:rPr>
                <w:noProof/>
              </w:rPr>
              <w:t>2022 </w:t>
            </w:r>
          </w:p>
        </w:tc>
        <w:tc>
          <w:tcPr>
            <w:tcW w:w="3756" w:type="dxa"/>
            <w:shd w:val="clear" w:color="auto" w:fill="C4EFCE"/>
            <w:noWrap/>
            <w:vAlign w:val="center"/>
            <w:hideMark/>
          </w:tcPr>
          <w:p w14:paraId="3C24C115" w14:textId="77777777" w:rsidR="00776A1F" w:rsidRDefault="00D8574B">
            <w:pPr>
              <w:pStyle w:val="P68B1DB1-Normal8"/>
              <w:spacing w:after="0" w:line="240" w:lineRule="auto"/>
              <w:jc w:val="both"/>
              <w:rPr>
                <w:rFonts w:eastAsia="Times New Roman" w:cs="Calibri"/>
                <w:noProof/>
              </w:rPr>
            </w:pPr>
            <w:r>
              <w:rPr>
                <w:noProof/>
              </w:rPr>
              <w:t>Sīki izstrādāta tehnoloģisko specifikāciju noteikšana kultūras objektu tīklam </w:t>
            </w:r>
          </w:p>
        </w:tc>
      </w:tr>
      <w:tr w:rsidR="00776A1F" w14:paraId="6A18F214" w14:textId="77777777">
        <w:trPr>
          <w:trHeight w:val="1060"/>
        </w:trPr>
        <w:tc>
          <w:tcPr>
            <w:tcW w:w="1067" w:type="dxa"/>
            <w:shd w:val="clear" w:color="auto" w:fill="C5EFCE"/>
            <w:vAlign w:val="center"/>
            <w:hideMark/>
          </w:tcPr>
          <w:p w14:paraId="2815D0CE" w14:textId="77777777" w:rsidR="00776A1F" w:rsidRDefault="00D8574B">
            <w:pPr>
              <w:pStyle w:val="P68B1DB1-Normal7"/>
              <w:spacing w:after="0" w:line="240" w:lineRule="auto"/>
              <w:jc w:val="center"/>
              <w:rPr>
                <w:rFonts w:eastAsia="Times New Roman" w:cs="Calibri"/>
                <w:noProof/>
              </w:rPr>
            </w:pPr>
            <w:r>
              <w:rPr>
                <w:noProof/>
              </w:rPr>
              <w:t>4.2</w:t>
            </w:r>
          </w:p>
        </w:tc>
        <w:tc>
          <w:tcPr>
            <w:tcW w:w="1191" w:type="dxa"/>
            <w:shd w:val="clear" w:color="auto" w:fill="C4EFCE"/>
            <w:vAlign w:val="center"/>
            <w:hideMark/>
          </w:tcPr>
          <w:p w14:paraId="67F836FD" w14:textId="77777777" w:rsidR="00776A1F" w:rsidRDefault="00D8574B">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862850B" w14:textId="77777777" w:rsidR="00776A1F" w:rsidRDefault="00D8574B">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3696B783" w14:textId="77777777" w:rsidR="00776A1F" w:rsidRDefault="00D8574B">
            <w:pPr>
              <w:pStyle w:val="P68B1DB1-Normal8"/>
              <w:spacing w:after="0" w:line="240" w:lineRule="auto"/>
              <w:jc w:val="center"/>
              <w:rPr>
                <w:rFonts w:eastAsia="Times New Roman" w:cs="Calibri"/>
                <w:noProof/>
              </w:rPr>
            </w:pPr>
            <w:r>
              <w:rPr>
                <w:noProof/>
              </w:rPr>
              <w:t>Finansiāls atbalsts grāmatnīcu digitālajai pārejai</w:t>
            </w:r>
          </w:p>
        </w:tc>
        <w:tc>
          <w:tcPr>
            <w:tcW w:w="1193" w:type="dxa"/>
            <w:shd w:val="clear" w:color="auto" w:fill="C4EFCE"/>
            <w:vAlign w:val="center"/>
            <w:hideMark/>
          </w:tcPr>
          <w:p w14:paraId="4F0ADF20" w14:textId="77777777" w:rsidR="00776A1F" w:rsidRDefault="00D8574B">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6F1EB3DA" w14:textId="77777777" w:rsidR="00776A1F" w:rsidRDefault="00D8574B">
            <w:pPr>
              <w:pStyle w:val="P68B1DB1-Normal8"/>
              <w:spacing w:after="0" w:line="240" w:lineRule="auto"/>
              <w:jc w:val="center"/>
              <w:rPr>
                <w:rFonts w:eastAsia="Times New Roman" w:cs="Calibri"/>
                <w:noProof/>
              </w:rPr>
            </w:pPr>
            <w:r>
              <w:rPr>
                <w:noProof/>
              </w:rPr>
              <w:t>Skaits</w:t>
            </w:r>
          </w:p>
        </w:tc>
        <w:tc>
          <w:tcPr>
            <w:tcW w:w="1225" w:type="dxa"/>
            <w:shd w:val="clear" w:color="auto" w:fill="C4EFCE"/>
            <w:vAlign w:val="center"/>
            <w:hideMark/>
          </w:tcPr>
          <w:p w14:paraId="07E69B40" w14:textId="77777777" w:rsidR="00776A1F" w:rsidRDefault="00D8574B">
            <w:pPr>
              <w:pStyle w:val="P68B1DB1-Normal8"/>
              <w:spacing w:after="0" w:line="240" w:lineRule="auto"/>
              <w:jc w:val="center"/>
              <w:rPr>
                <w:rFonts w:eastAsia="Times New Roman" w:cs="Calibri"/>
                <w:noProof/>
              </w:rPr>
            </w:pPr>
            <w:r>
              <w:rPr>
                <w:noProof/>
              </w:rPr>
              <w:t>0 </w:t>
            </w:r>
          </w:p>
        </w:tc>
        <w:tc>
          <w:tcPr>
            <w:tcW w:w="671" w:type="dxa"/>
            <w:shd w:val="clear" w:color="auto" w:fill="C4EFCE"/>
            <w:vAlign w:val="center"/>
            <w:hideMark/>
          </w:tcPr>
          <w:p w14:paraId="34DE8CD7" w14:textId="77777777" w:rsidR="00776A1F" w:rsidRDefault="00D8574B">
            <w:pPr>
              <w:pStyle w:val="P68B1DB1-Normal8"/>
              <w:spacing w:after="0" w:line="240" w:lineRule="auto"/>
              <w:jc w:val="center"/>
              <w:rPr>
                <w:rFonts w:eastAsia="Times New Roman" w:cs="Calibri"/>
                <w:noProof/>
              </w:rPr>
            </w:pPr>
            <w:r>
              <w:rPr>
                <w:noProof/>
              </w:rPr>
              <w:t>200 </w:t>
            </w:r>
          </w:p>
        </w:tc>
        <w:tc>
          <w:tcPr>
            <w:tcW w:w="539" w:type="dxa"/>
            <w:shd w:val="clear" w:color="auto" w:fill="C4EFCE"/>
            <w:vAlign w:val="center"/>
            <w:hideMark/>
          </w:tcPr>
          <w:p w14:paraId="58CDDC7C" w14:textId="77777777" w:rsidR="00776A1F" w:rsidRDefault="00D8574B">
            <w:pPr>
              <w:pStyle w:val="P68B1DB1-Normal8"/>
              <w:spacing w:after="0" w:line="240" w:lineRule="auto"/>
              <w:jc w:val="center"/>
              <w:rPr>
                <w:rFonts w:eastAsia="Times New Roman" w:cs="Calibri"/>
                <w:noProof/>
              </w:rPr>
            </w:pPr>
            <w:r>
              <w:rPr>
                <w:noProof/>
              </w:rPr>
              <w:t>4. CET. </w:t>
            </w:r>
          </w:p>
        </w:tc>
        <w:tc>
          <w:tcPr>
            <w:tcW w:w="672" w:type="dxa"/>
            <w:shd w:val="clear" w:color="auto" w:fill="C4EFCE"/>
            <w:vAlign w:val="center"/>
            <w:hideMark/>
          </w:tcPr>
          <w:p w14:paraId="6C906CB7" w14:textId="77777777" w:rsidR="00776A1F" w:rsidRDefault="00D8574B">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7BA7A95B" w14:textId="5C3C166A" w:rsidR="00776A1F" w:rsidRDefault="00D8574B">
            <w:pPr>
              <w:pStyle w:val="P68B1DB1-Normal8"/>
              <w:spacing w:after="0" w:line="240" w:lineRule="auto"/>
              <w:jc w:val="both"/>
              <w:rPr>
                <w:rFonts w:eastAsia="Times New Roman" w:cs="Calibri"/>
                <w:noProof/>
              </w:rPr>
            </w:pPr>
            <w:r>
              <w:rPr>
                <w:noProof/>
              </w:rPr>
              <w:t>Grāmatnīcu skaits saņēma finansiālu atbalstu grāmatnīcu digitālajai pārejai, subsidējot 60 % no tehniskā aprīkojuma un pakalpojumu groza izmaksām grāmatnīcā (piemēram, grāmatu skeneris, Wi-fi un VPN tīkli, grāmatnīcas tīmekļa vietne, integrēta grāmatvedības sistēma u. c.)</w:t>
            </w:r>
          </w:p>
        </w:tc>
      </w:tr>
      <w:tr w:rsidR="00776A1F" w14:paraId="26C8893F" w14:textId="77777777">
        <w:trPr>
          <w:trHeight w:val="290"/>
        </w:trPr>
        <w:tc>
          <w:tcPr>
            <w:tcW w:w="1067" w:type="dxa"/>
            <w:shd w:val="clear" w:color="auto" w:fill="C5EFCE"/>
            <w:vAlign w:val="center"/>
            <w:hideMark/>
          </w:tcPr>
          <w:p w14:paraId="5A0BEA5E" w14:textId="77777777" w:rsidR="00776A1F" w:rsidRDefault="00D8574B">
            <w:pPr>
              <w:pStyle w:val="P68B1DB1-Normal7"/>
              <w:spacing w:after="0" w:line="240" w:lineRule="auto"/>
              <w:jc w:val="center"/>
              <w:rPr>
                <w:rFonts w:eastAsia="Times New Roman" w:cs="Calibri"/>
                <w:noProof/>
              </w:rPr>
            </w:pPr>
            <w:r>
              <w:rPr>
                <w:noProof/>
              </w:rPr>
              <w:t>4.3</w:t>
            </w:r>
          </w:p>
        </w:tc>
        <w:tc>
          <w:tcPr>
            <w:tcW w:w="1191" w:type="dxa"/>
            <w:shd w:val="clear" w:color="auto" w:fill="C4EFCE"/>
            <w:vAlign w:val="center"/>
            <w:hideMark/>
          </w:tcPr>
          <w:p w14:paraId="162AF0B7" w14:textId="77777777" w:rsidR="00776A1F" w:rsidRDefault="00D8574B">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08616AC9" w14:textId="77777777" w:rsidR="00776A1F" w:rsidRDefault="00D8574B">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1C4A4D61" w14:textId="77777777" w:rsidR="00776A1F" w:rsidRDefault="00D8574B">
            <w:pPr>
              <w:pStyle w:val="P68B1DB1-Normal8"/>
              <w:spacing w:after="0" w:line="240" w:lineRule="auto"/>
              <w:jc w:val="center"/>
              <w:rPr>
                <w:rFonts w:eastAsia="Times New Roman" w:cs="Calibri"/>
                <w:noProof/>
              </w:rPr>
            </w:pPr>
            <w:r>
              <w:rPr>
                <w:noProof/>
              </w:rPr>
              <w:t xml:space="preserve">Publisko kolekciju digitalizācija un virtualizācija </w:t>
            </w:r>
          </w:p>
        </w:tc>
        <w:tc>
          <w:tcPr>
            <w:tcW w:w="1193" w:type="dxa"/>
            <w:shd w:val="clear" w:color="auto" w:fill="C4EFCE"/>
            <w:vAlign w:val="center"/>
            <w:hideMark/>
          </w:tcPr>
          <w:p w14:paraId="69874A18" w14:textId="77777777" w:rsidR="00776A1F" w:rsidRDefault="00D8574B">
            <w:pPr>
              <w:pStyle w:val="P68B1DB1-Normal8"/>
              <w:spacing w:after="0" w:line="240" w:lineRule="auto"/>
              <w:jc w:val="center"/>
              <w:rPr>
                <w:rFonts w:eastAsia="Times New Roman" w:cs="Calibri"/>
                <w:noProof/>
              </w:rPr>
            </w:pPr>
            <w:r>
              <w:rPr>
                <w:noProof/>
              </w:rPr>
              <w:t>Publisko kolekciju digitalizācija un virtualizācija</w:t>
            </w:r>
          </w:p>
        </w:tc>
        <w:tc>
          <w:tcPr>
            <w:tcW w:w="930" w:type="dxa"/>
            <w:shd w:val="clear" w:color="auto" w:fill="C4EFCE"/>
            <w:vAlign w:val="center"/>
            <w:hideMark/>
          </w:tcPr>
          <w:p w14:paraId="06325BFB" w14:textId="77777777" w:rsidR="00776A1F" w:rsidRDefault="00D8574B">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4FF56D1" w14:textId="77777777" w:rsidR="00776A1F" w:rsidRDefault="00D8574B">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62B27753" w14:textId="77777777" w:rsidR="00776A1F" w:rsidRDefault="00D8574B">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3989E77" w14:textId="77777777" w:rsidR="00776A1F" w:rsidRDefault="00D8574B">
            <w:pPr>
              <w:pStyle w:val="P68B1DB1-Normal8"/>
              <w:spacing w:after="0" w:line="240" w:lineRule="auto"/>
              <w:jc w:val="center"/>
              <w:rPr>
                <w:rFonts w:eastAsia="Times New Roman" w:cs="Calibri"/>
                <w:noProof/>
              </w:rPr>
            </w:pPr>
            <w:r>
              <w:rPr>
                <w:noProof/>
              </w:rPr>
              <w:t>4. CET. </w:t>
            </w:r>
          </w:p>
        </w:tc>
        <w:tc>
          <w:tcPr>
            <w:tcW w:w="672" w:type="dxa"/>
            <w:shd w:val="clear" w:color="auto" w:fill="C4EFCE"/>
            <w:vAlign w:val="center"/>
            <w:hideMark/>
          </w:tcPr>
          <w:p w14:paraId="410429FA" w14:textId="77777777" w:rsidR="00776A1F" w:rsidRDefault="00D8574B">
            <w:pPr>
              <w:pStyle w:val="P68B1DB1-Normal8"/>
              <w:spacing w:after="0" w:line="240" w:lineRule="auto"/>
              <w:jc w:val="center"/>
              <w:rPr>
                <w:rFonts w:eastAsia="Times New Roman" w:cs="Calibri"/>
                <w:noProof/>
              </w:rPr>
            </w:pPr>
            <w:r>
              <w:rPr>
                <w:noProof/>
              </w:rPr>
              <w:t>2025 </w:t>
            </w:r>
          </w:p>
        </w:tc>
        <w:tc>
          <w:tcPr>
            <w:tcW w:w="3756" w:type="dxa"/>
            <w:shd w:val="clear" w:color="auto" w:fill="C4EFCE"/>
            <w:noWrap/>
            <w:vAlign w:val="center"/>
            <w:hideMark/>
          </w:tcPr>
          <w:p w14:paraId="61F98F7A" w14:textId="77777777" w:rsidR="00776A1F" w:rsidRDefault="00D8574B">
            <w:pPr>
              <w:pStyle w:val="P68B1DB1-Normal8"/>
              <w:spacing w:after="0" w:line="240" w:lineRule="auto"/>
              <w:jc w:val="both"/>
              <w:rPr>
                <w:rFonts w:eastAsia="Times New Roman" w:cs="Calibri"/>
                <w:noProof/>
              </w:rPr>
            </w:pPr>
            <w:r>
              <w:rPr>
                <w:noProof/>
              </w:rPr>
              <w:t>Šādu kolekciju digitalizācija un virtualizācija</w:t>
            </w:r>
            <w:bookmarkStart w:id="7" w:name="_Int_JLJ2Ng8K"/>
            <w:r>
              <w:rPr>
                <w:noProof/>
              </w:rPr>
              <w:t>:</w:t>
            </w:r>
            <w:bookmarkEnd w:id="7"/>
            <w:r>
              <w:rPr>
                <w:noProof/>
              </w:rPr>
              <w:t xml:space="preserve"> grāmatu, arhīvu un bibliotēku ģenerāldirektorāts; </w:t>
            </w:r>
          </w:p>
          <w:p w14:paraId="4D6FD7CE" w14:textId="77777777" w:rsidR="00776A1F" w:rsidRDefault="00D8574B">
            <w:pPr>
              <w:pStyle w:val="P68B1DB1-Normal8"/>
              <w:spacing w:after="0" w:line="240" w:lineRule="auto"/>
              <w:jc w:val="both"/>
              <w:rPr>
                <w:rFonts w:eastAsia="Times New Roman" w:cs="Calibri"/>
                <w:noProof/>
              </w:rPr>
            </w:pPr>
            <w:r>
              <w:rPr>
                <w:noProof/>
              </w:rPr>
              <w:t xml:space="preserve">Portugāles Nacionālo bibliotēku, </w:t>
            </w:r>
          </w:p>
          <w:p w14:paraId="04887855" w14:textId="77777777" w:rsidR="00776A1F" w:rsidRDefault="00D8574B">
            <w:pPr>
              <w:pStyle w:val="P68B1DB1-Normal8"/>
              <w:spacing w:after="0" w:line="240" w:lineRule="auto"/>
              <w:jc w:val="both"/>
              <w:rPr>
                <w:rFonts w:eastAsia="Times New Roman" w:cs="Calibri"/>
                <w:noProof/>
              </w:rPr>
            </w:pPr>
            <w:r>
              <w:rPr>
                <w:noProof/>
              </w:rPr>
              <w:t>Evoras publiskā bibliotēka, </w:t>
            </w:r>
          </w:p>
          <w:p w14:paraId="125C26EB" w14:textId="77777777" w:rsidR="00776A1F" w:rsidRDefault="00D8574B">
            <w:pPr>
              <w:pStyle w:val="P68B1DB1-Normal8"/>
              <w:spacing w:after="0" w:line="240" w:lineRule="auto"/>
              <w:jc w:val="both"/>
              <w:rPr>
                <w:rFonts w:eastAsia="Times New Roman" w:cs="Calibri"/>
                <w:noProof/>
              </w:rPr>
            </w:pPr>
            <w:r>
              <w:rPr>
                <w:noProof/>
              </w:rPr>
              <w:t>Cinemateca un muzeji (DGPC un reģionālo kultūras direktorātu vadībā)</w:t>
            </w:r>
          </w:p>
          <w:p w14:paraId="4C43F75A" w14:textId="77777777" w:rsidR="00776A1F" w:rsidRDefault="00D8574B">
            <w:pPr>
              <w:pStyle w:val="P68B1DB1-Normal8"/>
              <w:spacing w:after="0" w:line="240" w:lineRule="auto"/>
              <w:jc w:val="both"/>
              <w:rPr>
                <w:rFonts w:eastAsia="Times New Roman" w:cs="Calibri"/>
                <w:noProof/>
              </w:rPr>
            </w:pPr>
            <w:r>
              <w:rPr>
                <w:noProof/>
              </w:rPr>
              <w:t xml:space="preserve">Publiskās bibliotēkas (20000000 attēlu) </w:t>
            </w:r>
          </w:p>
          <w:p w14:paraId="3A6A5CC5" w14:textId="77777777" w:rsidR="00776A1F" w:rsidRDefault="00D8574B">
            <w:pPr>
              <w:pStyle w:val="P68B1DB1-Normal8"/>
              <w:spacing w:after="0" w:line="240" w:lineRule="auto"/>
              <w:jc w:val="both"/>
              <w:rPr>
                <w:rFonts w:eastAsia="Times New Roman" w:cs="Calibri"/>
                <w:noProof/>
              </w:rPr>
            </w:pPr>
            <w:r>
              <w:rPr>
                <w:noProof/>
              </w:rPr>
              <w:t xml:space="preserve">Valstu arhīvi (19500000 dokumenti) </w:t>
            </w:r>
          </w:p>
          <w:p w14:paraId="0C26521C" w14:textId="0DC785F2" w:rsidR="00776A1F" w:rsidRDefault="00D8574B">
            <w:pPr>
              <w:pStyle w:val="P68B1DB1-Normal8"/>
              <w:spacing w:after="0" w:line="240" w:lineRule="auto"/>
              <w:jc w:val="both"/>
              <w:rPr>
                <w:rFonts w:eastAsia="Times New Roman" w:cs="Calibri"/>
                <w:noProof/>
              </w:rPr>
            </w:pPr>
            <w:r>
              <w:rPr>
                <w:noProof/>
              </w:rPr>
              <w:t>Publiskie muzeji (59500 ieraksti)</w:t>
            </w:r>
          </w:p>
          <w:p w14:paraId="5E5FA37C" w14:textId="77777777" w:rsidR="00776A1F" w:rsidRDefault="00D8574B">
            <w:pPr>
              <w:pStyle w:val="P68B1DB1-Normal8"/>
              <w:spacing w:after="0" w:line="240" w:lineRule="auto"/>
              <w:jc w:val="both"/>
              <w:rPr>
                <w:rFonts w:eastAsia="Times New Roman" w:cs="Calibri"/>
                <w:noProof/>
              </w:rPr>
            </w:pPr>
            <w:r>
              <w:rPr>
                <w:noProof/>
              </w:rPr>
              <w:t>Virtuāli muzeju apmeklējumi (65 muzeji)</w:t>
            </w:r>
          </w:p>
          <w:p w14:paraId="4A3AECA6" w14:textId="503848A9" w:rsidR="00776A1F" w:rsidRDefault="00D8574B">
            <w:pPr>
              <w:pStyle w:val="P68B1DB1-Normal8"/>
              <w:spacing w:after="0" w:line="240" w:lineRule="auto"/>
              <w:jc w:val="both"/>
              <w:rPr>
                <w:rFonts w:eastAsia="Times New Roman" w:cs="Calibri"/>
                <w:noProof/>
              </w:rPr>
            </w:pPr>
            <w:r>
              <w:rPr>
                <w:noProof/>
              </w:rPr>
              <w:t>Kinoteātika (1000 filmas)</w:t>
            </w:r>
          </w:p>
          <w:p w14:paraId="57CB2147" w14:textId="0C2B23D7" w:rsidR="00776A1F" w:rsidRDefault="00D8574B">
            <w:pPr>
              <w:pStyle w:val="P68B1DB1-Normal8"/>
              <w:spacing w:after="0" w:line="240" w:lineRule="auto"/>
              <w:jc w:val="both"/>
              <w:rPr>
                <w:rFonts w:eastAsia="Times New Roman" w:cs="Calibri"/>
                <w:noProof/>
              </w:rPr>
            </w:pPr>
            <w:r>
              <w:rPr>
                <w:noProof/>
              </w:rPr>
              <w:t>Vēsturisko plašsaziņas līdzekļu un televīzijas apraides pakalpojumu sniedzēju arhīvi (digitizēti un publiskoti, 45000 stundu videokasešu satura)</w:t>
            </w:r>
          </w:p>
        </w:tc>
      </w:tr>
      <w:tr w:rsidR="00776A1F" w14:paraId="0744F11D" w14:textId="77777777">
        <w:trPr>
          <w:trHeight w:val="1690"/>
        </w:trPr>
        <w:tc>
          <w:tcPr>
            <w:tcW w:w="1067" w:type="dxa"/>
            <w:shd w:val="clear" w:color="auto" w:fill="C5EFCE"/>
            <w:vAlign w:val="center"/>
            <w:hideMark/>
          </w:tcPr>
          <w:p w14:paraId="01436334" w14:textId="77777777" w:rsidR="00776A1F" w:rsidRDefault="00D8574B">
            <w:pPr>
              <w:pStyle w:val="P68B1DB1-Normal7"/>
              <w:spacing w:after="0" w:line="240" w:lineRule="auto"/>
              <w:jc w:val="center"/>
              <w:rPr>
                <w:rFonts w:eastAsia="Times New Roman" w:cs="Calibri"/>
                <w:noProof/>
              </w:rPr>
            </w:pPr>
            <w:r>
              <w:rPr>
                <w:noProof/>
              </w:rPr>
              <w:t>4.4</w:t>
            </w:r>
          </w:p>
        </w:tc>
        <w:tc>
          <w:tcPr>
            <w:tcW w:w="1191" w:type="dxa"/>
            <w:shd w:val="clear" w:color="auto" w:fill="C4EFCE"/>
            <w:vAlign w:val="center"/>
            <w:hideMark/>
          </w:tcPr>
          <w:p w14:paraId="1141670F" w14:textId="77777777" w:rsidR="00776A1F" w:rsidRDefault="00D8574B">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151B6187" w14:textId="77777777" w:rsidR="00776A1F" w:rsidRDefault="00D8574B">
            <w:pPr>
              <w:pStyle w:val="P68B1DB1-Normal8"/>
              <w:spacing w:after="0" w:line="240" w:lineRule="auto"/>
              <w:jc w:val="center"/>
              <w:rPr>
                <w:rFonts w:eastAsia="Times New Roman" w:cs="Calibri"/>
                <w:noProof/>
              </w:rPr>
            </w:pPr>
            <w:r>
              <w:rPr>
                <w:noProof/>
              </w:rPr>
              <w:t>M</w:t>
            </w:r>
          </w:p>
        </w:tc>
        <w:tc>
          <w:tcPr>
            <w:tcW w:w="1588" w:type="dxa"/>
            <w:shd w:val="clear" w:color="auto" w:fill="C4EFCE"/>
            <w:vAlign w:val="center"/>
            <w:hideMark/>
          </w:tcPr>
          <w:p w14:paraId="56792410" w14:textId="77777777" w:rsidR="00776A1F" w:rsidRDefault="00D8574B">
            <w:pPr>
              <w:pStyle w:val="P68B1DB1-Normal8"/>
              <w:spacing w:after="0" w:line="240" w:lineRule="auto"/>
              <w:jc w:val="center"/>
              <w:rPr>
                <w:rFonts w:eastAsia="Times New Roman" w:cs="Calibri"/>
                <w:noProof/>
              </w:rPr>
            </w:pPr>
            <w:r>
              <w:rPr>
                <w:noProof/>
              </w:rPr>
              <w:t>Modernizētas tehnoloģiskās infrastruktūras nodrošināšana kultūras objektu tīklam </w:t>
            </w:r>
          </w:p>
        </w:tc>
        <w:tc>
          <w:tcPr>
            <w:tcW w:w="1193" w:type="dxa"/>
            <w:shd w:val="clear" w:color="auto" w:fill="C4EFCE"/>
            <w:vAlign w:val="center"/>
            <w:hideMark/>
          </w:tcPr>
          <w:p w14:paraId="00695BDC" w14:textId="77777777" w:rsidR="00776A1F" w:rsidRDefault="00D8574B">
            <w:pPr>
              <w:pStyle w:val="P68B1DB1-Normal8"/>
              <w:spacing w:after="0" w:line="240" w:lineRule="auto"/>
              <w:jc w:val="center"/>
              <w:rPr>
                <w:rFonts w:eastAsia="Times New Roman" w:cs="Calibri"/>
                <w:noProof/>
              </w:rPr>
            </w:pPr>
            <w:r>
              <w:rPr>
                <w:noProof/>
              </w:rPr>
              <w:t>Modernizētas tehnoloģiskās infrastruktūras nodrošināšana kultūras objektiem</w:t>
            </w:r>
          </w:p>
        </w:tc>
        <w:tc>
          <w:tcPr>
            <w:tcW w:w="930" w:type="dxa"/>
            <w:shd w:val="clear" w:color="auto" w:fill="C4EFCE"/>
            <w:vAlign w:val="center"/>
            <w:hideMark/>
          </w:tcPr>
          <w:p w14:paraId="64F5C137" w14:textId="77777777" w:rsidR="00776A1F" w:rsidRDefault="00D8574B">
            <w:pPr>
              <w:pStyle w:val="P68B1DB1-Normal9"/>
              <w:spacing w:after="0" w:line="240" w:lineRule="auto"/>
              <w:rPr>
                <w:rFonts w:eastAsia="Times New Roman" w:cs="Calibri"/>
                <w:noProof/>
              </w:rPr>
            </w:pPr>
            <w:r>
              <w:rPr>
                <w:noProof/>
              </w:rPr>
              <w:t> </w:t>
            </w:r>
          </w:p>
        </w:tc>
        <w:tc>
          <w:tcPr>
            <w:tcW w:w="1225" w:type="dxa"/>
            <w:shd w:val="clear" w:color="auto" w:fill="C4EFCE"/>
            <w:vAlign w:val="center"/>
            <w:hideMark/>
          </w:tcPr>
          <w:p w14:paraId="430240F6" w14:textId="77777777" w:rsidR="00776A1F" w:rsidRDefault="00D8574B">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4882E765" w14:textId="77777777" w:rsidR="00776A1F" w:rsidRDefault="00D8574B">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60F3F936" w14:textId="361C2C84" w:rsidR="00776A1F" w:rsidRDefault="00D8574B">
            <w:pPr>
              <w:pStyle w:val="P68B1DB1-Normal8"/>
              <w:spacing w:after="0" w:line="240" w:lineRule="auto"/>
              <w:jc w:val="center"/>
              <w:rPr>
                <w:rFonts w:eastAsia="Times New Roman" w:cs="Calibri"/>
                <w:noProof/>
              </w:rPr>
            </w:pPr>
            <w:r>
              <w:rPr>
                <w:noProof/>
              </w:rPr>
              <w:t>1. CET. </w:t>
            </w:r>
          </w:p>
        </w:tc>
        <w:tc>
          <w:tcPr>
            <w:tcW w:w="672" w:type="dxa"/>
            <w:shd w:val="clear" w:color="auto" w:fill="C4EFCE"/>
            <w:vAlign w:val="center"/>
            <w:hideMark/>
          </w:tcPr>
          <w:p w14:paraId="0AAC7F90" w14:textId="71E4A3EF" w:rsidR="00776A1F" w:rsidRDefault="00D8574B">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16A65CDB" w14:textId="5B3C9491" w:rsidR="00776A1F" w:rsidRDefault="00D8574B">
            <w:pPr>
              <w:pStyle w:val="P68B1DB1-Normal8"/>
              <w:spacing w:after="0" w:line="240" w:lineRule="auto"/>
              <w:jc w:val="both"/>
              <w:rPr>
                <w:rFonts w:eastAsia="Times New Roman" w:cs="Calibri"/>
                <w:noProof/>
              </w:rPr>
            </w:pPr>
            <w:r>
              <w:rPr>
                <w:noProof/>
              </w:rPr>
              <w:t>Datoriekārtu un integrētu informācijas un katalogu sistēmu piegāde 239 publiskām bibliotēkām; Wi-fi pārklāj 50 muzeju, paleju un pieminekļus; video un kinoprojektēšanas aprīkojuma iegāde 155 kinoteātriem un publiskiem laikmetīgās mākslas centriem.</w:t>
            </w:r>
          </w:p>
        </w:tc>
      </w:tr>
      <w:tr w:rsidR="00776A1F" w14:paraId="20E65D52" w14:textId="77777777">
        <w:trPr>
          <w:trHeight w:val="1124"/>
        </w:trPr>
        <w:tc>
          <w:tcPr>
            <w:tcW w:w="1067" w:type="dxa"/>
            <w:shd w:val="clear" w:color="auto" w:fill="C5EFCE"/>
            <w:vAlign w:val="center"/>
            <w:hideMark/>
          </w:tcPr>
          <w:p w14:paraId="7AE297CF" w14:textId="77777777" w:rsidR="00776A1F" w:rsidRDefault="00D8574B">
            <w:pPr>
              <w:pStyle w:val="P68B1DB1-Normal7"/>
              <w:spacing w:after="0" w:line="240" w:lineRule="auto"/>
              <w:jc w:val="center"/>
              <w:rPr>
                <w:rFonts w:eastAsia="Times New Roman" w:cs="Calibri"/>
                <w:noProof/>
              </w:rPr>
            </w:pPr>
            <w:r>
              <w:rPr>
                <w:noProof/>
              </w:rPr>
              <w:t>4.5</w:t>
            </w:r>
          </w:p>
        </w:tc>
        <w:tc>
          <w:tcPr>
            <w:tcW w:w="1191" w:type="dxa"/>
            <w:shd w:val="clear" w:color="auto" w:fill="C4EFCE"/>
            <w:vAlign w:val="center"/>
            <w:hideMark/>
          </w:tcPr>
          <w:p w14:paraId="61E6DBD4" w14:textId="77777777" w:rsidR="00776A1F" w:rsidRDefault="00D8574B">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708C4920" w14:textId="77777777" w:rsidR="00776A1F" w:rsidRDefault="00D8574B">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50DE4D28" w14:textId="77777777" w:rsidR="00776A1F" w:rsidRDefault="00D8574B">
            <w:pPr>
              <w:pStyle w:val="P68B1DB1-Normal8"/>
              <w:spacing w:after="0" w:line="240" w:lineRule="auto"/>
              <w:jc w:val="center"/>
              <w:rPr>
                <w:rFonts w:eastAsia="Times New Roman" w:cs="Calibri"/>
                <w:noProof/>
              </w:rPr>
            </w:pPr>
            <w:r>
              <w:rPr>
                <w:noProof/>
              </w:rPr>
              <w:t>Finansiāls atbalsts literāro darbu tulkošanai un izdevniecībai</w:t>
            </w:r>
          </w:p>
        </w:tc>
        <w:tc>
          <w:tcPr>
            <w:tcW w:w="1193" w:type="dxa"/>
            <w:shd w:val="clear" w:color="auto" w:fill="C4EFCE"/>
            <w:vAlign w:val="center"/>
            <w:hideMark/>
          </w:tcPr>
          <w:p w14:paraId="7B42CD2C" w14:textId="77777777" w:rsidR="00776A1F" w:rsidRDefault="00D8574B">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4CC6026D" w14:textId="77777777" w:rsidR="00776A1F" w:rsidRDefault="00D8574B">
            <w:pPr>
              <w:pStyle w:val="P68B1DB1-Normal8"/>
              <w:spacing w:after="0" w:line="240" w:lineRule="auto"/>
              <w:jc w:val="center"/>
              <w:rPr>
                <w:rFonts w:eastAsia="Times New Roman" w:cs="Calibri"/>
                <w:noProof/>
              </w:rPr>
            </w:pPr>
            <w:r>
              <w:rPr>
                <w:noProof/>
              </w:rPr>
              <w:t>Skaits</w:t>
            </w:r>
          </w:p>
        </w:tc>
        <w:tc>
          <w:tcPr>
            <w:tcW w:w="1225" w:type="dxa"/>
            <w:shd w:val="clear" w:color="auto" w:fill="C4EFCE"/>
            <w:vAlign w:val="center"/>
            <w:hideMark/>
          </w:tcPr>
          <w:p w14:paraId="6357E9BC" w14:textId="77777777" w:rsidR="00776A1F" w:rsidRDefault="00D8574B">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3EAEBED8" w14:textId="77777777" w:rsidR="00776A1F" w:rsidRDefault="00D8574B">
            <w:pPr>
              <w:pStyle w:val="P68B1DB1-Normal8"/>
              <w:spacing w:after="0" w:line="240" w:lineRule="auto"/>
              <w:jc w:val="center"/>
              <w:rPr>
                <w:rFonts w:eastAsia="Times New Roman" w:cs="Calibri"/>
                <w:noProof/>
              </w:rPr>
            </w:pPr>
            <w:r>
              <w:rPr>
                <w:noProof/>
              </w:rPr>
              <w:t>5 200 </w:t>
            </w:r>
          </w:p>
        </w:tc>
        <w:tc>
          <w:tcPr>
            <w:tcW w:w="539" w:type="dxa"/>
            <w:shd w:val="clear" w:color="auto" w:fill="C4EFCE"/>
            <w:vAlign w:val="center"/>
            <w:hideMark/>
          </w:tcPr>
          <w:p w14:paraId="50DC2D60" w14:textId="77777777" w:rsidR="00776A1F" w:rsidRDefault="00D8574B">
            <w:pPr>
              <w:pStyle w:val="P68B1DB1-Normal8"/>
              <w:spacing w:after="0" w:line="240" w:lineRule="auto"/>
              <w:jc w:val="center"/>
              <w:rPr>
                <w:rFonts w:eastAsia="Times New Roman" w:cs="Calibri"/>
                <w:noProof/>
              </w:rPr>
            </w:pPr>
            <w:r>
              <w:rPr>
                <w:noProof/>
              </w:rPr>
              <w:t>4. CET. </w:t>
            </w:r>
          </w:p>
        </w:tc>
        <w:tc>
          <w:tcPr>
            <w:tcW w:w="672" w:type="dxa"/>
            <w:shd w:val="clear" w:color="auto" w:fill="C4EFCE"/>
            <w:vAlign w:val="center"/>
            <w:hideMark/>
          </w:tcPr>
          <w:p w14:paraId="29C58B9A" w14:textId="77777777" w:rsidR="00776A1F" w:rsidRDefault="00D8574B">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315D085F" w14:textId="0B09D103" w:rsidR="00776A1F" w:rsidRDefault="00776A1F">
            <w:pPr>
              <w:spacing w:after="0" w:line="240" w:lineRule="auto"/>
              <w:jc w:val="both"/>
              <w:rPr>
                <w:rFonts w:ascii="Calibri" w:eastAsia="Times New Roman" w:hAnsi="Calibri" w:cs="Calibri"/>
                <w:noProof/>
                <w:sz w:val="16"/>
              </w:rPr>
            </w:pPr>
          </w:p>
          <w:p w14:paraId="1A89509D" w14:textId="1230369A" w:rsidR="00776A1F" w:rsidRDefault="00D8574B">
            <w:pPr>
              <w:pStyle w:val="P68B1DB1-Normal8"/>
              <w:spacing w:after="0" w:line="240" w:lineRule="auto"/>
              <w:jc w:val="both"/>
              <w:rPr>
                <w:rFonts w:eastAsia="Times New Roman" w:cs="Calibri"/>
                <w:noProof/>
              </w:rPr>
            </w:pPr>
            <w:r>
              <w:rPr>
                <w:noProof/>
              </w:rPr>
              <w:t>To literāro darbu skaits, kuriem piešķirts finansiāls atbalsts literāro darbu tulkošanai un publicēšanai un audiogrāmatu un e-grāmatu izdošanai, finansējot 60–70 % no tulkošanas un publicēšanas izmaksām.</w:t>
            </w:r>
          </w:p>
        </w:tc>
      </w:tr>
      <w:tr w:rsidR="00776A1F" w14:paraId="69C93F6D" w14:textId="77777777">
        <w:trPr>
          <w:trHeight w:val="1252"/>
        </w:trPr>
        <w:tc>
          <w:tcPr>
            <w:tcW w:w="1067" w:type="dxa"/>
            <w:shd w:val="clear" w:color="auto" w:fill="C5EFCE"/>
            <w:vAlign w:val="center"/>
            <w:hideMark/>
          </w:tcPr>
          <w:p w14:paraId="4136033A" w14:textId="7FAAF2FA" w:rsidR="00776A1F" w:rsidRDefault="00D8574B">
            <w:pPr>
              <w:pStyle w:val="P68B1DB1-Normal7"/>
              <w:spacing w:line="240" w:lineRule="auto"/>
              <w:jc w:val="center"/>
              <w:rPr>
                <w:rFonts w:eastAsia="Times New Roman" w:cs="Calibri"/>
                <w:noProof/>
              </w:rPr>
            </w:pPr>
            <w:r>
              <w:rPr>
                <w:noProof/>
              </w:rPr>
              <w:t>4.9</w:t>
            </w:r>
          </w:p>
        </w:tc>
        <w:tc>
          <w:tcPr>
            <w:tcW w:w="1191" w:type="dxa"/>
            <w:shd w:val="clear" w:color="auto" w:fill="C4EFCE"/>
            <w:vAlign w:val="center"/>
            <w:hideMark/>
          </w:tcPr>
          <w:p w14:paraId="087D8C01" w14:textId="1509E774" w:rsidR="00776A1F" w:rsidRDefault="00D8574B">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102CD47A" w14:textId="3BE67781" w:rsidR="00776A1F" w:rsidRDefault="00D8574B">
            <w:pPr>
              <w:pStyle w:val="P68B1DB1-Normal8"/>
              <w:spacing w:line="240" w:lineRule="auto"/>
              <w:jc w:val="center"/>
              <w:rPr>
                <w:rFonts w:eastAsia="Times New Roman" w:cs="Calibri"/>
                <w:noProof/>
              </w:rPr>
            </w:pPr>
            <w:r>
              <w:rPr>
                <w:noProof/>
              </w:rPr>
              <w:t>M</w:t>
            </w:r>
          </w:p>
        </w:tc>
        <w:tc>
          <w:tcPr>
            <w:tcW w:w="1588" w:type="dxa"/>
            <w:shd w:val="clear" w:color="auto" w:fill="C4EFCE"/>
            <w:vAlign w:val="center"/>
            <w:hideMark/>
          </w:tcPr>
          <w:p w14:paraId="226CD61A" w14:textId="4958D1C6" w:rsidR="00776A1F" w:rsidRDefault="00D8574B">
            <w:pPr>
              <w:pStyle w:val="P68B1DB1-Normal8"/>
              <w:widowControl w:val="0"/>
              <w:spacing w:before="320" w:after="0" w:line="240" w:lineRule="auto"/>
              <w:jc w:val="center"/>
              <w:rPr>
                <w:rFonts w:eastAsia="Calibri" w:cs="Calibri"/>
                <w:noProof/>
              </w:rPr>
            </w:pPr>
            <w:r>
              <w:rPr>
                <w:noProof/>
              </w:rPr>
              <w:t>ANIM tehnoloģiskā modernizācija — Valsts kustīgo attēlu arhīvs</w:t>
            </w:r>
          </w:p>
        </w:tc>
        <w:tc>
          <w:tcPr>
            <w:tcW w:w="1193" w:type="dxa"/>
            <w:shd w:val="clear" w:color="auto" w:fill="C4EFCE"/>
            <w:vAlign w:val="center"/>
            <w:hideMark/>
          </w:tcPr>
          <w:p w14:paraId="36622BAB" w14:textId="2B99FCB6" w:rsidR="00776A1F" w:rsidRDefault="00D8574B">
            <w:pPr>
              <w:pStyle w:val="P68B1DB1-Normal8"/>
              <w:spacing w:line="240" w:lineRule="auto"/>
              <w:jc w:val="center"/>
              <w:rPr>
                <w:rFonts w:eastAsia="Times New Roman" w:cs="Calibri"/>
                <w:noProof/>
              </w:rPr>
            </w:pPr>
            <w:r>
              <w:rPr>
                <w:noProof/>
              </w:rPr>
              <w:t>Iekārtu piegāde</w:t>
            </w:r>
          </w:p>
        </w:tc>
        <w:tc>
          <w:tcPr>
            <w:tcW w:w="930" w:type="dxa"/>
            <w:shd w:val="clear" w:color="auto" w:fill="C4EFCE"/>
            <w:vAlign w:val="center"/>
            <w:hideMark/>
          </w:tcPr>
          <w:p w14:paraId="50A25E56" w14:textId="4285FAF0" w:rsidR="00776A1F" w:rsidRDefault="00776A1F">
            <w:pPr>
              <w:spacing w:line="240" w:lineRule="auto"/>
              <w:jc w:val="center"/>
              <w:rPr>
                <w:rFonts w:ascii="Calibri" w:eastAsia="Times New Roman" w:hAnsi="Calibri" w:cs="Calibri"/>
                <w:noProof/>
                <w:sz w:val="16"/>
              </w:rPr>
            </w:pPr>
          </w:p>
        </w:tc>
        <w:tc>
          <w:tcPr>
            <w:tcW w:w="1225" w:type="dxa"/>
            <w:shd w:val="clear" w:color="auto" w:fill="C4EFCE"/>
            <w:vAlign w:val="center"/>
            <w:hideMark/>
          </w:tcPr>
          <w:p w14:paraId="3A7664CF" w14:textId="533FA4EC" w:rsidR="00776A1F" w:rsidRDefault="00776A1F">
            <w:pPr>
              <w:spacing w:line="240" w:lineRule="auto"/>
              <w:jc w:val="center"/>
              <w:rPr>
                <w:rFonts w:ascii="Calibri" w:eastAsia="Times New Roman" w:hAnsi="Calibri" w:cs="Calibri"/>
                <w:noProof/>
                <w:sz w:val="16"/>
              </w:rPr>
            </w:pPr>
          </w:p>
        </w:tc>
        <w:tc>
          <w:tcPr>
            <w:tcW w:w="671" w:type="dxa"/>
            <w:shd w:val="clear" w:color="auto" w:fill="C4EFCE"/>
            <w:vAlign w:val="center"/>
            <w:hideMark/>
          </w:tcPr>
          <w:p w14:paraId="4B934F52" w14:textId="168F57DB" w:rsidR="00776A1F" w:rsidRDefault="00776A1F">
            <w:pPr>
              <w:spacing w:line="240" w:lineRule="auto"/>
              <w:jc w:val="center"/>
              <w:rPr>
                <w:rFonts w:ascii="Calibri" w:eastAsia="Times New Roman" w:hAnsi="Calibri" w:cs="Calibri"/>
                <w:noProof/>
                <w:sz w:val="16"/>
              </w:rPr>
            </w:pPr>
          </w:p>
        </w:tc>
        <w:tc>
          <w:tcPr>
            <w:tcW w:w="539" w:type="dxa"/>
            <w:shd w:val="clear" w:color="auto" w:fill="C4EFCE"/>
            <w:vAlign w:val="center"/>
            <w:hideMark/>
          </w:tcPr>
          <w:p w14:paraId="2BB5A574" w14:textId="38582661" w:rsidR="00776A1F" w:rsidRDefault="00D8574B">
            <w:pPr>
              <w:pStyle w:val="P68B1DB1-Normal8"/>
              <w:spacing w:line="240" w:lineRule="auto"/>
              <w:jc w:val="center"/>
              <w:rPr>
                <w:rFonts w:eastAsia="Times New Roman" w:cs="Calibri"/>
                <w:noProof/>
              </w:rPr>
            </w:pPr>
            <w:r>
              <w:rPr>
                <w:noProof/>
              </w:rPr>
              <w:t>3. CET.</w:t>
            </w:r>
          </w:p>
        </w:tc>
        <w:tc>
          <w:tcPr>
            <w:tcW w:w="672" w:type="dxa"/>
            <w:shd w:val="clear" w:color="auto" w:fill="C4EFCE"/>
            <w:vAlign w:val="center"/>
            <w:hideMark/>
          </w:tcPr>
          <w:p w14:paraId="4FE4F2D2" w14:textId="215CF13E" w:rsidR="00776A1F" w:rsidRDefault="00D8574B">
            <w:pPr>
              <w:pStyle w:val="P68B1DB1-Normal8"/>
              <w:spacing w:line="240" w:lineRule="auto"/>
              <w:jc w:val="center"/>
              <w:rPr>
                <w:rFonts w:eastAsia="Times New Roman" w:cs="Calibri"/>
                <w:noProof/>
              </w:rPr>
            </w:pPr>
            <w:r>
              <w:rPr>
                <w:noProof/>
              </w:rPr>
              <w:t>2023</w:t>
            </w:r>
          </w:p>
        </w:tc>
        <w:tc>
          <w:tcPr>
            <w:tcW w:w="3756" w:type="dxa"/>
            <w:shd w:val="clear" w:color="auto" w:fill="C4EFCE"/>
            <w:vAlign w:val="center"/>
            <w:hideMark/>
          </w:tcPr>
          <w:p w14:paraId="0A05C053" w14:textId="1A2F05CC" w:rsidR="00776A1F" w:rsidRDefault="00D8574B">
            <w:pPr>
              <w:pStyle w:val="P68B1DB1-Normal8"/>
              <w:spacing w:before="40" w:after="160" w:line="240" w:lineRule="auto"/>
              <w:contextualSpacing/>
              <w:jc w:val="both"/>
              <w:rPr>
                <w:rFonts w:eastAsia="Calibri" w:cs="Calibri"/>
                <w:noProof/>
              </w:rPr>
            </w:pPr>
            <w:r>
              <w:rPr>
                <w:noProof/>
              </w:rPr>
              <w:t>Aprīkojuma piegāde Valsts kustīgo attēlu arhīva tehnoloģiskajai modernizācijai.</w:t>
            </w:r>
          </w:p>
        </w:tc>
      </w:tr>
      <w:tr w:rsidR="00776A1F" w14:paraId="7A6F89CA" w14:textId="77777777">
        <w:trPr>
          <w:trHeight w:val="1883"/>
        </w:trPr>
        <w:tc>
          <w:tcPr>
            <w:tcW w:w="1067" w:type="dxa"/>
            <w:shd w:val="clear" w:color="auto" w:fill="C5EFCE"/>
            <w:vAlign w:val="center"/>
            <w:hideMark/>
          </w:tcPr>
          <w:p w14:paraId="0F231483" w14:textId="3BD0B995" w:rsidR="00776A1F" w:rsidRDefault="00D8574B">
            <w:pPr>
              <w:pStyle w:val="P68B1DB1-Normal7"/>
              <w:spacing w:line="240" w:lineRule="auto"/>
              <w:jc w:val="center"/>
              <w:rPr>
                <w:rFonts w:eastAsia="Times New Roman" w:cs="Calibri"/>
                <w:noProof/>
              </w:rPr>
            </w:pPr>
            <w:r>
              <w:rPr>
                <w:noProof/>
              </w:rPr>
              <w:t>4.10</w:t>
            </w:r>
          </w:p>
        </w:tc>
        <w:tc>
          <w:tcPr>
            <w:tcW w:w="1191" w:type="dxa"/>
            <w:shd w:val="clear" w:color="auto" w:fill="C4EFCE"/>
            <w:vAlign w:val="center"/>
            <w:hideMark/>
          </w:tcPr>
          <w:p w14:paraId="3A7259C4" w14:textId="3A73E587" w:rsidR="00776A1F" w:rsidRDefault="00D8574B">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707B69E4" w14:textId="522C4E35" w:rsidR="00776A1F" w:rsidRDefault="00D8574B">
            <w:pPr>
              <w:pStyle w:val="P68B1DB1-Normal8"/>
              <w:spacing w:line="240" w:lineRule="auto"/>
              <w:jc w:val="center"/>
              <w:rPr>
                <w:rFonts w:eastAsia="Times New Roman" w:cs="Calibri"/>
                <w:noProof/>
              </w:rPr>
            </w:pPr>
            <w:r>
              <w:rPr>
                <w:noProof/>
              </w:rPr>
              <w:t>T</w:t>
            </w:r>
          </w:p>
        </w:tc>
        <w:tc>
          <w:tcPr>
            <w:tcW w:w="1588" w:type="dxa"/>
            <w:shd w:val="clear" w:color="auto" w:fill="C4EFCE"/>
            <w:vAlign w:val="center"/>
            <w:hideMark/>
          </w:tcPr>
          <w:p w14:paraId="600DDD24" w14:textId="12D6D904" w:rsidR="00776A1F" w:rsidRDefault="00D8574B">
            <w:pPr>
              <w:pStyle w:val="P68B1DB1-Normal8"/>
              <w:widowControl w:val="0"/>
              <w:spacing w:before="320" w:after="0" w:line="240" w:lineRule="auto"/>
              <w:jc w:val="center"/>
              <w:rPr>
                <w:rFonts w:eastAsia="Calibri" w:cs="Calibri"/>
                <w:noProof/>
              </w:rPr>
            </w:pPr>
            <w:r>
              <w:rPr>
                <w:noProof/>
              </w:rPr>
              <w:t>Aprīkojuma piegāde Sound Nacionālā arhīva uzstādīšanai un publisko laboratoriju tehnoloģiskajai modernizācijai</w:t>
            </w:r>
          </w:p>
        </w:tc>
        <w:tc>
          <w:tcPr>
            <w:tcW w:w="1193" w:type="dxa"/>
            <w:shd w:val="clear" w:color="auto" w:fill="C4EFCE"/>
            <w:vAlign w:val="center"/>
            <w:hideMark/>
          </w:tcPr>
          <w:p w14:paraId="3916C5A9" w14:textId="2EEBDAB8" w:rsidR="00776A1F" w:rsidRDefault="00776A1F">
            <w:pPr>
              <w:spacing w:line="240" w:lineRule="auto"/>
              <w:jc w:val="center"/>
              <w:rPr>
                <w:rFonts w:ascii="Calibri" w:eastAsia="Times New Roman" w:hAnsi="Calibri" w:cs="Calibri"/>
                <w:noProof/>
                <w:sz w:val="16"/>
              </w:rPr>
            </w:pPr>
          </w:p>
        </w:tc>
        <w:tc>
          <w:tcPr>
            <w:tcW w:w="930" w:type="dxa"/>
            <w:shd w:val="clear" w:color="auto" w:fill="C4EFCE"/>
            <w:vAlign w:val="center"/>
            <w:hideMark/>
          </w:tcPr>
          <w:p w14:paraId="3EC993CE" w14:textId="4B407D21" w:rsidR="00776A1F" w:rsidRDefault="00D8574B">
            <w:pPr>
              <w:pStyle w:val="P68B1DB1-Normal8"/>
              <w:spacing w:line="240" w:lineRule="auto"/>
              <w:jc w:val="center"/>
              <w:rPr>
                <w:rFonts w:eastAsia="Times New Roman" w:cs="Calibri"/>
                <w:noProof/>
              </w:rPr>
            </w:pPr>
            <w:r>
              <w:rPr>
                <w:noProof/>
              </w:rPr>
              <w:t>Skaits</w:t>
            </w:r>
          </w:p>
        </w:tc>
        <w:tc>
          <w:tcPr>
            <w:tcW w:w="1225" w:type="dxa"/>
            <w:shd w:val="clear" w:color="auto" w:fill="C4EFCE"/>
            <w:vAlign w:val="center"/>
            <w:hideMark/>
          </w:tcPr>
          <w:p w14:paraId="40DF9AC1" w14:textId="69274E4F" w:rsidR="00776A1F" w:rsidRDefault="00D8574B">
            <w:pPr>
              <w:pStyle w:val="P68B1DB1-Normal8"/>
              <w:spacing w:line="240" w:lineRule="auto"/>
              <w:jc w:val="center"/>
              <w:rPr>
                <w:rFonts w:eastAsia="Times New Roman" w:cs="Calibri"/>
                <w:noProof/>
              </w:rPr>
            </w:pPr>
            <w:r>
              <w:rPr>
                <w:noProof/>
              </w:rPr>
              <w:t>0</w:t>
            </w:r>
          </w:p>
        </w:tc>
        <w:tc>
          <w:tcPr>
            <w:tcW w:w="671" w:type="dxa"/>
            <w:shd w:val="clear" w:color="auto" w:fill="C4EFCE"/>
            <w:vAlign w:val="center"/>
            <w:hideMark/>
          </w:tcPr>
          <w:p w14:paraId="706ECCC2" w14:textId="057ADB86" w:rsidR="00776A1F" w:rsidRDefault="00D8574B">
            <w:pPr>
              <w:pStyle w:val="P68B1DB1-Normal8"/>
              <w:spacing w:line="240" w:lineRule="auto"/>
              <w:jc w:val="center"/>
              <w:rPr>
                <w:rFonts w:eastAsia="Times New Roman" w:cs="Calibri"/>
                <w:noProof/>
              </w:rPr>
            </w:pPr>
            <w:r>
              <w:rPr>
                <w:noProof/>
              </w:rPr>
              <w:t>5</w:t>
            </w:r>
          </w:p>
        </w:tc>
        <w:tc>
          <w:tcPr>
            <w:tcW w:w="539" w:type="dxa"/>
            <w:shd w:val="clear" w:color="auto" w:fill="C4EFCE"/>
            <w:vAlign w:val="center"/>
            <w:hideMark/>
          </w:tcPr>
          <w:p w14:paraId="03E2A86D" w14:textId="0364350D" w:rsidR="00776A1F" w:rsidRDefault="00D8574B">
            <w:pPr>
              <w:pStyle w:val="P68B1DB1-Normal8"/>
              <w:spacing w:line="240" w:lineRule="auto"/>
              <w:jc w:val="center"/>
              <w:rPr>
                <w:rFonts w:eastAsia="Times New Roman" w:cs="Calibri"/>
                <w:noProof/>
              </w:rPr>
            </w:pPr>
            <w:r>
              <w:rPr>
                <w:noProof/>
              </w:rPr>
              <w:t>1. CET.</w:t>
            </w:r>
          </w:p>
        </w:tc>
        <w:tc>
          <w:tcPr>
            <w:tcW w:w="672" w:type="dxa"/>
            <w:shd w:val="clear" w:color="auto" w:fill="C4EFCE"/>
            <w:vAlign w:val="center"/>
            <w:hideMark/>
          </w:tcPr>
          <w:p w14:paraId="217FE2C8" w14:textId="0B333ABA" w:rsidR="00776A1F" w:rsidRDefault="00D8574B">
            <w:pPr>
              <w:pStyle w:val="P68B1DB1-Normal8"/>
              <w:spacing w:line="240" w:lineRule="auto"/>
              <w:jc w:val="center"/>
              <w:rPr>
                <w:rFonts w:eastAsia="Times New Roman" w:cs="Calibri"/>
                <w:noProof/>
              </w:rPr>
            </w:pPr>
            <w:r>
              <w:rPr>
                <w:noProof/>
              </w:rPr>
              <w:t>2026</w:t>
            </w:r>
          </w:p>
        </w:tc>
        <w:tc>
          <w:tcPr>
            <w:tcW w:w="3756" w:type="dxa"/>
            <w:shd w:val="clear" w:color="auto" w:fill="C4EFCE"/>
            <w:vAlign w:val="center"/>
            <w:hideMark/>
          </w:tcPr>
          <w:p w14:paraId="752F7E82" w14:textId="604FBA79" w:rsidR="00776A1F" w:rsidRDefault="00D8574B">
            <w:pPr>
              <w:pStyle w:val="P68B1DB1-Normal8"/>
              <w:widowControl w:val="0"/>
              <w:spacing w:after="160" w:line="240" w:lineRule="auto"/>
              <w:rPr>
                <w:rFonts w:eastAsia="Calibri" w:cs="Calibri"/>
                <w:noProof/>
              </w:rPr>
            </w:pPr>
            <w:r>
              <w:rPr>
                <w:noProof/>
              </w:rPr>
              <w:t>Ēku un laboratoriju skaits, kurām piegādāts aprīkojums (Valsts skaņas un publisko laboratoriju arhīvs: José Figueiredo laboratorija, CNANS, LARQ un Forte de Sacavém).</w:t>
            </w:r>
          </w:p>
        </w:tc>
      </w:tr>
      <w:tr w:rsidR="00776A1F" w14:paraId="6CE186ED" w14:textId="77777777">
        <w:trPr>
          <w:trHeight w:val="2740"/>
        </w:trPr>
        <w:tc>
          <w:tcPr>
            <w:tcW w:w="1067" w:type="dxa"/>
            <w:shd w:val="clear" w:color="auto" w:fill="C5EFCE"/>
            <w:vAlign w:val="center"/>
            <w:hideMark/>
          </w:tcPr>
          <w:p w14:paraId="4096D4CD" w14:textId="77777777" w:rsidR="00776A1F" w:rsidRDefault="00D8574B">
            <w:pPr>
              <w:pStyle w:val="P68B1DB1-Normal7"/>
              <w:spacing w:after="0" w:line="240" w:lineRule="auto"/>
              <w:jc w:val="center"/>
              <w:rPr>
                <w:rFonts w:eastAsia="Times New Roman" w:cs="Calibri"/>
                <w:noProof/>
              </w:rPr>
            </w:pPr>
            <w:r>
              <w:rPr>
                <w:noProof/>
              </w:rPr>
              <w:t>4.6</w:t>
            </w:r>
          </w:p>
        </w:tc>
        <w:tc>
          <w:tcPr>
            <w:tcW w:w="1191" w:type="dxa"/>
            <w:shd w:val="clear" w:color="auto" w:fill="C4EFCE"/>
            <w:vAlign w:val="center"/>
            <w:hideMark/>
          </w:tcPr>
          <w:p w14:paraId="756E9748" w14:textId="77777777" w:rsidR="00776A1F" w:rsidRDefault="00D8574B">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EAEAB0E" w14:textId="77777777" w:rsidR="00776A1F" w:rsidRDefault="00D8574B">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7DE50256" w14:textId="77777777" w:rsidR="00776A1F" w:rsidRDefault="00D8574B">
            <w:pPr>
              <w:pStyle w:val="P68B1DB1-Normal8"/>
              <w:spacing w:after="0" w:line="240" w:lineRule="auto"/>
              <w:jc w:val="center"/>
              <w:rPr>
                <w:rFonts w:eastAsia="Times New Roman" w:cs="Calibri"/>
                <w:noProof/>
              </w:rPr>
            </w:pPr>
            <w:r>
              <w:rPr>
                <w:noProof/>
              </w:rPr>
              <w:t>“Saber Fazer” tīkla izveide </w:t>
            </w:r>
          </w:p>
        </w:tc>
        <w:tc>
          <w:tcPr>
            <w:tcW w:w="1193" w:type="dxa"/>
            <w:shd w:val="clear" w:color="auto" w:fill="C4EFCE"/>
            <w:vAlign w:val="center"/>
            <w:hideMark/>
          </w:tcPr>
          <w:p w14:paraId="55979DAB" w14:textId="7F73E08D" w:rsidR="00776A1F" w:rsidRDefault="00D8574B">
            <w:pPr>
              <w:pStyle w:val="P68B1DB1-Normal8"/>
              <w:spacing w:after="0" w:line="240" w:lineRule="auto"/>
              <w:jc w:val="center"/>
              <w:rPr>
                <w:rFonts w:eastAsia="Times New Roman" w:cs="Calibri"/>
                <w:noProof/>
              </w:rPr>
            </w:pPr>
            <w:r>
              <w:rPr>
                <w:noProof/>
              </w:rPr>
              <w:t xml:space="preserve">Informācijas un dokumentācijas repozitorija izveide par vietējo nerūpniecisko ražošanu, izejvielu identificēšanu un kartēšanu </w:t>
            </w:r>
          </w:p>
        </w:tc>
        <w:tc>
          <w:tcPr>
            <w:tcW w:w="930" w:type="dxa"/>
            <w:shd w:val="clear" w:color="auto" w:fill="C4EFCE"/>
            <w:vAlign w:val="center"/>
            <w:hideMark/>
          </w:tcPr>
          <w:p w14:paraId="34888FD9" w14:textId="77777777" w:rsidR="00776A1F" w:rsidRDefault="00D8574B">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760352CB" w14:textId="77777777" w:rsidR="00776A1F" w:rsidRDefault="00D8574B">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788C2337" w14:textId="77777777" w:rsidR="00776A1F" w:rsidRDefault="00D8574B">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332FDD5B" w14:textId="77777777" w:rsidR="00776A1F" w:rsidRDefault="00D8574B">
            <w:pPr>
              <w:pStyle w:val="P68B1DB1-Normal8"/>
              <w:spacing w:after="0" w:line="240" w:lineRule="auto"/>
              <w:jc w:val="center"/>
              <w:rPr>
                <w:rFonts w:eastAsia="Times New Roman" w:cs="Calibri"/>
                <w:noProof/>
              </w:rPr>
            </w:pPr>
            <w:r>
              <w:rPr>
                <w:noProof/>
              </w:rPr>
              <w:t>4. CET. </w:t>
            </w:r>
          </w:p>
        </w:tc>
        <w:tc>
          <w:tcPr>
            <w:tcW w:w="672" w:type="dxa"/>
            <w:shd w:val="clear" w:color="auto" w:fill="C4EFCE"/>
            <w:vAlign w:val="center"/>
            <w:hideMark/>
          </w:tcPr>
          <w:p w14:paraId="4E4BC6F2" w14:textId="77777777" w:rsidR="00776A1F" w:rsidRDefault="00D8574B">
            <w:pPr>
              <w:pStyle w:val="P68B1DB1-Normal8"/>
              <w:spacing w:after="0" w:line="240" w:lineRule="auto"/>
              <w:jc w:val="center"/>
              <w:rPr>
                <w:rFonts w:eastAsia="Times New Roman" w:cs="Calibri"/>
                <w:noProof/>
              </w:rPr>
            </w:pPr>
            <w:r>
              <w:rPr>
                <w:noProof/>
              </w:rPr>
              <w:t>2022 </w:t>
            </w:r>
          </w:p>
        </w:tc>
        <w:tc>
          <w:tcPr>
            <w:tcW w:w="3756" w:type="dxa"/>
            <w:shd w:val="clear" w:color="auto" w:fill="C4EFCE"/>
            <w:vAlign w:val="center"/>
            <w:hideMark/>
          </w:tcPr>
          <w:p w14:paraId="4C1C186A" w14:textId="77777777" w:rsidR="00776A1F" w:rsidRDefault="00D8574B">
            <w:pPr>
              <w:pStyle w:val="P68B1DB1-Normal8"/>
              <w:spacing w:after="0" w:line="240" w:lineRule="auto"/>
              <w:jc w:val="both"/>
              <w:rPr>
                <w:rFonts w:eastAsia="Times New Roman" w:cs="Calibri"/>
                <w:noProof/>
              </w:rPr>
            </w:pPr>
            <w:r>
              <w:rPr>
                <w:noProof/>
              </w:rPr>
              <w:t>“Saber Fazer” tīkla izveide: informācijas un dokumentācijas par vietējo nerūpniecisko ražošanu repozitorija izveide; un nerūpnieciskajā ražošanā izmantoto izejvielu identifikācija un kartēšana.</w:t>
            </w:r>
          </w:p>
        </w:tc>
      </w:tr>
      <w:tr w:rsidR="00776A1F" w14:paraId="35C27186" w14:textId="77777777">
        <w:trPr>
          <w:trHeight w:val="1492"/>
        </w:trPr>
        <w:tc>
          <w:tcPr>
            <w:tcW w:w="1067" w:type="dxa"/>
            <w:shd w:val="clear" w:color="auto" w:fill="C5EFCE"/>
            <w:vAlign w:val="center"/>
            <w:hideMark/>
          </w:tcPr>
          <w:p w14:paraId="23022BEF" w14:textId="77777777" w:rsidR="00776A1F" w:rsidRDefault="00D8574B">
            <w:pPr>
              <w:pStyle w:val="P68B1DB1-Normal7"/>
              <w:spacing w:after="0" w:line="240" w:lineRule="auto"/>
              <w:jc w:val="center"/>
              <w:rPr>
                <w:rFonts w:eastAsia="Times New Roman" w:cs="Calibri"/>
                <w:noProof/>
              </w:rPr>
            </w:pPr>
            <w:r>
              <w:rPr>
                <w:noProof/>
              </w:rPr>
              <w:t>4.7</w:t>
            </w:r>
          </w:p>
        </w:tc>
        <w:tc>
          <w:tcPr>
            <w:tcW w:w="1191" w:type="dxa"/>
            <w:shd w:val="clear" w:color="auto" w:fill="C4EFCE"/>
            <w:vAlign w:val="center"/>
            <w:hideMark/>
          </w:tcPr>
          <w:p w14:paraId="255C30CA" w14:textId="77777777" w:rsidR="00776A1F" w:rsidRDefault="00D8574B">
            <w:pPr>
              <w:pStyle w:val="P68B1DB1-Normal8"/>
              <w:spacing w:after="0" w:line="240" w:lineRule="auto"/>
              <w:jc w:val="center"/>
              <w:rPr>
                <w:rFonts w:eastAsia="Times New Roman" w:cs="Calibri"/>
                <w:noProof/>
              </w:rPr>
            </w:pPr>
            <w:r>
              <w:rPr>
                <w:noProof/>
              </w:rPr>
              <w:t xml:space="preserve">Re-C04-i02  </w:t>
            </w:r>
          </w:p>
        </w:tc>
        <w:tc>
          <w:tcPr>
            <w:tcW w:w="1060" w:type="dxa"/>
            <w:shd w:val="clear" w:color="auto" w:fill="C4EFCE"/>
            <w:vAlign w:val="center"/>
            <w:hideMark/>
          </w:tcPr>
          <w:p w14:paraId="5CC87B5D" w14:textId="77777777" w:rsidR="00776A1F" w:rsidRDefault="00D8574B">
            <w:pPr>
              <w:pStyle w:val="P68B1DB1-Normal8"/>
              <w:spacing w:after="0" w:line="240" w:lineRule="auto"/>
              <w:jc w:val="center"/>
              <w:rPr>
                <w:rFonts w:eastAsia="Times New Roman" w:cs="Calibri"/>
                <w:noProof/>
              </w:rPr>
            </w:pPr>
            <w:r>
              <w:rPr>
                <w:noProof/>
              </w:rPr>
              <w:t>T</w:t>
            </w:r>
          </w:p>
        </w:tc>
        <w:tc>
          <w:tcPr>
            <w:tcW w:w="1588" w:type="dxa"/>
            <w:shd w:val="clear" w:color="auto" w:fill="C4EFCE"/>
            <w:vAlign w:val="center"/>
            <w:hideMark/>
          </w:tcPr>
          <w:p w14:paraId="123191A7" w14:textId="77777777" w:rsidR="00776A1F" w:rsidRDefault="00D8574B">
            <w:pPr>
              <w:pStyle w:val="P68B1DB1-Normal8"/>
              <w:spacing w:after="0" w:line="240" w:lineRule="auto"/>
              <w:jc w:val="center"/>
              <w:rPr>
                <w:rFonts w:eastAsia="Times New Roman" w:cs="Calibri"/>
                <w:noProof/>
              </w:rPr>
            </w:pPr>
            <w:r>
              <w:rPr>
                <w:noProof/>
              </w:rPr>
              <w:t>Parakstītie līgumi par kultūras mantojuma ēku un nacionālo teātru rehabilitāciju un saglabāšanu</w:t>
            </w:r>
          </w:p>
        </w:tc>
        <w:tc>
          <w:tcPr>
            <w:tcW w:w="1193" w:type="dxa"/>
            <w:shd w:val="clear" w:color="auto" w:fill="C4EFCE"/>
            <w:vAlign w:val="center"/>
            <w:hideMark/>
          </w:tcPr>
          <w:p w14:paraId="12AD789B" w14:textId="77777777" w:rsidR="00776A1F" w:rsidRDefault="00D8574B">
            <w:pPr>
              <w:pStyle w:val="P68B1DB1-Normal8"/>
              <w:spacing w:after="0" w:line="240" w:lineRule="auto"/>
              <w:rPr>
                <w:rFonts w:eastAsia="Times New Roman" w:cs="Calibri"/>
                <w:noProof/>
              </w:rPr>
            </w:pPr>
            <w:r>
              <w:rPr>
                <w:noProof/>
              </w:rPr>
              <w:t>Parakstītie līgumi</w:t>
            </w:r>
          </w:p>
        </w:tc>
        <w:tc>
          <w:tcPr>
            <w:tcW w:w="930" w:type="dxa"/>
            <w:shd w:val="clear" w:color="auto" w:fill="C4EFCE"/>
            <w:vAlign w:val="center"/>
            <w:hideMark/>
          </w:tcPr>
          <w:p w14:paraId="23F889FB" w14:textId="77777777" w:rsidR="00776A1F" w:rsidRDefault="00D8574B">
            <w:pPr>
              <w:pStyle w:val="P68B1DB1-Normal8"/>
              <w:spacing w:after="0" w:line="240" w:lineRule="auto"/>
              <w:jc w:val="center"/>
              <w:rPr>
                <w:rFonts w:eastAsia="Times New Roman" w:cs="Calibri"/>
                <w:noProof/>
              </w:rPr>
            </w:pPr>
            <w:r>
              <w:rPr>
                <w:noProof/>
              </w:rPr>
              <w:t>Skaits</w:t>
            </w:r>
          </w:p>
        </w:tc>
        <w:tc>
          <w:tcPr>
            <w:tcW w:w="1225" w:type="dxa"/>
            <w:shd w:val="clear" w:color="auto" w:fill="C4EFCE"/>
            <w:vAlign w:val="center"/>
            <w:hideMark/>
          </w:tcPr>
          <w:p w14:paraId="10D23A74" w14:textId="77777777" w:rsidR="00776A1F" w:rsidRDefault="00D8574B">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6C192691" w14:textId="77777777" w:rsidR="00776A1F" w:rsidRDefault="00D8574B">
            <w:pPr>
              <w:pStyle w:val="P68B1DB1-Normal8"/>
              <w:spacing w:after="0" w:line="240" w:lineRule="auto"/>
              <w:jc w:val="center"/>
              <w:rPr>
                <w:rFonts w:eastAsia="Times New Roman" w:cs="Calibri"/>
                <w:noProof/>
              </w:rPr>
            </w:pPr>
            <w:r>
              <w:rPr>
                <w:noProof/>
              </w:rPr>
              <w:t>49</w:t>
            </w:r>
          </w:p>
        </w:tc>
        <w:tc>
          <w:tcPr>
            <w:tcW w:w="539" w:type="dxa"/>
            <w:shd w:val="clear" w:color="auto" w:fill="C4EFCE"/>
            <w:vAlign w:val="center"/>
            <w:hideMark/>
          </w:tcPr>
          <w:p w14:paraId="1BE96BE2" w14:textId="77777777" w:rsidR="00776A1F" w:rsidRDefault="00D8574B">
            <w:pPr>
              <w:pStyle w:val="P68B1DB1-Normal8"/>
              <w:spacing w:after="0" w:line="240" w:lineRule="auto"/>
              <w:jc w:val="center"/>
              <w:rPr>
                <w:rFonts w:eastAsia="Times New Roman" w:cs="Calibri"/>
                <w:noProof/>
              </w:rPr>
            </w:pPr>
            <w:r>
              <w:rPr>
                <w:noProof/>
              </w:rPr>
              <w:t>3. CET.</w:t>
            </w:r>
          </w:p>
        </w:tc>
        <w:tc>
          <w:tcPr>
            <w:tcW w:w="672" w:type="dxa"/>
            <w:shd w:val="clear" w:color="auto" w:fill="C4EFCE"/>
            <w:vAlign w:val="center"/>
            <w:hideMark/>
          </w:tcPr>
          <w:p w14:paraId="64DC8375" w14:textId="77777777" w:rsidR="00776A1F" w:rsidRDefault="00D8574B">
            <w:pPr>
              <w:pStyle w:val="P68B1DB1-Normal8"/>
              <w:spacing w:after="0" w:line="240" w:lineRule="auto"/>
              <w:jc w:val="center"/>
              <w:rPr>
                <w:rFonts w:eastAsia="Times New Roman" w:cs="Calibri"/>
                <w:noProof/>
              </w:rPr>
            </w:pPr>
            <w:r>
              <w:rPr>
                <w:noProof/>
              </w:rPr>
              <w:t>2023</w:t>
            </w:r>
          </w:p>
        </w:tc>
        <w:tc>
          <w:tcPr>
            <w:tcW w:w="3756" w:type="dxa"/>
            <w:shd w:val="clear" w:color="auto" w:fill="C4EFCE"/>
            <w:vAlign w:val="center"/>
            <w:hideMark/>
          </w:tcPr>
          <w:p w14:paraId="7AAC0ED8" w14:textId="3E3946FA" w:rsidR="00776A1F" w:rsidRDefault="00D8574B">
            <w:pPr>
              <w:pStyle w:val="P68B1DB1-Normal8"/>
              <w:spacing w:after="0" w:line="240" w:lineRule="auto"/>
              <w:jc w:val="both"/>
              <w:rPr>
                <w:rFonts w:eastAsia="Times New Roman" w:cs="Calibri"/>
                <w:noProof/>
              </w:rPr>
            </w:pPr>
            <w:r>
              <w:rPr>
                <w:noProof/>
              </w:rPr>
              <w:t>To kultūras objektu skaits, par kuriem ir parakstīti līgumi par muzeju, pieminekļu, valsts palešu un nacionālo teātru rehabilitāciju un saglabāšanu.</w:t>
            </w:r>
          </w:p>
        </w:tc>
      </w:tr>
      <w:tr w:rsidR="00776A1F" w14:paraId="21A4EBFD" w14:textId="77777777">
        <w:trPr>
          <w:trHeight w:val="1691"/>
        </w:trPr>
        <w:tc>
          <w:tcPr>
            <w:tcW w:w="1067" w:type="dxa"/>
            <w:shd w:val="clear" w:color="auto" w:fill="C5EFCE"/>
            <w:vAlign w:val="center"/>
            <w:hideMark/>
          </w:tcPr>
          <w:p w14:paraId="53135006" w14:textId="77777777" w:rsidR="00776A1F" w:rsidRDefault="00D8574B">
            <w:pPr>
              <w:pStyle w:val="P68B1DB1-Normal7"/>
              <w:spacing w:after="0" w:line="240" w:lineRule="auto"/>
              <w:jc w:val="center"/>
              <w:rPr>
                <w:rFonts w:eastAsia="Times New Roman" w:cs="Calibri"/>
                <w:noProof/>
              </w:rPr>
            </w:pPr>
            <w:r>
              <w:rPr>
                <w:noProof/>
              </w:rPr>
              <w:t>4.8</w:t>
            </w:r>
          </w:p>
        </w:tc>
        <w:tc>
          <w:tcPr>
            <w:tcW w:w="1191" w:type="dxa"/>
            <w:shd w:val="clear" w:color="auto" w:fill="C4EFCE"/>
            <w:vAlign w:val="center"/>
            <w:hideMark/>
          </w:tcPr>
          <w:p w14:paraId="26F1C65B" w14:textId="77777777" w:rsidR="00776A1F" w:rsidRDefault="00D8574B">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453522C" w14:textId="77777777" w:rsidR="00776A1F" w:rsidRDefault="00D8574B">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2B8435E8" w14:textId="2A41D561" w:rsidR="00776A1F" w:rsidRDefault="00D8574B">
            <w:pPr>
              <w:pStyle w:val="P68B1DB1-Normal8"/>
              <w:spacing w:after="0" w:line="240" w:lineRule="auto"/>
              <w:jc w:val="center"/>
              <w:rPr>
                <w:rFonts w:eastAsia="Times New Roman" w:cs="Calibri"/>
                <w:noProof/>
              </w:rPr>
            </w:pPr>
            <w:r>
              <w:rPr>
                <w:noProof/>
              </w:rPr>
              <w:t xml:space="preserve">Kultūras mantojuma ēku un nacionālo teātru rehabilitācijas un saglabāšanas darbi </w:t>
            </w:r>
          </w:p>
        </w:tc>
        <w:tc>
          <w:tcPr>
            <w:tcW w:w="1193" w:type="dxa"/>
            <w:shd w:val="clear" w:color="auto" w:fill="C4EFCE"/>
            <w:vAlign w:val="center"/>
            <w:hideMark/>
          </w:tcPr>
          <w:p w14:paraId="0A14C98B" w14:textId="77777777" w:rsidR="00776A1F" w:rsidRDefault="00D8574B">
            <w:pPr>
              <w:pStyle w:val="P68B1DB1-Normal8"/>
              <w:spacing w:after="0" w:line="240" w:lineRule="auto"/>
              <w:rPr>
                <w:rFonts w:eastAsia="Times New Roman" w:cs="Calibri"/>
                <w:noProof/>
              </w:rPr>
            </w:pPr>
            <w:r>
              <w:rPr>
                <w:noProof/>
              </w:rPr>
              <w:t>Darbu pabeigšana</w:t>
            </w:r>
          </w:p>
        </w:tc>
        <w:tc>
          <w:tcPr>
            <w:tcW w:w="930" w:type="dxa"/>
            <w:shd w:val="clear" w:color="auto" w:fill="C4EFCE"/>
            <w:vAlign w:val="center"/>
            <w:hideMark/>
          </w:tcPr>
          <w:p w14:paraId="5A849F2E" w14:textId="77777777" w:rsidR="00776A1F" w:rsidRDefault="00D8574B">
            <w:pPr>
              <w:pStyle w:val="P68B1DB1-Normal8"/>
              <w:spacing w:after="0" w:line="240" w:lineRule="auto"/>
              <w:jc w:val="center"/>
              <w:rPr>
                <w:rFonts w:eastAsia="Times New Roman" w:cs="Calibri"/>
                <w:noProof/>
              </w:rPr>
            </w:pPr>
            <w:r>
              <w:rPr>
                <w:noProof/>
              </w:rPr>
              <w:t>Skaits</w:t>
            </w:r>
          </w:p>
        </w:tc>
        <w:tc>
          <w:tcPr>
            <w:tcW w:w="1225" w:type="dxa"/>
            <w:shd w:val="clear" w:color="auto" w:fill="C4EFCE"/>
            <w:vAlign w:val="center"/>
            <w:hideMark/>
          </w:tcPr>
          <w:p w14:paraId="2CDB7EB4" w14:textId="77777777" w:rsidR="00776A1F" w:rsidRDefault="00D8574B">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7B9894CE" w14:textId="6B71FBD0" w:rsidR="00776A1F" w:rsidRDefault="00D8574B">
            <w:pPr>
              <w:pStyle w:val="P68B1DB1-Normal8"/>
              <w:spacing w:after="0" w:line="240" w:lineRule="auto"/>
              <w:jc w:val="center"/>
              <w:rPr>
                <w:rFonts w:eastAsia="Times New Roman" w:cs="Calibri"/>
                <w:noProof/>
              </w:rPr>
            </w:pPr>
            <w:r>
              <w:rPr>
                <w:noProof/>
              </w:rPr>
              <w:t>75</w:t>
            </w:r>
          </w:p>
        </w:tc>
        <w:tc>
          <w:tcPr>
            <w:tcW w:w="539" w:type="dxa"/>
            <w:shd w:val="clear" w:color="auto" w:fill="C4EFCE"/>
            <w:vAlign w:val="center"/>
            <w:hideMark/>
          </w:tcPr>
          <w:p w14:paraId="2791A5BD" w14:textId="0ED63B4C" w:rsidR="00776A1F" w:rsidRDefault="00D8574B">
            <w:pPr>
              <w:pStyle w:val="P68B1DB1-Normal8"/>
              <w:spacing w:after="0" w:line="240" w:lineRule="auto"/>
              <w:jc w:val="center"/>
              <w:rPr>
                <w:rFonts w:eastAsia="Times New Roman" w:cs="Calibri"/>
                <w:noProof/>
              </w:rPr>
            </w:pPr>
            <w:r>
              <w:rPr>
                <w:noProof/>
              </w:rPr>
              <w:t>1. CET. </w:t>
            </w:r>
          </w:p>
        </w:tc>
        <w:tc>
          <w:tcPr>
            <w:tcW w:w="672" w:type="dxa"/>
            <w:shd w:val="clear" w:color="auto" w:fill="C4EFCE"/>
            <w:vAlign w:val="center"/>
            <w:hideMark/>
          </w:tcPr>
          <w:p w14:paraId="199003BA" w14:textId="4BAD9944" w:rsidR="00776A1F" w:rsidRDefault="00D8574B">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44EBB5A9" w14:textId="5E647B96" w:rsidR="00776A1F" w:rsidRDefault="00D8574B">
            <w:pPr>
              <w:pStyle w:val="P68B1DB1-Normal8"/>
              <w:spacing w:after="0" w:line="240" w:lineRule="auto"/>
              <w:jc w:val="both"/>
              <w:rPr>
                <w:rFonts w:eastAsia="Times New Roman" w:cs="Calibri"/>
                <w:noProof/>
              </w:rPr>
            </w:pPr>
            <w:r>
              <w:rPr>
                <w:noProof/>
              </w:rPr>
              <w:t>To kultūras objektu skaits, kuros ir pabeigti muzeju, pieminekļu, valsts palešu un nacionālo teātru rehabilitācijas un saglabāšanas darbi.</w:t>
            </w:r>
          </w:p>
        </w:tc>
      </w:tr>
      <w:tr w:rsidR="00776A1F" w14:paraId="6C8F3CC5" w14:textId="77777777">
        <w:trPr>
          <w:trHeight w:val="2486"/>
        </w:trPr>
        <w:tc>
          <w:tcPr>
            <w:tcW w:w="1067" w:type="dxa"/>
            <w:shd w:val="clear" w:color="auto" w:fill="C5EFCE"/>
            <w:vAlign w:val="center"/>
          </w:tcPr>
          <w:p w14:paraId="14F7780E" w14:textId="50B225CD" w:rsidR="00776A1F" w:rsidRDefault="00D8574B">
            <w:pPr>
              <w:pStyle w:val="P68B1DB1-Normal11"/>
              <w:spacing w:line="240" w:lineRule="auto"/>
              <w:jc w:val="center"/>
              <w:rPr>
                <w:rFonts w:eastAsiaTheme="minorEastAsia"/>
                <w:noProof/>
              </w:rPr>
            </w:pPr>
            <w:r>
              <w:rPr>
                <w:noProof/>
              </w:rPr>
              <w:t>4.11</w:t>
            </w:r>
          </w:p>
        </w:tc>
        <w:tc>
          <w:tcPr>
            <w:tcW w:w="1191" w:type="dxa"/>
            <w:shd w:val="clear" w:color="auto" w:fill="C4EFCE"/>
            <w:vAlign w:val="center"/>
          </w:tcPr>
          <w:p w14:paraId="031805CE" w14:textId="198EF4ED" w:rsidR="00776A1F" w:rsidRDefault="00D8574B">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tcPr>
          <w:p w14:paraId="0170B3FA" w14:textId="1839734A" w:rsidR="00776A1F" w:rsidRDefault="00D8574B">
            <w:pPr>
              <w:pStyle w:val="P68B1DB1-Normal12"/>
              <w:spacing w:line="240" w:lineRule="auto"/>
              <w:jc w:val="center"/>
              <w:rPr>
                <w:rFonts w:eastAsiaTheme="minorEastAsia"/>
                <w:noProof/>
              </w:rPr>
            </w:pPr>
            <w:r>
              <w:rPr>
                <w:noProof/>
              </w:rPr>
              <w:t>M</w:t>
            </w:r>
          </w:p>
        </w:tc>
        <w:tc>
          <w:tcPr>
            <w:tcW w:w="1588" w:type="dxa"/>
            <w:shd w:val="clear" w:color="auto" w:fill="C4EFCE"/>
            <w:vAlign w:val="center"/>
          </w:tcPr>
          <w:p w14:paraId="7A827ECC" w14:textId="31B94B99" w:rsidR="00776A1F" w:rsidRDefault="00D8574B">
            <w:pPr>
              <w:pStyle w:val="P68B1DB1-Normal8"/>
              <w:widowControl w:val="0"/>
              <w:spacing w:after="0" w:line="240" w:lineRule="auto"/>
              <w:jc w:val="center"/>
              <w:rPr>
                <w:rFonts w:eastAsia="Calibri" w:cs="Calibri"/>
                <w:noProof/>
              </w:rPr>
            </w:pPr>
            <w:r>
              <w:rPr>
                <w:noProof/>
              </w:rPr>
              <w:t>“Saber Fazer” tehnoloģiju centra iniciatīvas laboratoriju un maršrutu uzstādīšana un pedagoģisku un informatīvu pasākumu izveide par tradicionālajām metodēm.</w:t>
            </w:r>
          </w:p>
        </w:tc>
        <w:tc>
          <w:tcPr>
            <w:tcW w:w="1193" w:type="dxa"/>
            <w:shd w:val="clear" w:color="auto" w:fill="C4EFCE"/>
            <w:vAlign w:val="center"/>
          </w:tcPr>
          <w:p w14:paraId="02EC0D5B" w14:textId="2468D793" w:rsidR="00776A1F" w:rsidRDefault="00D8574B">
            <w:pPr>
              <w:pStyle w:val="P68B1DB1-Normal8"/>
              <w:spacing w:after="0" w:line="240" w:lineRule="auto"/>
              <w:jc w:val="center"/>
              <w:rPr>
                <w:rFonts w:eastAsia="Calibri" w:cs="Calibri"/>
                <w:noProof/>
              </w:rPr>
            </w:pPr>
            <w:r>
              <w:rPr>
                <w:noProof/>
              </w:rPr>
              <w:t>Laboratoriju un maršrutu uzstādīšana un informatīvu darbību izveide</w:t>
            </w:r>
          </w:p>
        </w:tc>
        <w:tc>
          <w:tcPr>
            <w:tcW w:w="930" w:type="dxa"/>
            <w:shd w:val="clear" w:color="auto" w:fill="C4EFCE"/>
            <w:vAlign w:val="center"/>
          </w:tcPr>
          <w:p w14:paraId="00D6DCB5" w14:textId="6E4FFB7F" w:rsidR="00776A1F" w:rsidRDefault="00776A1F">
            <w:pPr>
              <w:spacing w:line="240" w:lineRule="auto"/>
              <w:jc w:val="center"/>
              <w:rPr>
                <w:rFonts w:eastAsiaTheme="minorEastAsia"/>
                <w:noProof/>
                <w:sz w:val="16"/>
              </w:rPr>
            </w:pPr>
          </w:p>
        </w:tc>
        <w:tc>
          <w:tcPr>
            <w:tcW w:w="1225" w:type="dxa"/>
            <w:shd w:val="clear" w:color="auto" w:fill="C4EFCE"/>
            <w:vAlign w:val="center"/>
          </w:tcPr>
          <w:p w14:paraId="212F99FB" w14:textId="75AD13CC" w:rsidR="00776A1F" w:rsidRDefault="00776A1F">
            <w:pPr>
              <w:spacing w:line="240" w:lineRule="auto"/>
              <w:jc w:val="center"/>
              <w:rPr>
                <w:rFonts w:eastAsiaTheme="minorEastAsia"/>
                <w:noProof/>
                <w:sz w:val="16"/>
              </w:rPr>
            </w:pPr>
          </w:p>
        </w:tc>
        <w:tc>
          <w:tcPr>
            <w:tcW w:w="671" w:type="dxa"/>
            <w:shd w:val="clear" w:color="auto" w:fill="C4EFCE"/>
            <w:vAlign w:val="center"/>
          </w:tcPr>
          <w:p w14:paraId="55B67104" w14:textId="32C4CF8D" w:rsidR="00776A1F" w:rsidRDefault="00776A1F">
            <w:pPr>
              <w:spacing w:line="240" w:lineRule="auto"/>
              <w:jc w:val="center"/>
              <w:rPr>
                <w:rFonts w:eastAsiaTheme="minorEastAsia"/>
                <w:noProof/>
                <w:sz w:val="16"/>
              </w:rPr>
            </w:pPr>
          </w:p>
        </w:tc>
        <w:tc>
          <w:tcPr>
            <w:tcW w:w="539" w:type="dxa"/>
            <w:shd w:val="clear" w:color="auto" w:fill="C4EFCE"/>
            <w:vAlign w:val="center"/>
          </w:tcPr>
          <w:p w14:paraId="21CA84BA" w14:textId="4EA4C59D" w:rsidR="00776A1F" w:rsidRDefault="00D8574B">
            <w:pPr>
              <w:pStyle w:val="P68B1DB1-Normal12"/>
              <w:spacing w:line="240" w:lineRule="auto"/>
              <w:jc w:val="center"/>
              <w:rPr>
                <w:rFonts w:eastAsiaTheme="minorEastAsia"/>
                <w:noProof/>
              </w:rPr>
            </w:pPr>
            <w:r>
              <w:rPr>
                <w:noProof/>
              </w:rPr>
              <w:t>4. CET.</w:t>
            </w:r>
          </w:p>
        </w:tc>
        <w:tc>
          <w:tcPr>
            <w:tcW w:w="672" w:type="dxa"/>
            <w:shd w:val="clear" w:color="auto" w:fill="C4EFCE"/>
            <w:vAlign w:val="center"/>
          </w:tcPr>
          <w:p w14:paraId="48405223" w14:textId="3B99029C" w:rsidR="00776A1F" w:rsidRDefault="00D8574B">
            <w:pPr>
              <w:pStyle w:val="P68B1DB1-Normal12"/>
              <w:spacing w:line="240" w:lineRule="auto"/>
              <w:jc w:val="center"/>
              <w:rPr>
                <w:rFonts w:eastAsiaTheme="minorEastAsia"/>
                <w:noProof/>
              </w:rPr>
            </w:pPr>
            <w:r>
              <w:rPr>
                <w:noProof/>
              </w:rPr>
              <w:t>2025</w:t>
            </w:r>
          </w:p>
        </w:tc>
        <w:tc>
          <w:tcPr>
            <w:tcW w:w="3756" w:type="dxa"/>
            <w:shd w:val="clear" w:color="auto" w:fill="C4EFCE"/>
            <w:vAlign w:val="center"/>
          </w:tcPr>
          <w:p w14:paraId="68A57C86" w14:textId="204DEDB9" w:rsidR="00776A1F" w:rsidRDefault="00D8574B">
            <w:pPr>
              <w:pStyle w:val="P68B1DB1-Normal8"/>
              <w:spacing w:line="240" w:lineRule="auto"/>
              <w:rPr>
                <w:rFonts w:eastAsia="Calibri" w:cs="Calibri"/>
                <w:noProof/>
              </w:rPr>
            </w:pPr>
            <w:r>
              <w:rPr>
                <w:noProof/>
              </w:rPr>
              <w:t>Uzstāda “Saber Fazer” tehnoloģiju centra iniciatīvas laboratorijas un maršrutus.</w:t>
            </w:r>
          </w:p>
          <w:p w14:paraId="4A586D50" w14:textId="49FECD44" w:rsidR="00776A1F" w:rsidRDefault="00D8574B">
            <w:pPr>
              <w:pStyle w:val="P68B1DB1-Normal8"/>
              <w:spacing w:line="240" w:lineRule="auto"/>
              <w:rPr>
                <w:rFonts w:eastAsia="Calibri" w:cs="Calibri"/>
                <w:noProof/>
              </w:rPr>
            </w:pPr>
            <w:r>
              <w:rPr>
                <w:noProof/>
              </w:rPr>
              <w:t>Izveido pedagoģiskas un informatīvas darbības par tradicionālajām metodēm.</w:t>
            </w:r>
          </w:p>
        </w:tc>
      </w:tr>
      <w:tr w:rsidR="00776A1F" w14:paraId="2E9B74C5" w14:textId="77777777">
        <w:trPr>
          <w:trHeight w:val="1232"/>
        </w:trPr>
        <w:tc>
          <w:tcPr>
            <w:tcW w:w="1067" w:type="dxa"/>
            <w:shd w:val="clear" w:color="auto" w:fill="C5EFCE"/>
            <w:vAlign w:val="center"/>
          </w:tcPr>
          <w:p w14:paraId="7B23F4D9" w14:textId="656A027C" w:rsidR="00776A1F" w:rsidRDefault="00D8574B">
            <w:pPr>
              <w:pStyle w:val="P68B1DB1-Normal11"/>
              <w:spacing w:after="0" w:line="240" w:lineRule="auto"/>
              <w:jc w:val="center"/>
              <w:rPr>
                <w:rFonts w:eastAsiaTheme="minorEastAsia"/>
                <w:noProof/>
              </w:rPr>
            </w:pPr>
            <w:r>
              <w:rPr>
                <w:noProof/>
              </w:rPr>
              <w:t>4.12</w:t>
            </w:r>
          </w:p>
        </w:tc>
        <w:tc>
          <w:tcPr>
            <w:tcW w:w="1191" w:type="dxa"/>
            <w:shd w:val="clear" w:color="auto" w:fill="C4EFCE"/>
            <w:vAlign w:val="center"/>
          </w:tcPr>
          <w:p w14:paraId="2D75212B" w14:textId="699667CF" w:rsidR="00776A1F" w:rsidRDefault="00D8574B">
            <w:pPr>
              <w:pStyle w:val="P68B1DB1-Normal12"/>
              <w:spacing w:line="240" w:lineRule="auto"/>
              <w:jc w:val="center"/>
              <w:rPr>
                <w:rFonts w:eastAsiaTheme="minorEastAsia"/>
                <w:noProof/>
              </w:rPr>
            </w:pPr>
            <w:r>
              <w:rPr>
                <w:noProof/>
              </w:rPr>
              <w:t>Re-C04-i02</w:t>
            </w:r>
          </w:p>
        </w:tc>
        <w:tc>
          <w:tcPr>
            <w:tcW w:w="1060" w:type="dxa"/>
            <w:shd w:val="clear" w:color="auto" w:fill="C4EFCE"/>
            <w:vAlign w:val="center"/>
          </w:tcPr>
          <w:p w14:paraId="01863DAD" w14:textId="500BD97C" w:rsidR="00776A1F" w:rsidRDefault="00D8574B">
            <w:pPr>
              <w:pStyle w:val="P68B1DB1-Normal12"/>
              <w:spacing w:after="0" w:line="240" w:lineRule="auto"/>
              <w:jc w:val="center"/>
              <w:rPr>
                <w:rFonts w:eastAsiaTheme="minorEastAsia"/>
                <w:noProof/>
              </w:rPr>
            </w:pPr>
            <w:r>
              <w:rPr>
                <w:noProof/>
              </w:rPr>
              <w:t>M</w:t>
            </w:r>
          </w:p>
        </w:tc>
        <w:tc>
          <w:tcPr>
            <w:tcW w:w="1588" w:type="dxa"/>
            <w:shd w:val="clear" w:color="auto" w:fill="C4EFCE"/>
            <w:vAlign w:val="center"/>
          </w:tcPr>
          <w:p w14:paraId="15F8BB2A" w14:textId="4AD42237" w:rsidR="00776A1F" w:rsidRDefault="00D8574B">
            <w:pPr>
              <w:pStyle w:val="P68B1DB1-Normal12"/>
              <w:widowControl w:val="0"/>
              <w:spacing w:after="0" w:line="240" w:lineRule="auto"/>
              <w:jc w:val="center"/>
              <w:rPr>
                <w:rFonts w:eastAsia="Calibri"/>
                <w:noProof/>
              </w:rPr>
            </w:pPr>
            <w:r>
              <w:rPr>
                <w:noProof/>
              </w:rPr>
              <w:t>Sound Nacionālā arhīva būvniecības pabeigšana</w:t>
            </w:r>
          </w:p>
        </w:tc>
        <w:tc>
          <w:tcPr>
            <w:tcW w:w="1193" w:type="dxa"/>
            <w:shd w:val="clear" w:color="auto" w:fill="C4EFCE"/>
            <w:vAlign w:val="center"/>
          </w:tcPr>
          <w:p w14:paraId="21192B9D" w14:textId="5381A138" w:rsidR="00776A1F" w:rsidRDefault="00D8574B">
            <w:pPr>
              <w:pStyle w:val="P68B1DB1-Normal12"/>
              <w:spacing w:after="0" w:line="240" w:lineRule="auto"/>
              <w:jc w:val="center"/>
              <w:rPr>
                <w:rFonts w:eastAsiaTheme="minorEastAsia"/>
                <w:noProof/>
              </w:rPr>
            </w:pPr>
            <w:r>
              <w:rPr>
                <w:noProof/>
              </w:rPr>
              <w:t>Būvdarbu pabeigšana</w:t>
            </w:r>
          </w:p>
          <w:p w14:paraId="0230FF46" w14:textId="6B7D17FB" w:rsidR="00776A1F" w:rsidRDefault="00776A1F">
            <w:pPr>
              <w:spacing w:after="0" w:line="240" w:lineRule="auto"/>
              <w:jc w:val="center"/>
              <w:rPr>
                <w:rFonts w:eastAsiaTheme="minorEastAsia"/>
                <w:noProof/>
                <w:sz w:val="16"/>
              </w:rPr>
            </w:pPr>
          </w:p>
        </w:tc>
        <w:tc>
          <w:tcPr>
            <w:tcW w:w="930" w:type="dxa"/>
            <w:shd w:val="clear" w:color="auto" w:fill="C4EFCE"/>
            <w:vAlign w:val="center"/>
          </w:tcPr>
          <w:p w14:paraId="2CBDC436" w14:textId="77777777" w:rsidR="00776A1F" w:rsidRDefault="00776A1F">
            <w:pPr>
              <w:spacing w:after="0" w:line="240" w:lineRule="auto"/>
              <w:jc w:val="center"/>
              <w:rPr>
                <w:rFonts w:eastAsiaTheme="minorEastAsia"/>
                <w:noProof/>
                <w:sz w:val="16"/>
              </w:rPr>
            </w:pPr>
          </w:p>
        </w:tc>
        <w:tc>
          <w:tcPr>
            <w:tcW w:w="1225" w:type="dxa"/>
            <w:shd w:val="clear" w:color="auto" w:fill="C4EFCE"/>
            <w:vAlign w:val="center"/>
          </w:tcPr>
          <w:p w14:paraId="071D080E" w14:textId="77777777" w:rsidR="00776A1F" w:rsidRDefault="00776A1F">
            <w:pPr>
              <w:spacing w:after="0" w:line="240" w:lineRule="auto"/>
              <w:jc w:val="center"/>
              <w:rPr>
                <w:rFonts w:eastAsiaTheme="minorEastAsia"/>
                <w:noProof/>
                <w:sz w:val="16"/>
              </w:rPr>
            </w:pPr>
          </w:p>
        </w:tc>
        <w:tc>
          <w:tcPr>
            <w:tcW w:w="671" w:type="dxa"/>
            <w:shd w:val="clear" w:color="auto" w:fill="C4EFCE"/>
            <w:vAlign w:val="center"/>
          </w:tcPr>
          <w:p w14:paraId="7FCAA4F0" w14:textId="77777777" w:rsidR="00776A1F" w:rsidRDefault="00776A1F">
            <w:pPr>
              <w:spacing w:after="0" w:line="240" w:lineRule="auto"/>
              <w:jc w:val="center"/>
              <w:rPr>
                <w:rFonts w:eastAsiaTheme="minorEastAsia"/>
                <w:noProof/>
                <w:sz w:val="16"/>
              </w:rPr>
            </w:pPr>
          </w:p>
        </w:tc>
        <w:tc>
          <w:tcPr>
            <w:tcW w:w="539" w:type="dxa"/>
            <w:shd w:val="clear" w:color="auto" w:fill="C4EFCE"/>
            <w:vAlign w:val="center"/>
          </w:tcPr>
          <w:p w14:paraId="1C2674F4" w14:textId="7A52A272" w:rsidR="00776A1F" w:rsidRDefault="00D8574B">
            <w:pPr>
              <w:pStyle w:val="P68B1DB1-Normal12"/>
              <w:spacing w:after="0" w:line="240" w:lineRule="auto"/>
              <w:jc w:val="center"/>
              <w:rPr>
                <w:rFonts w:eastAsiaTheme="minorEastAsia"/>
                <w:noProof/>
              </w:rPr>
            </w:pPr>
            <w:r>
              <w:rPr>
                <w:noProof/>
              </w:rPr>
              <w:t>1. CET.</w:t>
            </w:r>
          </w:p>
        </w:tc>
        <w:tc>
          <w:tcPr>
            <w:tcW w:w="672" w:type="dxa"/>
            <w:shd w:val="clear" w:color="auto" w:fill="C4EFCE"/>
            <w:vAlign w:val="center"/>
          </w:tcPr>
          <w:p w14:paraId="0A6163C6" w14:textId="6FB0E70F" w:rsidR="00776A1F" w:rsidRDefault="00D8574B">
            <w:pPr>
              <w:pStyle w:val="P68B1DB1-Normal12"/>
              <w:spacing w:after="0" w:line="240" w:lineRule="auto"/>
              <w:jc w:val="center"/>
              <w:rPr>
                <w:rFonts w:eastAsiaTheme="minorEastAsia"/>
                <w:noProof/>
              </w:rPr>
            </w:pPr>
            <w:r>
              <w:rPr>
                <w:noProof/>
              </w:rPr>
              <w:t>2026</w:t>
            </w:r>
          </w:p>
        </w:tc>
        <w:tc>
          <w:tcPr>
            <w:tcW w:w="3756" w:type="dxa"/>
            <w:shd w:val="clear" w:color="auto" w:fill="C4EFCE"/>
            <w:vAlign w:val="center"/>
          </w:tcPr>
          <w:p w14:paraId="553D6012" w14:textId="684A611B" w:rsidR="00776A1F" w:rsidRDefault="00D8574B">
            <w:pPr>
              <w:pStyle w:val="P68B1DB1-Normal12"/>
              <w:spacing w:line="240" w:lineRule="auto"/>
              <w:rPr>
                <w:rFonts w:ascii="Calibri" w:eastAsia="Times New Roman" w:hAnsi="Calibri" w:cs="Calibri"/>
                <w:noProof/>
              </w:rPr>
            </w:pPr>
            <w:r>
              <w:rPr>
                <w:noProof/>
              </w:rPr>
              <w:t>Sound Nacionālā arhīva ēkas būvniecības pabeigšana. Ēkas izmantojamā platība ir vismaz 1100 kvadrātmetru, un tā ir aprīkota, lai cita starpā saglabātu skaņu dokumentus. New</w:t>
            </w:r>
            <w:r>
              <w:rPr>
                <w:rFonts w:ascii="Calibri" w:hAnsi="Calibri"/>
                <w:noProof/>
              </w:rPr>
              <w:t>ēkas primārās enerģijas pieprasījums ir vismaz par 20 % zemāks par prasībām gandrīz nulles enerģijas ēkām.</w:t>
            </w:r>
          </w:p>
        </w:tc>
      </w:tr>
    </w:tbl>
    <w:p w14:paraId="7A7D7EC6" w14:textId="25A02098" w:rsidR="00776A1F" w:rsidRDefault="00776A1F">
      <w:pPr>
        <w:rPr>
          <w:noProof/>
        </w:rPr>
      </w:pPr>
    </w:p>
    <w:p w14:paraId="796D791C" w14:textId="77777777" w:rsidR="00776A1F" w:rsidRDefault="00776A1F">
      <w:pPr>
        <w:rPr>
          <w:rFonts w:ascii="Times New Roman" w:eastAsiaTheme="minorEastAsia" w:hAnsi="Times New Roman" w:cs="Times New Roman"/>
          <w:noProof/>
          <w:sz w:val="24"/>
        </w:rPr>
      </w:pPr>
    </w:p>
    <w:p w14:paraId="77CC12FE" w14:textId="77777777" w:rsidR="00776A1F" w:rsidRDefault="00776A1F">
      <w:pPr>
        <w:rPr>
          <w:rFonts w:ascii="Times New Roman" w:eastAsiaTheme="minorEastAsia" w:hAnsi="Times New Roman" w:cs="Times New Roman"/>
          <w:noProof/>
          <w:sz w:val="24"/>
        </w:rPr>
      </w:pPr>
    </w:p>
    <w:p w14:paraId="62B18445" w14:textId="77777777" w:rsidR="00776A1F" w:rsidRDefault="00776A1F">
      <w:pPr>
        <w:rPr>
          <w:rFonts w:ascii="Times New Roman" w:eastAsiaTheme="minorEastAsia" w:hAnsi="Times New Roman" w:cs="Times New Roman"/>
          <w:b/>
          <w:noProof/>
          <w:sz w:val="24"/>
          <w:u w:val="single"/>
        </w:rPr>
        <w:sectPr w:rsidR="00776A1F" w:rsidSect="00E00EDD">
          <w:headerReference w:type="even" r:id="rId90"/>
          <w:headerReference w:type="default" r:id="rId91"/>
          <w:footerReference w:type="even" r:id="rId92"/>
          <w:footerReference w:type="default" r:id="rId93"/>
          <w:headerReference w:type="first" r:id="rId94"/>
          <w:footerReference w:type="first" r:id="rId95"/>
          <w:pgSz w:w="16839" w:h="11907" w:orient="landscape"/>
          <w:pgMar w:top="1134" w:right="1134" w:bottom="1134" w:left="1134" w:header="567" w:footer="567" w:gutter="0"/>
          <w:cols w:space="720"/>
          <w:docGrid w:linePitch="360"/>
        </w:sectPr>
      </w:pPr>
    </w:p>
    <w:p w14:paraId="67852003" w14:textId="77777777" w:rsidR="00776A1F" w:rsidRDefault="00D8574B">
      <w:pPr>
        <w:pStyle w:val="P68B1DB1-Normal3"/>
        <w:rPr>
          <w:rFonts w:eastAsiaTheme="minorEastAsia" w:cs="Times New Roman"/>
          <w:noProof/>
        </w:rPr>
      </w:pPr>
      <w:r>
        <w:rPr>
          <w:noProof/>
        </w:rPr>
        <w:t>E. 5. SASTĀVDAĻA: Investīcijas un inovācija</w:t>
      </w:r>
    </w:p>
    <w:p w14:paraId="1531FA16" w14:textId="77777777" w:rsidR="00776A1F" w:rsidRDefault="00D8574B">
      <w:pPr>
        <w:pStyle w:val="P68B1DB1-Normal4"/>
        <w:jc w:val="both"/>
        <w:rPr>
          <w:rFonts w:eastAsiaTheme="minorEastAsia" w:cs="Times New Roman"/>
          <w:noProof/>
        </w:rPr>
      </w:pPr>
      <w:r>
        <w:rPr>
          <w:noProof/>
        </w:rPr>
        <w:t>Šis Portugāles atveseļošanas un noturības plāna komponents risina problēmas, kas saistītas ar salīdzinoši pieticīgo pētniecības un inovācijas līmeni, jo īpaši veicinot saiknes starp uzņēmējdarbību un zinātni un īpašu uzmanību pievēršot inovācijai zaļās pārkārtošanās jomā, un problēmām, kas saistītas ar Portugāles uzņēmējdarbības nozares hronisko nepietiekamo kapitalizāciju, kas Covid-19 pandēmijas dēļ ir vēl vairāk pasliktinājusies.</w:t>
      </w:r>
    </w:p>
    <w:p w14:paraId="44389BA8" w14:textId="77777777" w:rsidR="00776A1F" w:rsidRDefault="00D8574B">
      <w:pPr>
        <w:pStyle w:val="P68B1DB1-Normal4"/>
        <w:jc w:val="both"/>
        <w:rPr>
          <w:rFonts w:eastAsiaTheme="minorEastAsia" w:cs="Times New Roman"/>
          <w:noProof/>
        </w:rPr>
      </w:pPr>
      <w:r>
        <w:rPr>
          <w:noProof/>
        </w:rPr>
        <w:t xml:space="preserve">Komponenta mērķis ir palielināt Portugāles ekonomikas konkurētspēju un noturību, izmantojot pasākumus, kas paredzēti pētniecības stiprināšanai, veicinot tās rezultātu pārnesi uz uzņēmējdarbības nozari, tādējādi veicinot inovāciju un ieguldījumus. Komponenta pētniecības un inovācijas daļas mērķis ir uzlabot akadēmisko aprindu un uzņēmumu sadarbību, stiprināt Portugāles zinātnisko un tehnoloģisko potenciālu un atbalstīt vērienīgu un visaptverošu pētniecības un inovācijas programmu īstenošanu, risinot galvenās sociālekonomiskās un vides problēmas. Paredzams, ka to panāks ar lielākiem un efektīvākiem ieguldījumiem pētniecībā, izstrādē un inovācijā, mērķorientētu atbalstu, lai pētniecības rezultātus labāk pārvērstu ieguldījumos, ražošanas struktūras dažādošanā un specializācijā, izmantojot esošo rūpniecības nozaru un jauno teritoriju konkurētspējas faktisko potenciālu un veicinot divējādo pārkārtošanos. Jo īpaši šā komponenta mērķis ir palielināt augstas pievienotās vērtības preču un pakalpojumu eksportu, palielināt ieguldījumus pētniecībā un izstrādē (gan ar jaunām augsti kvalificētām darbvietām, gan palielinot uzņēmumu izdevumus pētniecībai un izstrādei) un veicinot CO2 emisiju samazināšanu. </w:t>
      </w:r>
    </w:p>
    <w:p w14:paraId="0D653E56" w14:textId="77777777" w:rsidR="00776A1F" w:rsidRDefault="00D8574B">
      <w:pPr>
        <w:pStyle w:val="P68B1DB1-Normal4"/>
        <w:jc w:val="both"/>
        <w:rPr>
          <w:rFonts w:eastAsiaTheme="minorEastAsia" w:cs="Times New Roman"/>
          <w:noProof/>
        </w:rPr>
      </w:pPr>
      <w:r>
        <w:rPr>
          <w:noProof/>
        </w:rPr>
        <w:t xml:space="preserve">Saskaņā ar nepieciešamību atbalstīt ražošanas sistēmas maksātspēju un novērst tirgus nepilnības piekļuvē finansējumam šis komponents ietver reformu un ieguldījumus, kas palīdz uzlabot Portugāles uzņēmumu finansēšanas tirgu, izveidojot un nostiprinot Valsts attīstību veicinošu banku, </w:t>
      </w:r>
      <w:r>
        <w:rPr>
          <w:i/>
          <w:noProof/>
        </w:rPr>
        <w:t>Banco Português de Fomento</w:t>
      </w:r>
      <w:r>
        <w:rPr>
          <w:noProof/>
        </w:rPr>
        <w:t>, kā arī izstrādājot jaunus finanšu instrumentus. Komponents arī ievieš kapitāla tirgus reformas, lai ilgtermiņā stiprinātu kapitāla tirgus Portugālē, pārskatot spēkā esošo tiesisko regulējumu un pieņemot jaunus tiesību aktus, īpašu uzsvaru liekot uz vērtspapīru ieguldījumu sabiedrībām ekonomikas attīstībai (SIMFE), kolektīvo ieguldījumu uzņēmumiem un vērtspapīru kodeksa pārskatīšanu.</w:t>
      </w:r>
    </w:p>
    <w:p w14:paraId="0F7F4FD3" w14:textId="77777777" w:rsidR="00776A1F" w:rsidRDefault="00D8574B">
      <w:pPr>
        <w:pStyle w:val="P68B1DB1-Normal4"/>
        <w:jc w:val="both"/>
        <w:rPr>
          <w:rFonts w:eastAsiaTheme="minorEastAsia" w:cs="Times New Roman"/>
          <w:noProof/>
        </w:rPr>
      </w:pPr>
      <w:r>
        <w:rPr>
          <w:noProof/>
        </w:rPr>
        <w:t xml:space="preserve">Komponents atbalsta to, ka tiek īstenots konkrētai valstij adresētais ieteikums par investīcijām klimatiskās pārkārtošanās jomā (konkrētais ieteikums Nr. 3 2020), konkrētai valstij adresētais ieteikums par ekonomikas politikas koncentrēšanu saistībā ar investīcijām inovācijā (konkrētais ieteikums Nr. 3 2019) un konkrētai valstij adresētais ieteikums Nr. 3 2020 (koncentrētas investīcijas zaļās un digitālās pārkārtošanās jomā). Komponents palīdz īstenot konkrētai valstij adresēto ieteikumu par to pagaidu pasākumu īstenošanu, kuru mērķis ir nodrošināt uzņēmumiem, jo īpaši maziem un vidējiem uzņēmumiem, piekļuvi likviditātei un veicināt privātās investīcijas, lai veicinātu ekonomikas atveseļošanu (Valsts īpašais ieteikums Nr. 3 2020). </w:t>
      </w:r>
    </w:p>
    <w:p w14:paraId="664ADF2C" w14:textId="511AE2E5" w:rsidR="00776A1F" w:rsidRDefault="00D8574B">
      <w:pPr>
        <w:pStyle w:val="P68B1DB1-Normal4"/>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61608694"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4F17D5AC"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E.1. Neatmaksājamam finansiālajam atbalstam pieteikto reformu un investīciju apraksts</w:t>
      </w:r>
    </w:p>
    <w:p w14:paraId="606D15A1"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RE-r09: Pētniecības, inovācijas un attīstības un inovatīvu ieguldījumu veicināšana uzņēmumos</w:t>
      </w:r>
    </w:p>
    <w:p w14:paraId="53E39BC7" w14:textId="77777777" w:rsidR="00776A1F" w:rsidRDefault="00D8574B">
      <w:pPr>
        <w:pStyle w:val="P68B1DB1-Normal4"/>
        <w:keepNext/>
        <w:spacing w:before="40" w:after="0" w:line="259" w:lineRule="auto"/>
        <w:jc w:val="both"/>
        <w:rPr>
          <w:rFonts w:eastAsiaTheme="minorEastAsia" w:cs="Times New Roman"/>
          <w:noProof/>
        </w:rPr>
      </w:pPr>
      <w:r>
        <w:rPr>
          <w:noProof/>
        </w:rPr>
        <w:t>Reformas mērķis ir veicināt ieguldījumus pētniecībā un attīstībā, jo īpaši nodrošinot labvēlīgus pamatnosacījumus, lai publiskos un privātos ieguldījumus pētniecībā un izstrādē padarītu efektīvākus un lietderīgākus. Reforma ir daļa no Tehnoloģiju un uzņēmumu inovācijas stratēģijas 2018.–2030. gadam atjaunināšanas. Šā atjauninājuma mērķis ir atvieglot publiskā un privātā sektora partnerību finansēšanu un īstenošanu, lai atbalstītu vērienīgas pētniecības un inovācijas programmas. Reformas mērķis ir vienkāršot piekļuvi pētniecības un izstrādes darbību finansēšanas instrumentiem un palīdzēt uzlabot finansējuma paredzamību un stabilitāti, izveidojot daudzgadu plānošanas sistēmu publiskajiem ieguldījumiem pētniecībā un izstrādē, izmantojot neatkarīgu pētniecības un attīstības ieguldījumu uzraudzības sistēmu. Ieguldījumi, kas jāīsteno saistībā ar šo reformu, ir RE-C05-i01.01 un RE-C05-i01.02.</w:t>
      </w:r>
    </w:p>
    <w:p w14:paraId="5DDBF669"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2021. gada 31. decembrim.</w:t>
      </w:r>
    </w:p>
    <w:p w14:paraId="5A89012B"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RE-r11: Interfeisu iestāžu tīkla paplašināšana un konsolidācija.</w:t>
      </w:r>
    </w:p>
    <w:p w14:paraId="54FEC575"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 Reformas mērķis ir uzlabot saikni starp akadēmiskajām aprindām un uzņēmumiem, lai uzlabotu zināšanu plūsmas un tehnoloģiju nodošanu.</w:t>
      </w:r>
    </w:p>
    <w:p w14:paraId="4CE9F67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 ietver Tehnoloģiju saskarnes sistēmas tiesiskā regulējuma un tiesiskā regulējuma pārskatīšanu un standartizāciju, jo īpaši tehnoloģiju centrus un INTERFACE centrus, kas izveidoti saskaņā ar programmu INTERFACE. Tehnoloģiju centri un INTERFACE centri savieno pētniecības organizācijas (tostarp augstākās izglītības iestādes) un uzņēmumus, lai atbalstītu zināšanu un tehnoloģiju nodošanu. Reforma nosaka šo struktūru izveides procesu un to pārvaldības un finansēšanas modeli. </w:t>
      </w:r>
    </w:p>
    <w:p w14:paraId="46A20335"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Valdības izveidotā darba grupa tehnoloģiju infrastruktūras veicināšanai ir atbildīga par tiesību akta priekšlikuma sagatavošanu. </w:t>
      </w:r>
    </w:p>
    <w:p w14:paraId="5061F460"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Ieguldījumi, kas jāīsteno saistībā ar šo reformu, ir RE-C05-i01.01 un RE-C05-i01.02. </w:t>
      </w:r>
    </w:p>
    <w:p w14:paraId="58E8E4D5" w14:textId="77777777" w:rsidR="00776A1F" w:rsidRDefault="00D8574B">
      <w:pPr>
        <w:pStyle w:val="P68B1DB1-Normal4"/>
        <w:keepNext/>
        <w:spacing w:before="40" w:after="0" w:line="259" w:lineRule="auto"/>
        <w:jc w:val="both"/>
        <w:rPr>
          <w:rFonts w:eastAsiaTheme="minorEastAsia"/>
          <w:noProof/>
        </w:rPr>
      </w:pPr>
      <w:r>
        <w:rPr>
          <w:noProof/>
        </w:rPr>
        <w:t xml:space="preserve">Reformas īstenošanu pabeidz līdz 2021. gada 31. decembrim. </w:t>
      </w:r>
    </w:p>
    <w:p w14:paraId="799FB709"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RE-r12: Pētniecības un inovācijas programma ilgtspējīgai lauksaimniecībai, pārtikai un agrorūpniecībai.</w:t>
      </w:r>
    </w:p>
    <w:p w14:paraId="7F3DD78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Reformas mērķis ir stiprināt lauksaimniecības nozari Portugālē un nodrošināt pārtikas un uztura nodrošinājumu, veicināt veselību un labklājību, uzlabot lauku apvidu pārvaldību, veicināt bioloģiskās daudzveidības saglabāšanu, novērst klimata pārmaiņu ietekmi, veikt nepieciešamos pielāgojumus un ieguldījumu, lai mazinātu to ietekmi un veicinātu citas saimnieciskās darbības, piemēram, cita starpā lauksaimniecības pakalpojumus un pat ēdināšanu un tūrismu. </w:t>
      </w:r>
    </w:p>
    <w:p w14:paraId="0282D255" w14:textId="77777777" w:rsidR="00776A1F" w:rsidRDefault="00D8574B">
      <w:pPr>
        <w:pStyle w:val="P68B1DB1-Normal4"/>
        <w:keepNext/>
        <w:spacing w:before="40" w:after="0" w:line="259" w:lineRule="auto"/>
        <w:jc w:val="both"/>
        <w:rPr>
          <w:rFonts w:eastAsiaTheme="minorEastAsia" w:cs="Times New Roman"/>
          <w:noProof/>
        </w:rPr>
      </w:pPr>
      <w:r>
        <w:rPr>
          <w:noProof/>
        </w:rPr>
        <w:t>Reforma atbalsta Inovācijas programmas lauksaimniecībai īstenošanu 20|30. Tā ietver to līdzekļu nodrošināšanu, kas vajadzīgi esošās infrastruktūras atjaunināšanai un sagatavošanai, kā arī funkcionālo alianšu veicināšanu lauksaimniecības un pārtikas ķēdē, uzņēmumos un pētniecībā, lai veicinātu tādas pētniecības un inovācijas attīstību un integrāciju, kas vērsta uz lauksaimniecības nozares vajadzībām nolūkā īstenot zaļo un digitālo pārkārtošanos.</w:t>
      </w:r>
    </w:p>
    <w:p w14:paraId="6FCBAA78" w14:textId="72B74A7B" w:rsidR="00776A1F" w:rsidRDefault="00D8574B">
      <w:pPr>
        <w:pStyle w:val="P68B1DB1-Normal4"/>
        <w:keepNext/>
        <w:spacing w:before="40" w:after="0" w:line="259" w:lineRule="auto"/>
        <w:jc w:val="both"/>
        <w:rPr>
          <w:rFonts w:eastAsiaTheme="minorEastAsia" w:cs="Times New Roman"/>
          <w:noProof/>
        </w:rPr>
      </w:pPr>
      <w:r>
        <w:rPr>
          <w:noProof/>
        </w:rPr>
        <w:t xml:space="preserve">Reformas īstenošana bija jāpabeidz līdz 2020. gada 31. decembrim. </w:t>
      </w:r>
    </w:p>
    <w:p w14:paraId="7CB132E9" w14:textId="34FB19F1" w:rsidR="00776A1F" w:rsidRDefault="00776A1F">
      <w:pPr>
        <w:keepNext/>
        <w:spacing w:before="40" w:after="0" w:line="259" w:lineRule="auto"/>
        <w:jc w:val="both"/>
        <w:rPr>
          <w:rFonts w:ascii="Times New Roman" w:eastAsiaTheme="minorEastAsia" w:hAnsi="Times New Roman" w:cs="Times New Roman"/>
          <w:noProof/>
          <w:sz w:val="24"/>
        </w:rPr>
      </w:pPr>
    </w:p>
    <w:p w14:paraId="201F11C9" w14:textId="62FA20B0" w:rsidR="00776A1F" w:rsidRDefault="00776A1F">
      <w:pPr>
        <w:keepNext/>
        <w:spacing w:before="40" w:after="0" w:line="259" w:lineRule="auto"/>
        <w:jc w:val="both"/>
        <w:rPr>
          <w:rFonts w:ascii="Times New Roman" w:eastAsiaTheme="minorEastAsia" w:hAnsi="Times New Roman" w:cs="Times New Roman"/>
          <w:noProof/>
          <w:sz w:val="24"/>
        </w:rPr>
      </w:pPr>
    </w:p>
    <w:p w14:paraId="30C4E385" w14:textId="77777777" w:rsidR="00776A1F" w:rsidRDefault="00776A1F">
      <w:pPr>
        <w:keepNext/>
        <w:spacing w:before="40" w:after="0" w:line="259" w:lineRule="auto"/>
        <w:jc w:val="both"/>
        <w:rPr>
          <w:rFonts w:ascii="Times New Roman" w:eastAsiaTheme="minorEastAsia" w:hAnsi="Times New Roman"/>
          <w:noProof/>
          <w:sz w:val="24"/>
        </w:rPr>
      </w:pPr>
    </w:p>
    <w:p w14:paraId="7357A226"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RE-C05–i01.01: Mobilizācijas programmas/apvienības uzņēmējdarbības inovācijai.</w:t>
      </w:r>
    </w:p>
    <w:p w14:paraId="03F47396" w14:textId="77777777" w:rsidR="00776A1F" w:rsidRDefault="00D8574B">
      <w:pPr>
        <w:pStyle w:val="P68B1DB1-Normal4"/>
        <w:keepNext/>
        <w:spacing w:before="40" w:after="0" w:line="259" w:lineRule="auto"/>
        <w:jc w:val="both"/>
        <w:rPr>
          <w:rFonts w:eastAsiaTheme="minorEastAsia" w:cs="Times New Roman"/>
          <w:noProof/>
        </w:rPr>
      </w:pPr>
      <w:r>
        <w:rPr>
          <w:noProof/>
        </w:rPr>
        <w:t>Šā ieguldījuma mērķis ir mobilizēt un stiprināt Portugāles zinātniskās un tehnoloģiskās spējas, izmantojot vērienīgas pētniecības un inovācijas programmas, kuru pamatā ir uzņēmējdarbības un akadēmisko aprindu konsorciji.</w:t>
      </w:r>
    </w:p>
    <w:p w14:paraId="5402E4A2" w14:textId="39C43DF0" w:rsidR="00776A1F" w:rsidRDefault="00D8574B">
      <w:pPr>
        <w:pStyle w:val="P68B1DB1-Normal4"/>
        <w:keepNext/>
        <w:spacing w:before="40" w:after="0" w:line="259" w:lineRule="auto"/>
        <w:jc w:val="both"/>
        <w:rPr>
          <w:rFonts w:eastAsiaTheme="minorEastAsia" w:cs="Times New Roman"/>
          <w:noProof/>
        </w:rPr>
      </w:pPr>
      <w:r>
        <w:rPr>
          <w:noProof/>
        </w:rPr>
        <w:t xml:space="preserve">Investīcijas galvenokārt sastāv no dotācijām Mobilizācijas programmu/uzņēmumu inovācijas apvienību īstenošanai, izmantojot divus savstarpēji papildinošus instrumentus: I) inovācijas pakti, kas veicina sadarbību un veicina inovācijas projektu izstrādi, un ii) mobilizēt projektus, kuru mērķis ir pētniecība un izstrāde un tās pārveide par jaunām precēm un pakalpojumiem, izmantojot ieguldījumus. Mobilizēšanas programmas atlasa, rīkojot atklātus konkursus par stratēģiskiem plāniem, ko ierosina konsorciji starp uzņēmumiem un akadēmiskām, zinātniskām un/vai tehnoloģiskām iestādēm. Šis ieguldījums balstās uz stratēģisko satvaru, kas jāīsteno saskaņā ar RE-r09, un stiprina saskarņu iestāžu lomu un šā tīkla konsolidāciju. </w:t>
      </w:r>
    </w:p>
    <w:p w14:paraId="0E09FBF6" w14:textId="77777777" w:rsidR="00776A1F" w:rsidRDefault="00D8574B">
      <w:pPr>
        <w:pStyle w:val="P68B1DB1-Normal4"/>
        <w:keepNext/>
        <w:spacing w:before="40" w:after="0" w:line="259" w:lineRule="auto"/>
        <w:jc w:val="both"/>
        <w:rPr>
          <w:rFonts w:eastAsiaTheme="minorEastAsia" w:cs="Times New Roman"/>
          <w:noProof/>
          <w:highlight w:val="green"/>
        </w:rPr>
      </w:pPr>
      <w:r>
        <w:rPr>
          <w:noProof/>
        </w:rPr>
        <w:t>Lai nodrošinātu, ka pasākums atbilst Tehniskajām vadlīnijām “Nenodari būtisku kaitējumu” (2021/C58/01), atbilstības kritērijos, kas ietverti darba uzdevumā turpmākajiem uzaicinājumiem iesniegt projektus, izslēdz šādu darbību sarakstu: darbības, kas saistītas ar fosilajiem kurināmajiem, tostarp pakārtota izmantošana</w:t>
      </w:r>
      <w:r>
        <w:rPr>
          <w:noProof/>
        </w:rPr>
        <w:footnoteReference w:id="11"/>
      </w:r>
      <w:r>
        <w:rPr>
          <w:noProof/>
        </w:rPr>
        <w:t>; darbības ES emisijas kvotu tirdzniecības sistēmas (ETS) ietvaros, lai sasniegtu prognozētās siltumnīcefekta gāzu emisijas, kas nav zemākas par attiecīgajām līmeņatzīmēm</w:t>
      </w:r>
      <w:r>
        <w:rPr>
          <w:noProof/>
        </w:rPr>
        <w:footnoteReference w:id="12"/>
      </w:r>
      <w:r>
        <w:rPr>
          <w:noProof/>
        </w:rPr>
        <w:t>; III) darbības, kas saistītas ar atkritumu poligoniem, atkritumu sadedzināšanas iekārtām</w:t>
      </w:r>
      <w:r>
        <w:rPr>
          <w:noProof/>
        </w:rPr>
        <w:footnoteReference w:id="13"/>
      </w:r>
      <w:r>
        <w:rPr>
          <w:noProof/>
        </w:rPr>
        <w:t xml:space="preserve"> un mehāniski bioloģiskās apstrādes iekārtām</w:t>
      </w:r>
      <w:r>
        <w:rPr>
          <w:noProof/>
        </w:rPr>
        <w:footnoteReference w:id="14"/>
      </w:r>
      <w:r>
        <w:rPr>
          <w:noProof/>
        </w:rPr>
        <w:t>; un iv) darbības, kurās atkritumu ilgtermiņa apglabāšana var radīt kaitējumu videi. Darba uzdevumā papildus nosaka, ka var atlasīt tikai tās darbības, kas atbilst attiecīgajiem ES un valsts tiesību aktiem vides jomā.</w:t>
      </w:r>
    </w:p>
    <w:p w14:paraId="5C52E9CB"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73E004CF"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RE-C05-i01.02: Zaļās programmas/asociācijas uzņēmumu inovācijai</w:t>
      </w:r>
    </w:p>
    <w:p w14:paraId="742560E6" w14:textId="52E527EF" w:rsidR="00776A1F" w:rsidRDefault="00D8574B">
      <w:pPr>
        <w:pStyle w:val="P68B1DB1-Normal4"/>
        <w:keepNext/>
        <w:spacing w:before="40" w:after="0" w:line="259" w:lineRule="auto"/>
        <w:jc w:val="both"/>
        <w:rPr>
          <w:rFonts w:eastAsiaTheme="minorEastAsia" w:cs="Times New Roman"/>
          <w:noProof/>
        </w:rPr>
      </w:pPr>
      <w:r>
        <w:rPr>
          <w:noProof/>
        </w:rPr>
        <w:t xml:space="preserve">Šo investīciju mērķis ir īstenot tos pašus instrumentus kā RE-C05-i01.01, tomēr specializēties ierobežotam zaļo programmu kopumam, izmantojot konsorcijus starp uzņēmumiem un akadēmiskām, zinātniskām un/vai tehnoloģiskām iestādēm, lai atbalstītu inovāciju (koncentrējoties uz zaļo pārkārtošanos, Atveseļošanas un noturības mehānisma regulas pielikuma 022. lauks). </w:t>
      </w:r>
    </w:p>
    <w:p w14:paraId="59034061" w14:textId="2902A5C2" w:rsidR="00776A1F" w:rsidRDefault="00D8574B">
      <w:pPr>
        <w:pStyle w:val="P68B1DB1-Normal4"/>
        <w:keepNext/>
        <w:spacing w:before="40" w:after="0" w:line="259" w:lineRule="auto"/>
        <w:jc w:val="both"/>
        <w:rPr>
          <w:rFonts w:eastAsiaTheme="minorEastAsia" w:cs="Times New Roman"/>
          <w:noProof/>
          <w:highlight w:val="green"/>
        </w:rPr>
      </w:pPr>
      <w:r>
        <w:rPr>
          <w:noProof/>
        </w:rPr>
        <w:t>Lai nodrošinātu, ka pasākums atbilst Tehniskajām vadlīnijām “Nenodari būtisku kaitējumu” (2021/C58/01), atbilstības kritērijos, kas ietverti darba uzdevumā turpmākajiem uzaicinājumiem iesniegt projektus, izslēdz šādu darbību sarakstu: darbības, kas saistītas ar fosilajiem kurināmajiem, tostarp pakārtota izmantošana</w:t>
      </w:r>
      <w:r>
        <w:rPr>
          <w:noProof/>
        </w:rPr>
        <w:footnoteReference w:id="15"/>
      </w:r>
      <w:r>
        <w:rPr>
          <w:noProof/>
        </w:rPr>
        <w:t>; darbības ES emisijas kvotu tirdzniecības sistēmas (ETS) ietvaros, lai sasniegtu prognozētās siltumnīcefekta gāzu emisijas, kas nav zemākas par attiecīgajām līmeņatzīmēm</w:t>
      </w:r>
      <w:r>
        <w:rPr>
          <w:noProof/>
        </w:rPr>
        <w:footnoteReference w:id="16"/>
      </w:r>
      <w:r>
        <w:rPr>
          <w:noProof/>
        </w:rPr>
        <w:t>; III) darbības, kas saistītas ar atkritumu poligoniem, atkritumu sadedzināšanas iekārtām</w:t>
      </w:r>
      <w:r>
        <w:rPr>
          <w:noProof/>
        </w:rPr>
        <w:footnoteReference w:id="17"/>
      </w:r>
      <w:r>
        <w:rPr>
          <w:noProof/>
        </w:rPr>
        <w:t xml:space="preserve"> un mehāniski bioloģiskās apstrādes iekārtām</w:t>
      </w:r>
      <w:r>
        <w:rPr>
          <w:noProof/>
        </w:rPr>
        <w:footnoteReference w:id="18"/>
      </w:r>
      <w:r>
        <w:rPr>
          <w:noProof/>
        </w:rPr>
        <w:t>; un iv) darbības, kurās atkritumu ilgtermiņa apglabāšana var radīt kaitējumu videi. Darba uzdevumā papildus nosaka, ka var atlasīt tikai tās darbības, kas atbilst attiecīgajiem ES un valsts tiesību aktiem vides jomā.</w:t>
      </w:r>
    </w:p>
    <w:p w14:paraId="484ECBF2" w14:textId="77777777" w:rsidR="00776A1F" w:rsidRDefault="00D8574B">
      <w:pPr>
        <w:pStyle w:val="P68B1DB1-Normal4"/>
        <w:keepNext/>
        <w:spacing w:before="40" w:after="0" w:line="259" w:lineRule="auto"/>
        <w:jc w:val="both"/>
        <w:rPr>
          <w:rFonts w:eastAsiaTheme="minorEastAsia"/>
          <w:noProof/>
        </w:rPr>
      </w:pPr>
      <w:r>
        <w:rPr>
          <w:noProof/>
        </w:rPr>
        <w:t xml:space="preserve">Ieguldījumu īstenošanu pabeidz līdz 2025. gada 31. decembrim. </w:t>
      </w:r>
    </w:p>
    <w:p w14:paraId="11F2ED51"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RE-C05-i02: Saskarnes misija — zinātniskā un tehnoloģiskā atbalsta tīkla atjaunošana un norādījumi ražošanas struktūrai</w:t>
      </w:r>
    </w:p>
    <w:p w14:paraId="2F86ED35" w14:textId="34E07F85" w:rsidR="00776A1F" w:rsidRDefault="00D8574B">
      <w:pPr>
        <w:pStyle w:val="P68B1DB1-Normal4"/>
        <w:keepNext/>
        <w:spacing w:before="40" w:after="0" w:line="259" w:lineRule="auto"/>
        <w:jc w:val="both"/>
        <w:rPr>
          <w:rFonts w:eastAsiaTheme="minorEastAsia" w:cs="Times New Roman"/>
          <w:noProof/>
        </w:rPr>
      </w:pPr>
      <w:r>
        <w:rPr>
          <w:noProof/>
        </w:rPr>
        <w:t>Ieguldījuma mērķis ir stiprināt valsts zinātnisko un tehnoloģisko sistēmu un uzlabot saikni starp uzņēmējdarbības akadēmiskajām aprindām, lai nodrošinātu efektīvu tehnoloģiju pārnesi un pētniecības rezultātu pārvēršanu inovācijā. Ieguldījums ietver tehnoloģiskās saskarnes sistēmu centru un sadarbības laboratoriju CoLAB jaunā finansēšanas modeļa konsolidāciju peļņas apvienībām vai uzņēmumiem, kuru mērķis ir tieši vai netieši radīt kvalificētas darbvietas, īstenojot pētniecības un inovācijas programmas, kuru pamatā ir 1/3 no pamatfinansējuma, 1/3 no konkurētspējīga finansējuma un 1/3 no tirgus finansējuma, nodrošinot 186 miljonus euro no galvenā finansējuma</w:t>
      </w:r>
      <w:r>
        <w:rPr>
          <w:i/>
          <w:noProof/>
        </w:rPr>
        <w:t xml:space="preserve"> Interface misijai</w:t>
      </w:r>
      <w:r>
        <w:rPr>
          <w:noProof/>
        </w:rPr>
        <w:t xml:space="preserve">. Ieguldījumu veido 500 uzņēmumi, kas gūst labumu no šīs shēmas un INTERFACE struktūru sniegtajiem pakalpojumiem. Paredzams, ka reformu RE-r11 un investīciju RE-C05-i02 apvienotā rīcība sasniegs iepriekš minētos mērķus. </w:t>
      </w:r>
    </w:p>
    <w:p w14:paraId="6646C73E" w14:textId="77777777" w:rsidR="00776A1F" w:rsidRDefault="00D8574B">
      <w:pPr>
        <w:pStyle w:val="P68B1DB1-Normal4"/>
        <w:keepNext/>
        <w:spacing w:before="40" w:after="0" w:line="259" w:lineRule="auto"/>
        <w:jc w:val="both"/>
        <w:rPr>
          <w:rFonts w:eastAsiaTheme="minorEastAsia" w:cs="Times New Roman"/>
          <w:noProof/>
          <w:highlight w:val="green"/>
        </w:rPr>
      </w:pPr>
      <w:r>
        <w:rPr>
          <w:noProof/>
        </w:rPr>
        <w:t>Lai nodrošinātu, ka pasākums atbilst Tehniskajām vadlīnijām “Nenodari būtisku kaitējumu” (2021/C58/01), atbilstības kritērijos, kas ietverti darba uzdevumā turpmākajiem uzaicinājumiem iesniegt projektus, izslēdz šādu darbību sarakstu: darbības, kas saistītas ar fosilajiem kurināmajiem, tostarp pakārtota izmantošana</w:t>
      </w:r>
      <w:r>
        <w:rPr>
          <w:noProof/>
        </w:rPr>
        <w:footnoteReference w:id="19"/>
      </w:r>
      <w:r>
        <w:rPr>
          <w:noProof/>
        </w:rPr>
        <w:t>; darbības ES emisijas kvotu tirdzniecības sistēmas (ETS) ietvaros, lai sasniegtu prognozētās siltumnīcefekta gāzu emisijas, kas nav zemākas par attiecīgajām līmeņatzīmēm</w:t>
      </w:r>
      <w:r>
        <w:rPr>
          <w:noProof/>
        </w:rPr>
        <w:footnoteReference w:id="20"/>
      </w:r>
      <w:r>
        <w:rPr>
          <w:noProof/>
        </w:rPr>
        <w:t>; III) darbības, kas saistītas ar atkritumu poligoniem, atkritumu sadedzināšanas iekārtām</w:t>
      </w:r>
      <w:r>
        <w:rPr>
          <w:noProof/>
        </w:rPr>
        <w:footnoteReference w:id="21"/>
      </w:r>
      <w:r>
        <w:rPr>
          <w:noProof/>
        </w:rPr>
        <w:t xml:space="preserve"> un mehāniski bioloģiskās apstrādes iekārtām</w:t>
      </w:r>
      <w:r>
        <w:rPr>
          <w:noProof/>
        </w:rPr>
        <w:footnoteReference w:id="22"/>
      </w:r>
      <w:r>
        <w:rPr>
          <w:noProof/>
        </w:rPr>
        <w:t>; un iv) darbības, kurās atkritumu ilgtermiņa apglabāšana var radīt kaitējumu videi. Darba uzdevumā papildus nosaka, ka var atlasīt tikai tās darbības, kas atbilst attiecīgajiem ES un valsts tiesību aktiem vides jomā.</w:t>
      </w:r>
    </w:p>
    <w:p w14:paraId="5B04203E"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4855D333"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RE-C05-i03: Pētniecības un inovācijas programma ilgtspējīgai lauksaimniecībai, pārtikai un agrorūpniecībai [Inovācijas programma lauksaimniecībai 20 30].</w:t>
      </w:r>
    </w:p>
    <w:p w14:paraId="1F941BD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ieguldījuma mērķis ir veicināt pētniecību un inovāciju, lai panāktu ilgtspējīgāku lauksaimniecību. </w:t>
      </w:r>
    </w:p>
    <w:p w14:paraId="0FFD493F" w14:textId="49252C87" w:rsidR="00776A1F" w:rsidRDefault="00D8574B">
      <w:pPr>
        <w:pStyle w:val="P68B1DB1-Normal4"/>
        <w:keepNext/>
        <w:spacing w:before="40" w:after="0" w:line="259" w:lineRule="auto"/>
        <w:jc w:val="both"/>
        <w:rPr>
          <w:rFonts w:eastAsiaTheme="minorEastAsia" w:cs="Times New Roman"/>
          <w:noProof/>
        </w:rPr>
      </w:pPr>
      <w:r>
        <w:rPr>
          <w:noProof/>
        </w:rPr>
        <w:t xml:space="preserve">Ieguldījumu veido dotācijas publiskām un privātām struktūrām, lai atbalstītu Inovācijas programmu lauksaimniecībai 20|30. Programma ir strukturēta 15 pamatiniciatīvās pētniecības un izstrādes un inovācijas projektu atbalstam un 5 inovācijas strukturēšanas projektos, kas vērsti uz digitalizāciju. Šie pētniecības un inovācijas projekti atbilst Portugāles kopējās lauksaimniecības politikas stratēģiskajā plānā noteiktajām vajadzībām. Dažādās iniciatīvas ietver darbības aprites bioekonomikas un precīzās lauksaimniecības jomā. Projektu atlasē ņem vērā dažādas ražošanas sistēmas un nozares. Paredzams, ka tiks atbalstīti 100 pētniecības un inovācijas projekti. Turklāt ieguldījums ietver 24 eksperimentālo saimniecību un laboratoriju (inovācijas centru) zinātnisko iekārtu un aprīkojuma atjaunošanu un modernizāciju. </w:t>
      </w:r>
    </w:p>
    <w:p w14:paraId="02EFC191" w14:textId="727A1287" w:rsidR="00776A1F" w:rsidRDefault="00D8574B">
      <w:pPr>
        <w:pStyle w:val="P68B1DB1-Normal4"/>
        <w:keepNext/>
        <w:spacing w:before="40" w:after="0" w:line="259" w:lineRule="auto"/>
        <w:jc w:val="both"/>
        <w:rPr>
          <w:rFonts w:eastAsiaTheme="minorEastAsia" w:cs="Times New Roman"/>
          <w:noProof/>
          <w:highlight w:val="green"/>
        </w:rPr>
      </w:pPr>
      <w:r>
        <w:rPr>
          <w:noProof/>
        </w:rPr>
        <w:t>Lai nodrošinātu, ka pasākums atbilst Tehniskajām vadlīnijām “Nenodari būtisku kaitējumu” (2021/C58/01), atbilstības kritērijos, kas ietverti darba uzdevumā turpmākajiem uzaicinājumiem iesniegt projektus, izslēdz šādu darbību sarakstu: darbības, kas saistītas ar fosilajiem kurināmajiem, tostarp pakārtota izmantošana</w:t>
      </w:r>
      <w:r>
        <w:rPr>
          <w:noProof/>
        </w:rPr>
        <w:footnoteReference w:id="23"/>
      </w:r>
      <w:r>
        <w:rPr>
          <w:noProof/>
        </w:rPr>
        <w:t>; darbības ES emisijas kvotu tirdzniecības sistēmas (ETS) ietvaros, lai sasniegtu prognozētās siltumnīcefekta gāzu emisijas, kas nav zemākas par attiecīgajām līmeņatzīmēm</w:t>
      </w:r>
      <w:r>
        <w:rPr>
          <w:noProof/>
        </w:rPr>
        <w:footnoteReference w:id="24"/>
      </w:r>
      <w:r>
        <w:rPr>
          <w:noProof/>
        </w:rPr>
        <w:t>; III) darbības, kas saistītas ar atkritumu poligoniem, atkritumu sadedzināšanas iekārtām</w:t>
      </w:r>
      <w:r>
        <w:rPr>
          <w:noProof/>
        </w:rPr>
        <w:footnoteReference w:id="25"/>
      </w:r>
      <w:r>
        <w:rPr>
          <w:noProof/>
        </w:rPr>
        <w:t xml:space="preserve"> un mehāniski bioloģiskās apstrādes iekārtām</w:t>
      </w:r>
      <w:r>
        <w:rPr>
          <w:noProof/>
        </w:rPr>
        <w:footnoteReference w:id="26"/>
      </w:r>
      <w:r>
        <w:rPr>
          <w:noProof/>
        </w:rPr>
        <w:t>; un iv) darbības, kurās atkritumu ilgtermiņa apglabāšana var radīt kaitējumu videi. Darba uzdevumā papildus nosaka, ka var atlasīt tikai tās darbības, kas atbilst attiecīgajiem ES un valsts tiesību aktiem vides jomā.</w:t>
      </w:r>
    </w:p>
    <w:p w14:paraId="67497350"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07D9C278"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Ieguldījums RE-C05-i04-RAA: Azoru salu uzņēmējdarbības sistēmas rekapitalizācija</w:t>
      </w:r>
    </w:p>
    <w:p w14:paraId="4806397B" w14:textId="77777777" w:rsidR="00776A1F" w:rsidRDefault="00D8574B">
      <w:pPr>
        <w:pStyle w:val="P68B1DB1-Normal4"/>
        <w:spacing w:before="40" w:after="0" w:line="259" w:lineRule="auto"/>
        <w:jc w:val="both"/>
        <w:rPr>
          <w:rFonts w:eastAsiaTheme="minorEastAsia" w:cs="Times New Roman"/>
          <w:noProof/>
        </w:rPr>
      </w:pPr>
      <w:r>
        <w:rPr>
          <w:noProof/>
        </w:rPr>
        <w:t>Pasākuma mērķis ir risināt strukturālo problēmu, kas saistīta ar Azoru salu autonomā reģiona uzņēmumu nepietiekamu kapitalizāciju.</w:t>
      </w:r>
    </w:p>
    <w:p w14:paraId="31D7ECE4" w14:textId="0CCCA1E9" w:rsidR="00776A1F" w:rsidRDefault="00D8574B">
      <w:pPr>
        <w:pStyle w:val="P68B1DB1-Normal4"/>
        <w:spacing w:before="40" w:after="0" w:line="259" w:lineRule="auto"/>
        <w:jc w:val="both"/>
        <w:rPr>
          <w:rFonts w:eastAsiaTheme="minorEastAsia" w:cs="Times New Roman"/>
          <w:noProof/>
        </w:rPr>
      </w:pPr>
      <w:r>
        <w:rPr>
          <w:noProof/>
        </w:rPr>
        <w:t xml:space="preserve">Šo ieguldījumu veido īpašam nolūkam dibinātas sabiedrības izveide, kas pēc tam iegulda EUR 125000000 dzīvotspējīgos Azoras uzņēmumos galvenokārt pašu kapitāla veidā. Investīcijas papildina valstu investīcijas, kuru mērķis ir uzņēmumu kapitalizācija, ar reģionālu finansējumu un īpašiem instrumentiem, kas atbilst autonomā reģiona uzņēmējdarbības struktūras specifikai. </w:t>
      </w:r>
    </w:p>
    <w:p w14:paraId="43A7AC10" w14:textId="77777777" w:rsidR="00776A1F" w:rsidRDefault="00D8574B">
      <w:pPr>
        <w:pStyle w:val="P68B1DB1-Normal4"/>
        <w:spacing w:before="40" w:after="0" w:line="259" w:lineRule="auto"/>
        <w:jc w:val="both"/>
        <w:rPr>
          <w:rFonts w:eastAsiaTheme="minorEastAsia" w:cs="Times New Roman"/>
          <w:noProof/>
        </w:rPr>
      </w:pPr>
      <w:r>
        <w:rPr>
          <w:noProof/>
        </w:rPr>
        <w:t xml:space="preserve">Visus projektus īsteno, pilnībā ievērojot NBK tehniskos norādījumus (2021/C58/01). Turklāt Portugāle ir apņēmusies, ka ieguldījumu politikas dokumentā, kas saistīts ar instrumentu 125 000 000 EUR un ko Banco Português </w:t>
      </w:r>
      <w:r>
        <w:rPr>
          <w:i/>
          <w:noProof/>
        </w:rPr>
        <w:t>de Fomento pieņems kā īpašam nolūkam dibinātas sabiedrības vadības</w:t>
      </w:r>
      <w:r>
        <w:rPr>
          <w:noProof/>
        </w:rPr>
        <w:t xml:space="preserve"> struktūra, sīki izklāsta atbalstīto uzņēmumu atlases/atbilstības kritērijus, nodrošinot Atveseļošanas un noturības mehānisma klimata un vides prasību ievērošanu, tostarp atbilstību NBK tehniskajiem norādījumiem (2021/C58/01) par atbalstītajiem aktīviem/darbībām un/vai uzņēmumiem un norādot ieguldījumu mērķus un mērķorientētu peļņu. Lai nodrošinātu atbalstīto uzņēmumu atbilstību NBK tehniskajiem norādījumiem (2021/C58/01), ieguldījumu politikā ir prasīts: </w:t>
      </w:r>
    </w:p>
    <w:p w14:paraId="1280B55C" w14:textId="77777777" w:rsidR="00776A1F" w:rsidRDefault="00D8574B">
      <w:pPr>
        <w:pStyle w:val="P68B1DB1-Normal4"/>
        <w:numPr>
          <w:ilvl w:val="0"/>
          <w:numId w:val="57"/>
        </w:numPr>
        <w:spacing w:before="40" w:after="160" w:line="259" w:lineRule="auto"/>
        <w:contextualSpacing/>
        <w:jc w:val="both"/>
        <w:rPr>
          <w:rFonts w:eastAsiaTheme="minorEastAsia" w:cs="Times New Roman"/>
          <w:noProof/>
        </w:rPr>
      </w:pPr>
      <w:r>
        <w:rPr>
          <w:noProof/>
        </w:rPr>
        <w:t xml:space="preserve">ilgtspējas pārbaudes izmantošana, </w:t>
      </w:r>
    </w:p>
    <w:p w14:paraId="6EBA5233" w14:textId="77777777" w:rsidR="00776A1F" w:rsidRDefault="00D8574B">
      <w:pPr>
        <w:pStyle w:val="P68B1DB1-Normal4"/>
        <w:numPr>
          <w:ilvl w:val="0"/>
          <w:numId w:val="57"/>
        </w:numPr>
        <w:spacing w:before="40" w:after="160" w:line="259" w:lineRule="auto"/>
        <w:contextualSpacing/>
        <w:jc w:val="both"/>
        <w:rPr>
          <w:rFonts w:eastAsiaTheme="minorEastAsia" w:cs="Times New Roman"/>
          <w:noProof/>
        </w:rPr>
      </w:pPr>
      <w:r>
        <w:rPr>
          <w:noProof/>
        </w:rPr>
        <w:t>izslēgšanas saraksts, kurā ir šādi elementi:</w:t>
      </w:r>
    </w:p>
    <w:p w14:paraId="7CF06F2D" w14:textId="77777777" w:rsidR="00776A1F" w:rsidRDefault="00D8574B">
      <w:pPr>
        <w:pStyle w:val="P68B1DB1-Normal4"/>
        <w:numPr>
          <w:ilvl w:val="1"/>
          <w:numId w:val="64"/>
        </w:numPr>
        <w:spacing w:before="40" w:after="160" w:line="259" w:lineRule="auto"/>
        <w:contextualSpacing/>
        <w:jc w:val="both"/>
        <w:rPr>
          <w:rFonts w:eastAsiaTheme="minorEastAsia" w:cs="Times New Roman"/>
          <w:noProof/>
        </w:rPr>
      </w:pPr>
      <w:r>
        <w:rPr>
          <w:noProof/>
        </w:rPr>
        <w:t>Darbības, kas saistītas ar fosilajiem kurināmajiem, tostarp pakārtota izmantošana</w:t>
      </w:r>
      <w:r>
        <w:rPr>
          <w:noProof/>
        </w:rPr>
        <w:footnoteReference w:id="27"/>
      </w:r>
      <w:r>
        <w:rPr>
          <w:noProof/>
        </w:rPr>
        <w:t xml:space="preserve">; </w:t>
      </w:r>
    </w:p>
    <w:p w14:paraId="4A89E7FD" w14:textId="77777777" w:rsidR="00776A1F" w:rsidRDefault="00D8574B">
      <w:pPr>
        <w:pStyle w:val="P68B1DB1-Normal4"/>
        <w:numPr>
          <w:ilvl w:val="1"/>
          <w:numId w:val="64"/>
        </w:numPr>
        <w:spacing w:before="40" w:after="160" w:line="259" w:lineRule="auto"/>
        <w:contextualSpacing/>
        <w:jc w:val="both"/>
        <w:rPr>
          <w:rFonts w:eastAsiaTheme="minorEastAsia" w:cs="Times New Roman"/>
          <w:noProof/>
        </w:rPr>
      </w:pPr>
      <w:r>
        <w:rPr>
          <w:noProof/>
        </w:rPr>
        <w:t>Darbības saskaņā ar ES emisijas kvotu tirdzniecības sistēmu (ETS), lai sasniegtu prognozētās siltumnīcefekta gāzu emisijas, kas nav zemākas par attiecīgajām līmeņatzīmēm</w:t>
      </w:r>
      <w:r>
        <w:rPr>
          <w:noProof/>
        </w:rPr>
        <w:footnoteReference w:id="28"/>
      </w:r>
      <w:r>
        <w:rPr>
          <w:noProof/>
        </w:rPr>
        <w:t xml:space="preserve">; </w:t>
      </w:r>
    </w:p>
    <w:p w14:paraId="3363B8AD" w14:textId="77777777" w:rsidR="00776A1F" w:rsidRDefault="00D8574B">
      <w:pPr>
        <w:pStyle w:val="P68B1DB1-Normal4"/>
        <w:numPr>
          <w:ilvl w:val="1"/>
          <w:numId w:val="64"/>
        </w:numPr>
        <w:spacing w:before="40" w:after="160" w:line="259" w:lineRule="auto"/>
        <w:contextualSpacing/>
        <w:jc w:val="both"/>
        <w:rPr>
          <w:rFonts w:eastAsiaTheme="minorEastAsia" w:cs="Times New Roman"/>
          <w:noProof/>
        </w:rPr>
      </w:pPr>
      <w:r>
        <w:rPr>
          <w:noProof/>
        </w:rPr>
        <w:t>Darbības, kas saistītas ar atkritumu poligoniem, atkritumu sadedzināšanas iekārtām</w:t>
      </w:r>
      <w:r>
        <w:rPr>
          <w:noProof/>
        </w:rPr>
        <w:footnoteReference w:id="29"/>
      </w:r>
      <w:r>
        <w:rPr>
          <w:noProof/>
        </w:rPr>
        <w:t xml:space="preserve"> un mehāniski bioloģiskās apstrādes iekārtām</w:t>
      </w:r>
      <w:r>
        <w:rPr>
          <w:noProof/>
        </w:rPr>
        <w:footnoteReference w:id="30"/>
      </w:r>
      <w:r>
        <w:rPr>
          <w:noProof/>
        </w:rPr>
        <w:t xml:space="preserve">; </w:t>
      </w:r>
    </w:p>
    <w:p w14:paraId="222E0859" w14:textId="77777777" w:rsidR="00776A1F" w:rsidRDefault="00D8574B">
      <w:pPr>
        <w:pStyle w:val="P68B1DB1-Normal4"/>
        <w:numPr>
          <w:ilvl w:val="1"/>
          <w:numId w:val="64"/>
        </w:numPr>
        <w:spacing w:before="40" w:after="160" w:line="259" w:lineRule="auto"/>
        <w:contextualSpacing/>
        <w:jc w:val="both"/>
        <w:rPr>
          <w:rFonts w:eastAsiaTheme="minorEastAsia" w:cs="Times New Roman"/>
          <w:noProof/>
        </w:rPr>
      </w:pPr>
      <w:r>
        <w:rPr>
          <w:noProof/>
        </w:rPr>
        <w:t>Darbības, kurās atkritumu ilgtermiņa apglabāšana var radīt ilgtermiņa kaitējumu videi, piemēram, kodolatkritumus; un</w:t>
      </w:r>
    </w:p>
    <w:p w14:paraId="5B02FFE5" w14:textId="77777777" w:rsidR="00776A1F" w:rsidRDefault="00D8574B">
      <w:pPr>
        <w:pStyle w:val="P68B1DB1-Normal4"/>
        <w:numPr>
          <w:ilvl w:val="1"/>
          <w:numId w:val="64"/>
        </w:numPr>
        <w:spacing w:before="40" w:after="160" w:line="259" w:lineRule="auto"/>
        <w:contextualSpacing/>
        <w:jc w:val="both"/>
        <w:rPr>
          <w:rFonts w:eastAsiaTheme="minorEastAsia" w:cs="Times New Roman"/>
          <w:noProof/>
        </w:rPr>
      </w:pPr>
      <w:r>
        <w:rPr>
          <w:noProof/>
        </w:rPr>
        <w:t xml:space="preserve">Pētniecībai, izstrādei un inovācijai, kas paredzēta iepriekš minētajiem aktīviem un darbībām. </w:t>
      </w:r>
    </w:p>
    <w:p w14:paraId="1D1FCB8F" w14:textId="77777777" w:rsidR="00776A1F" w:rsidRDefault="00D8574B">
      <w:pPr>
        <w:pStyle w:val="P68B1DB1-Normal4"/>
        <w:numPr>
          <w:ilvl w:val="0"/>
          <w:numId w:val="57"/>
        </w:numPr>
        <w:spacing w:before="40" w:after="160" w:line="259" w:lineRule="auto"/>
        <w:contextualSpacing/>
        <w:jc w:val="both"/>
        <w:rPr>
          <w:rFonts w:eastAsiaTheme="minorEastAsia" w:cs="Times New Roman"/>
          <w:noProof/>
        </w:rPr>
      </w:pPr>
      <w:r>
        <w:rPr>
          <w:noProof/>
        </w:rPr>
        <w:t xml:space="preserve">obligātas juridiskās atbilstības pārbaudes, ko veic </w:t>
      </w:r>
      <w:r>
        <w:rPr>
          <w:i/>
          <w:noProof/>
        </w:rPr>
        <w:t>Banco Português de Fomento</w:t>
      </w:r>
      <w:r>
        <w:rPr>
          <w:noProof/>
        </w:rPr>
        <w:t xml:space="preserve"> un/vai tās izraudzītie finanšu starpnieki attiecībā uz darījumiem, kas ir atbrīvoti no ilgtspējas pārbaudes, un </w:t>
      </w:r>
    </w:p>
    <w:p w14:paraId="67D0FED8" w14:textId="77777777" w:rsidR="00776A1F" w:rsidRDefault="00D8574B">
      <w:pPr>
        <w:pStyle w:val="P68B1DB1-Normal4"/>
        <w:numPr>
          <w:ilvl w:val="0"/>
          <w:numId w:val="57"/>
        </w:numPr>
        <w:spacing w:before="40" w:after="160" w:line="259" w:lineRule="auto"/>
        <w:contextualSpacing/>
        <w:jc w:val="both"/>
        <w:rPr>
          <w:rFonts w:eastAsiaTheme="minorEastAsia" w:cs="Times New Roman"/>
          <w:noProof/>
        </w:rPr>
      </w:pPr>
      <w:r>
        <w:rPr>
          <w:noProof/>
        </w:rPr>
        <w:t>tāda pašu kapitāla atbalsta saņēmējiem, kuri vismaz 50 % no saviem ieņēmumiem gūst no izslēgšanas sarakstā uzskaitītajām darbībām, lai pieņemtu un publicētu zaļās pārkārtošanās plānus.</w:t>
      </w:r>
    </w:p>
    <w:p w14:paraId="57CD92C3" w14:textId="77777777" w:rsidR="00776A1F" w:rsidRDefault="00D8574B">
      <w:pPr>
        <w:pStyle w:val="P68B1DB1-Normal4"/>
        <w:spacing w:before="40" w:after="0" w:line="259" w:lineRule="auto"/>
        <w:jc w:val="both"/>
        <w:rPr>
          <w:rFonts w:eastAsiaTheme="minorEastAsia" w:cs="Times New Roman"/>
          <w:noProof/>
        </w:rPr>
      </w:pPr>
      <w:r>
        <w:rPr>
          <w:noProof/>
        </w:rPr>
        <w:t xml:space="preserve">Ieguldījumu īstenošanu pabeidz līdz 2025. gada 31. decembrim. </w:t>
      </w:r>
    </w:p>
    <w:p w14:paraId="04842B12"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RE-C05-i05-RAA: Azorejas lauksaimniecības ekonomikas atveseļošana</w:t>
      </w:r>
    </w:p>
    <w:p w14:paraId="5D74F80D" w14:textId="77777777" w:rsidR="00776A1F" w:rsidRDefault="00D8574B">
      <w:pPr>
        <w:pStyle w:val="P68B1DB1-Normal4"/>
        <w:spacing w:before="40" w:after="0" w:line="259" w:lineRule="auto"/>
        <w:jc w:val="both"/>
        <w:rPr>
          <w:rFonts w:eastAsiaTheme="minorEastAsia" w:cs="Times New Roman"/>
          <w:noProof/>
        </w:rPr>
      </w:pPr>
      <w:r>
        <w:rPr>
          <w:noProof/>
        </w:rPr>
        <w:t xml:space="preserve">Ieguldījumu mērķis ir veicināt Azoru salu lauksaimniecību, īpašu uzmanību pievēršot ilgtspējai, kā arī vietējās ražošanas veicināšanai. Azoru salu lauksaimniecībai ir liela ekonomiskā, sociālā un teritoriālā nozīme reģionālajā kohēzijā, ņemot vērā reģionālās teritorijas sadrumstalotību, ko raksturo salas ar īpašām iezīmēm. Šo investīciju mērķis ir i) veicināt reģionālā ražošanas potenciāla noturību un ilgtspējīgu izaugsmi, ii) mazināt krīzes ekonomisko un sociālo ietekmi uz lauksaimniecības un lauksaimniecības pārtikas nozari Azoru salās un iii) veicināt divējādo klimata un digitālo pārkārtošanos lauksaimniecības un lauksaimniecības pārtikas nozarē Azoru salās. </w:t>
      </w:r>
    </w:p>
    <w:p w14:paraId="6B5CF27F" w14:textId="216C1C52" w:rsidR="00776A1F" w:rsidRDefault="00D8574B">
      <w:pPr>
        <w:pStyle w:val="P68B1DB1-Normal4"/>
        <w:spacing w:before="40" w:after="0" w:line="259" w:lineRule="auto"/>
        <w:jc w:val="both"/>
        <w:rPr>
          <w:rFonts w:eastAsiaTheme="minorEastAsia" w:cs="Times New Roman"/>
          <w:noProof/>
        </w:rPr>
      </w:pPr>
      <w:r>
        <w:rPr>
          <w:noProof/>
        </w:rPr>
        <w:t xml:space="preserve">Investīcijas ietver i) atbalstu investīciju projektiem produktu un ražošanas procesu inovācijā reģionālos lauksaimniecības uzņēmumos, ii) publiskās investīcijas inovācijā un divējādā pārejā (tostarp programma lauksaimnieku prasmju uzlabošanai divējādās pārkārtošanās un ilgtspējīga patēriņa jomā, tostarp sertifikācija) un iii) publiskās investīcijas pārstrukturēšanā, tostarp investīcijas ražošanas procesu inovācijā un reģionālajā kaušanas tīkla zaļajā pārkārtošanā un piena kvalitātes sertificēšanā. </w:t>
      </w:r>
    </w:p>
    <w:p w14:paraId="67CFE1ED" w14:textId="77777777"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2025. gada 31. decembrim.</w:t>
      </w:r>
    </w:p>
    <w:p w14:paraId="0FE3436B" w14:textId="1CD87910" w:rsidR="00776A1F" w:rsidRDefault="00D8574B">
      <w:pPr>
        <w:pStyle w:val="P68B1DB1-Normal5"/>
        <w:keepNext/>
        <w:spacing w:before="240" w:after="0" w:line="259" w:lineRule="auto"/>
        <w:ind w:left="851"/>
        <w:jc w:val="both"/>
        <w:outlineLvl w:val="3"/>
        <w:rPr>
          <w:rFonts w:eastAsiaTheme="minorEastAsia" w:cs="Times New Roman"/>
          <w:noProof/>
        </w:rPr>
      </w:pPr>
      <w:bookmarkStart w:id="8" w:name="_Toc137472448"/>
      <w:bookmarkStart w:id="9" w:name="_Hlk144129521"/>
      <w:r>
        <w:rPr>
          <w:noProof/>
        </w:rPr>
        <w:t xml:space="preserve">Ieguldījums RE-C05-i07-RAM: Kapitalizācijas instrumenti </w:t>
      </w:r>
      <w:bookmarkEnd w:id="8"/>
      <w:r>
        <w:rPr>
          <w:noProof/>
        </w:rPr>
        <w:t xml:space="preserve">uzņēmumiem Madeirā </w:t>
      </w:r>
    </w:p>
    <w:p w14:paraId="1C9E1081" w14:textId="77777777" w:rsidR="00776A1F" w:rsidRDefault="00D8574B">
      <w:pPr>
        <w:pStyle w:val="P68B1DB1-Normal4"/>
        <w:spacing w:before="40" w:after="0" w:line="259" w:lineRule="auto"/>
        <w:jc w:val="both"/>
        <w:rPr>
          <w:rFonts w:cs="Times New Roman"/>
          <w:noProof/>
        </w:rPr>
      </w:pPr>
      <w:r>
        <w:rPr>
          <w:noProof/>
        </w:rPr>
        <w:t xml:space="preserve">Šā pasākuma mērķis ir atbalstīt ieguldījumus Madeiras autonomajā reģionā, lai risinātu vietējo uzņēmumu strukturālās likviditātes problēmas, kā arī stiprinātu reģionālās ekonomikas konkurētspēju. </w:t>
      </w:r>
    </w:p>
    <w:p w14:paraId="76EBD3EA" w14:textId="19DDA592" w:rsidR="00776A1F" w:rsidRDefault="00D8574B">
      <w:pPr>
        <w:pStyle w:val="P68B1DB1-Normal4"/>
        <w:spacing w:before="40" w:after="0" w:line="259" w:lineRule="auto"/>
        <w:jc w:val="both"/>
        <w:rPr>
          <w:rFonts w:cs="Times New Roman"/>
          <w:noProof/>
        </w:rPr>
      </w:pPr>
      <w:r>
        <w:rPr>
          <w:noProof/>
        </w:rPr>
        <w:t>Šis ieguldījums ietver ar kredītlīniju piešķirtā finansiālā atbalsta pastiprināšanu (</w:t>
      </w:r>
      <w:r>
        <w:rPr>
          <w:i/>
          <w:noProof/>
        </w:rPr>
        <w:t>Investe RAM 2020)</w:t>
      </w:r>
      <w:r>
        <w:rPr>
          <w:noProof/>
        </w:rPr>
        <w:t xml:space="preserve">. Šis instruments sniedz kredītu garantijas uzņēmumiem, garantējot aizdevumu kopsummu EUR 15900000 apmērā. Ar instrumentu arī subsidē aizdevumu procentu izdevumus (100 % no bezriska (Euribor) likmes plus vismaz 60 % no riska starpības līdz 3,4 %). Ieguldījumu veic, izmantojot protokolu starp </w:t>
      </w:r>
      <w:r>
        <w:rPr>
          <w:i/>
          <w:noProof/>
        </w:rPr>
        <w:t>Banco Português de Fomento, Instituto de Desenvolvimento Empresarial</w:t>
      </w:r>
      <w:r>
        <w:rPr>
          <w:noProof/>
        </w:rPr>
        <w:t xml:space="preserve"> un to izvēlētiem finanšu starpniekiem.</w:t>
      </w:r>
    </w:p>
    <w:p w14:paraId="502DBAE8" w14:textId="3F70318A" w:rsidR="00776A1F" w:rsidRDefault="00D8574B">
      <w:pPr>
        <w:pStyle w:val="P68B1DB1-Normal4"/>
        <w:spacing w:before="40" w:after="0" w:line="259" w:lineRule="auto"/>
        <w:jc w:val="both"/>
        <w:rPr>
          <w:rFonts w:cs="Times New Roman"/>
          <w:noProof/>
        </w:rPr>
      </w:pPr>
      <w:r>
        <w:rPr>
          <w:noProof/>
        </w:rPr>
        <w:t xml:space="preserve">Lai nodrošinātu, ka pasākums atbilst principam “nenodari būtisku kaitējumu” saskaņā ar Atveseļošanas un noturības mehānismu, kā noteikts tehniskajās norādēs “nenodari būtisku kaitējumu” (2021/C58/01), tiesiskajā(-os) nolīgumā(-os) starp </w:t>
      </w:r>
      <w:r>
        <w:rPr>
          <w:i/>
          <w:noProof/>
        </w:rPr>
        <w:t>Banco Português de Fomento, Instituto de Desenvolvimento Empresarial</w:t>
      </w:r>
      <w:r>
        <w:rPr>
          <w:noProof/>
        </w:rPr>
        <w:t xml:space="preserve"> un to izvēlētajiem finanšu starpniekiem, kā arī finanšu instrumenta īstenošanas nolīgumā (protokolā):</w:t>
      </w:r>
    </w:p>
    <w:p w14:paraId="05683CB6" w14:textId="2E756E4E" w:rsidR="00776A1F" w:rsidRDefault="00D8574B">
      <w:pPr>
        <w:pStyle w:val="ListParagraph"/>
        <w:keepNext w:val="0"/>
        <w:numPr>
          <w:ilvl w:val="0"/>
          <w:numId w:val="74"/>
        </w:numPr>
        <w:spacing w:before="120" w:after="120" w:line="22" w:lineRule="atLeast"/>
        <w:rPr>
          <w:noProof/>
        </w:rPr>
      </w:pPr>
      <w:r>
        <w:rPr>
          <w:noProof/>
        </w:rPr>
        <w:t>Izslēgt no atbilstības šādu darbību un aktīvu sarakstu: darbības un aktīvi, kas saistīti ar fosilajiem kurināmajiem, tostarp pakārtota izmantošana</w:t>
      </w:r>
      <w:r>
        <w:rPr>
          <w:rStyle w:val="FootnoteReference"/>
          <w:noProof/>
        </w:rPr>
        <w:footnoteReference w:id="31"/>
      </w:r>
      <w:r>
        <w:rPr>
          <w:noProof/>
        </w:rPr>
        <w:t>; darbības un aktīvi saskaņā ar ES emisijas kvotu tirdzniecības sistēmu (ETS), sasniedzot prognozētās siltumnīcefekta gāzu emisijas, kas nav zemākas par attiecīgajām līmeņatzīmēm</w:t>
      </w:r>
      <w:r>
        <w:rPr>
          <w:rStyle w:val="FootnoteReference"/>
          <w:noProof/>
        </w:rPr>
        <w:footnoteReference w:id="32"/>
      </w:r>
      <w:r>
        <w:rPr>
          <w:noProof/>
        </w:rPr>
        <w:t>; III) darbības un aktīvi, kas saistīti ar atkritumu poligoniem, sadedzināšanas iekārtām</w:t>
      </w:r>
      <w:r>
        <w:rPr>
          <w:rStyle w:val="FootnoteReference"/>
          <w:noProof/>
        </w:rPr>
        <w:footnoteReference w:id="33"/>
      </w:r>
      <w:r>
        <w:rPr>
          <w:noProof/>
        </w:rPr>
        <w:t xml:space="preserve"> un mehāniski bioloģiskās apstrādes iekārtām</w:t>
      </w:r>
      <w:r>
        <w:rPr>
          <w:rStyle w:val="FootnoteReference"/>
          <w:noProof/>
        </w:rPr>
        <w:footnoteReference w:id="34"/>
      </w:r>
      <w:r>
        <w:rPr>
          <w:noProof/>
        </w:rPr>
        <w:t>; un</w:t>
      </w:r>
    </w:p>
    <w:p w14:paraId="0AEDD136" w14:textId="78BAD798" w:rsidR="00776A1F" w:rsidRDefault="00D8574B">
      <w:pPr>
        <w:pStyle w:val="ListParagraph"/>
        <w:keepNext w:val="0"/>
        <w:numPr>
          <w:ilvl w:val="0"/>
          <w:numId w:val="74"/>
        </w:numPr>
        <w:spacing w:before="120" w:after="120" w:line="22" w:lineRule="atLeast"/>
        <w:rPr>
          <w:noProof/>
        </w:rPr>
      </w:pPr>
      <w:r>
        <w:rPr>
          <w:noProof/>
        </w:rPr>
        <w:t>Pieprasīt, lai saņēmējs ievēro attiecīgos ES un valsts tiesību aktus vides jomā.</w:t>
      </w:r>
    </w:p>
    <w:p w14:paraId="0AB91DA2" w14:textId="6E00CAC3" w:rsidR="00776A1F" w:rsidRDefault="00D8574B">
      <w:pPr>
        <w:pStyle w:val="P68B1DB1-Normal4"/>
        <w:spacing w:line="22" w:lineRule="atLeast"/>
        <w:jc w:val="both"/>
        <w:rPr>
          <w:rFonts w:cs="Times New Roman"/>
          <w:noProof/>
        </w:rPr>
      </w:pPr>
      <w:r>
        <w:rPr>
          <w:noProof/>
        </w:rPr>
        <w:t>Ieguldījumu īstenošanu pabeidz līdz 2025. gada 31. decembrim.</w:t>
      </w:r>
    </w:p>
    <w:p w14:paraId="3868A1A9" w14:textId="37A914CF" w:rsidR="00776A1F" w:rsidRDefault="00D8574B">
      <w:pPr>
        <w:pStyle w:val="P68B1DB1-Heading214"/>
        <w:rPr>
          <w:noProof/>
        </w:rPr>
      </w:pPr>
      <w:bookmarkStart w:id="10" w:name="_Toc137472449"/>
      <w:bookmarkEnd w:id="9"/>
      <w:r>
        <w:rPr>
          <w:noProof/>
        </w:rPr>
        <w:t>Ieguldījums RE-C05–08: Plašāka digitālā zinātne</w:t>
      </w:r>
      <w:bookmarkEnd w:id="10"/>
    </w:p>
    <w:p w14:paraId="210E9435" w14:textId="77777777" w:rsidR="00776A1F" w:rsidRDefault="00D8574B">
      <w:pPr>
        <w:pStyle w:val="P68B1DB1-Normal4"/>
        <w:rPr>
          <w:rFonts w:cs="Times New Roman"/>
          <w:noProof/>
        </w:rPr>
      </w:pPr>
      <w:r>
        <w:rPr>
          <w:noProof/>
        </w:rPr>
        <w:t>Šā pasākuma mērķis ir paātrināt zinātnes un valsts zinātnes un tehnoloģiju sistēmu atbalstošo pakalpojumu digitālās pārveides un digitalizācijas procesu.</w:t>
      </w:r>
    </w:p>
    <w:p w14:paraId="27ECE621" w14:textId="77777777" w:rsidR="00776A1F" w:rsidRDefault="00D8574B">
      <w:pPr>
        <w:pStyle w:val="P68B1DB1-Normal4"/>
        <w:rPr>
          <w:rFonts w:cs="Times New Roman"/>
          <w:noProof/>
        </w:rPr>
      </w:pPr>
      <w:r>
        <w:rPr>
          <w:noProof/>
        </w:rPr>
        <w:t>Šajā nolūkā ieguldījums:</w:t>
      </w:r>
    </w:p>
    <w:p w14:paraId="46455329" w14:textId="5256B8E3" w:rsidR="00776A1F" w:rsidRDefault="00D8574B">
      <w:pPr>
        <w:pStyle w:val="ListParagraph"/>
        <w:keepNext w:val="0"/>
        <w:numPr>
          <w:ilvl w:val="0"/>
          <w:numId w:val="75"/>
        </w:numPr>
        <w:spacing w:before="120" w:after="120" w:line="240" w:lineRule="auto"/>
        <w:rPr>
          <w:noProof/>
        </w:rPr>
      </w:pPr>
      <w:r>
        <w:rPr>
          <w:noProof/>
        </w:rPr>
        <w:t>Pabeigt “Zinātnes XXI pilsētiņu” un “Zinātnes dienestu” (fizisko un tiešsaistē), kur vienā vietā tiks darīti pieejami pakalpojumi un finansēšanas mehānismi pētniekiem, pētniecības un izstrādes struktūrām un augstākās izglītības iestādēm;</w:t>
      </w:r>
    </w:p>
    <w:p w14:paraId="6C941732" w14:textId="2B79750A" w:rsidR="00776A1F" w:rsidRDefault="00D8574B">
      <w:pPr>
        <w:pStyle w:val="ListParagraph"/>
        <w:keepNext w:val="0"/>
        <w:numPr>
          <w:ilvl w:val="0"/>
          <w:numId w:val="75"/>
        </w:numPr>
        <w:spacing w:before="120" w:after="120" w:line="240" w:lineRule="auto"/>
        <w:rPr>
          <w:noProof/>
        </w:rPr>
      </w:pPr>
      <w:r>
        <w:rPr>
          <w:noProof/>
        </w:rPr>
        <w:t>Izveidot Valsts progresīvās datošanas centru (CNCA), kas aptver Portugāles valsts ieguldījumu jaunajā superdatorā “Deucalion” un pabeigt datu centru/atbalsta infrastruktūru divu superdatoru “Deucalion” un “Mare Nostrum 5” ekspluatācijai;</w:t>
      </w:r>
    </w:p>
    <w:p w14:paraId="084AC810" w14:textId="77777777" w:rsidR="00776A1F" w:rsidRDefault="00D8574B">
      <w:pPr>
        <w:pStyle w:val="ListParagraph"/>
        <w:keepNext w:val="0"/>
        <w:numPr>
          <w:ilvl w:val="0"/>
          <w:numId w:val="75"/>
        </w:numPr>
        <w:spacing w:before="120" w:after="120" w:line="240" w:lineRule="auto"/>
        <w:rPr>
          <w:noProof/>
        </w:rPr>
      </w:pPr>
      <w:r>
        <w:rPr>
          <w:noProof/>
        </w:rPr>
        <w:t>Atbalstīt pētniecības un izstrādes projekta programmas sākšanu, kas vērsta uz progresīvu kiberdrošības, mākslīgā intelekta un datu zinātnes sistēmu izstrādi un īstenošanu valsts pārvaldē, kā arī zinātnisko iespēju programmu;</w:t>
      </w:r>
    </w:p>
    <w:p w14:paraId="37E9BAB2" w14:textId="659E6A48" w:rsidR="00776A1F" w:rsidRDefault="00D8574B">
      <w:pPr>
        <w:pStyle w:val="ListParagraph"/>
        <w:keepNext w:val="0"/>
        <w:numPr>
          <w:ilvl w:val="0"/>
          <w:numId w:val="75"/>
        </w:numPr>
        <w:spacing w:before="120" w:after="120" w:line="240" w:lineRule="auto"/>
        <w:rPr>
          <w:noProof/>
        </w:rPr>
      </w:pPr>
      <w:r>
        <w:rPr>
          <w:noProof/>
        </w:rPr>
        <w:t>Palielināt to kursu skaitu, kas tiek piedāvāti, izmantojot valsts platformu masu tiešsaistes kursiem (NAU);</w:t>
      </w:r>
    </w:p>
    <w:p w14:paraId="1CAC10F0" w14:textId="77777777" w:rsidR="00776A1F" w:rsidRDefault="00D8574B">
      <w:pPr>
        <w:pStyle w:val="ListParagraph"/>
        <w:keepNext w:val="0"/>
        <w:numPr>
          <w:ilvl w:val="0"/>
          <w:numId w:val="75"/>
        </w:numPr>
        <w:spacing w:before="120" w:after="120" w:line="240" w:lineRule="auto"/>
        <w:rPr>
          <w:noProof/>
        </w:rPr>
      </w:pPr>
      <w:r>
        <w:rPr>
          <w:noProof/>
        </w:rPr>
        <w:t>Īstenot Valsts atvērtās zinātnes un pētniecības datu programmu (PNCADAI).</w:t>
      </w:r>
    </w:p>
    <w:p w14:paraId="32824034" w14:textId="77777777" w:rsidR="00776A1F" w:rsidRDefault="00D8574B">
      <w:pPr>
        <w:pStyle w:val="P68B1DB1-Normal4"/>
        <w:rPr>
          <w:rFonts w:cs="Times New Roman"/>
          <w:noProof/>
        </w:rPr>
      </w:pPr>
      <w:r>
        <w:rPr>
          <w:noProof/>
        </w:rPr>
        <w:t>Investīciju īstenošanu pabeidz līdz 2026. gada 31. martam.</w:t>
      </w:r>
    </w:p>
    <w:p w14:paraId="37E57FD8" w14:textId="6C90134D" w:rsidR="00776A1F" w:rsidRDefault="00D8574B">
      <w:pPr>
        <w:pStyle w:val="P68B1DB1-Heading214"/>
        <w:rPr>
          <w:noProof/>
        </w:rPr>
      </w:pPr>
      <w:bookmarkStart w:id="11" w:name="_Toc209238830"/>
      <w:bookmarkStart w:id="12" w:name="_Toc137472447"/>
      <w:r>
        <w:rPr>
          <w:noProof/>
        </w:rPr>
        <w:t>Ieguldījumi RE-C05-i09– — Paplašināšanās: Mobilizācijas programmas/asociācijas uzņēmējdarbības inovācijai</w:t>
      </w:r>
      <w:bookmarkEnd w:id="11"/>
      <w:bookmarkEnd w:id="12"/>
    </w:p>
    <w:p w14:paraId="2416536F" w14:textId="77777777" w:rsidR="00776A1F" w:rsidRDefault="00D8574B">
      <w:pPr>
        <w:pStyle w:val="P68B1DB1-Normal4"/>
        <w:jc w:val="both"/>
        <w:rPr>
          <w:rFonts w:cs="Times New Roman"/>
          <w:noProof/>
        </w:rPr>
      </w:pPr>
      <w:r>
        <w:rPr>
          <w:noProof/>
        </w:rPr>
        <w:t xml:space="preserve">Šā ieguldījuma mērķis ir palielināt ieguldījumus RE-C05-i01.01 5. komponentā. Pasākuma paplašinātā daļa palielina to produktu, procesu vai pakalpojumu skaitu, kas pabeigti saistībā ar Mobilizācijas programmām/apvienībām uzņēmējdarbības inovācijai. </w:t>
      </w:r>
    </w:p>
    <w:p w14:paraId="71CB417C" w14:textId="39E86924" w:rsidR="00776A1F" w:rsidRDefault="00D8574B">
      <w:pPr>
        <w:pStyle w:val="P68B1DB1-Normal4"/>
        <w:jc w:val="both"/>
        <w:rPr>
          <w:rFonts w:eastAsiaTheme="minorEastAsia" w:cs="Times New Roman"/>
          <w:noProof/>
        </w:rPr>
      </w:pPr>
      <w:r>
        <w:rPr>
          <w:noProof/>
        </w:rPr>
        <w:t>Ieguldījumu īstenošanu pabeidz līdz 2025. gada 31. decembrim.</w:t>
      </w:r>
    </w:p>
    <w:p w14:paraId="0EE30DD3" w14:textId="6E416376" w:rsidR="00776A1F" w:rsidRDefault="00D8574B">
      <w:pPr>
        <w:pStyle w:val="P68B1DB1-Heading214"/>
        <w:rPr>
          <w:noProof/>
        </w:rPr>
      </w:pPr>
      <w:bookmarkStart w:id="13" w:name="_Toc137472485"/>
      <w:r>
        <w:rPr>
          <w:noProof/>
        </w:rPr>
        <w:t>Ieguldījumi RE-C05-i10– — Paplašināšanās: Zaļās programmas/asociācijas uzņēmumu inovācijai</w:t>
      </w:r>
      <w:bookmarkEnd w:id="13"/>
    </w:p>
    <w:p w14:paraId="150A2213" w14:textId="5D8DC0D8" w:rsidR="00776A1F" w:rsidRDefault="00D8574B">
      <w:pPr>
        <w:pStyle w:val="P68B1DB1-Normal4"/>
        <w:jc w:val="both"/>
        <w:rPr>
          <w:rFonts w:cs="Times New Roman"/>
          <w:noProof/>
        </w:rPr>
      </w:pPr>
      <w:r>
        <w:rPr>
          <w:noProof/>
        </w:rPr>
        <w:t>Šā ieguldījuma mērķis ir palielināt ieguldījumus RE-C05-i01.02 5. komponentā. Pasākuma paplašinātā daļa palielina to produktu, procesu vai pakalpojumu skaitu, kas iekļauti papildu zaļajās programmās.</w:t>
      </w:r>
    </w:p>
    <w:p w14:paraId="40C9E33B" w14:textId="77777777" w:rsidR="00776A1F" w:rsidRDefault="00D8574B">
      <w:pPr>
        <w:pStyle w:val="P68B1DB1-Normal4"/>
        <w:jc w:val="both"/>
        <w:rPr>
          <w:rFonts w:eastAsiaTheme="minorEastAsia" w:cs="Times New Roman"/>
          <w:noProof/>
        </w:rPr>
      </w:pPr>
      <w:r>
        <w:rPr>
          <w:noProof/>
        </w:rPr>
        <w:t xml:space="preserve">Ieguldījumu īstenošanu pabeidz līdz 2025. gada 31. decembrim. </w:t>
      </w:r>
    </w:p>
    <w:p w14:paraId="2DD7051F" w14:textId="77777777" w:rsidR="00776A1F" w:rsidRDefault="00776A1F">
      <w:pPr>
        <w:rPr>
          <w:rFonts w:ascii="Times New Roman" w:hAnsi="Times New Roman" w:cs="Times New Roman"/>
          <w:noProof/>
          <w:sz w:val="24"/>
        </w:rPr>
      </w:pPr>
    </w:p>
    <w:p w14:paraId="528A2C1C" w14:textId="77777777" w:rsidR="00776A1F" w:rsidRDefault="00776A1F">
      <w:pPr>
        <w:spacing w:line="22" w:lineRule="atLeast"/>
        <w:jc w:val="both"/>
        <w:rPr>
          <w:rFonts w:ascii="Times New Roman" w:hAnsi="Times New Roman" w:cs="Times New Roman"/>
          <w:noProof/>
          <w:sz w:val="24"/>
        </w:rPr>
      </w:pPr>
    </w:p>
    <w:p w14:paraId="040D9F53" w14:textId="77777777" w:rsidR="00776A1F" w:rsidRDefault="00776A1F">
      <w:pPr>
        <w:spacing w:before="40" w:after="0" w:line="259" w:lineRule="auto"/>
        <w:jc w:val="both"/>
        <w:rPr>
          <w:rFonts w:ascii="Times New Roman" w:eastAsiaTheme="minorEastAsia" w:hAnsi="Times New Roman" w:cs="Times New Roman"/>
          <w:noProof/>
          <w:sz w:val="24"/>
        </w:rPr>
        <w:sectPr w:rsidR="00776A1F" w:rsidSect="00E00EDD">
          <w:headerReference w:type="even" r:id="rId96"/>
          <w:headerReference w:type="default" r:id="rId97"/>
          <w:footerReference w:type="even" r:id="rId98"/>
          <w:footerReference w:type="default" r:id="rId99"/>
          <w:headerReference w:type="first" r:id="rId100"/>
          <w:footerReference w:type="first" r:id="rId101"/>
          <w:pgSz w:w="11907" w:h="16839"/>
          <w:pgMar w:top="1134" w:right="1134" w:bottom="1134" w:left="1134" w:header="567" w:footer="567" w:gutter="0"/>
          <w:cols w:space="720"/>
          <w:docGrid w:linePitch="360"/>
        </w:sectPr>
      </w:pPr>
    </w:p>
    <w:p w14:paraId="19A5F577" w14:textId="77777777" w:rsidR="00776A1F" w:rsidRDefault="00776A1F">
      <w:pPr>
        <w:spacing w:before="40" w:after="0" w:line="259" w:lineRule="auto"/>
        <w:jc w:val="both"/>
        <w:rPr>
          <w:rFonts w:ascii="Times New Roman" w:eastAsiaTheme="minorEastAsia" w:hAnsi="Times New Roman" w:cs="Times New Roman"/>
          <w:noProof/>
          <w:sz w:val="24"/>
        </w:rPr>
      </w:pPr>
    </w:p>
    <w:p w14:paraId="0EC6A68F" w14:textId="77777777" w:rsidR="00776A1F" w:rsidRDefault="00D8574B">
      <w:pPr>
        <w:pStyle w:val="P68B1DB1-Normal3"/>
        <w:spacing w:before="40" w:after="0" w:line="259" w:lineRule="auto"/>
        <w:ind w:left="130" w:firstLine="720"/>
        <w:jc w:val="both"/>
        <w:outlineLvl w:val="2"/>
        <w:rPr>
          <w:rFonts w:eastAsiaTheme="minorEastAsia" w:cs="Times New Roman"/>
          <w:noProof/>
        </w:rPr>
      </w:pPr>
      <w:r>
        <w:rPr>
          <w:noProof/>
        </w:rPr>
        <w:t>E.2. Atskaites punkti, mērķrādītāji, citi rādītāji un neatmaksājamā finansiālā atbalsta uzraudzības un īstenošanas grafiks</w:t>
      </w:r>
    </w:p>
    <w:p w14:paraId="75F064A2" w14:textId="77777777" w:rsidR="00776A1F" w:rsidRDefault="00776A1F">
      <w:pPr>
        <w:spacing w:before="40" w:after="0" w:line="259" w:lineRule="auto"/>
        <w:jc w:val="both"/>
        <w:rPr>
          <w:rFonts w:ascii="Times New Roman" w:eastAsiaTheme="minorEastAsia" w:hAnsi="Times New Roman" w:cs="Times New Roman"/>
          <w:noProof/>
          <w:sz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65"/>
        <w:gridCol w:w="976"/>
        <w:gridCol w:w="1668"/>
        <w:gridCol w:w="2029"/>
        <w:gridCol w:w="982"/>
        <w:gridCol w:w="982"/>
        <w:gridCol w:w="626"/>
        <w:gridCol w:w="514"/>
        <w:gridCol w:w="747"/>
        <w:gridCol w:w="3919"/>
      </w:tblGrid>
      <w:tr w:rsidR="00776A1F" w14:paraId="1198CA4A" w14:textId="77777777">
        <w:trPr>
          <w:trHeight w:val="300"/>
          <w:tblHeader/>
        </w:trPr>
        <w:tc>
          <w:tcPr>
            <w:tcW w:w="1134" w:type="dxa"/>
            <w:vMerge w:val="restart"/>
            <w:shd w:val="clear" w:color="auto" w:fill="BDD6EE"/>
            <w:vAlign w:val="center"/>
            <w:hideMark/>
          </w:tcPr>
          <w:p w14:paraId="22518CE5"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165" w:type="dxa"/>
            <w:vMerge w:val="restart"/>
            <w:shd w:val="clear" w:color="auto" w:fill="BDD6EE"/>
            <w:noWrap/>
            <w:vAlign w:val="center"/>
            <w:hideMark/>
          </w:tcPr>
          <w:p w14:paraId="2D96F25A"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976" w:type="dxa"/>
            <w:vMerge w:val="restart"/>
            <w:shd w:val="clear" w:color="auto" w:fill="BDD6EE"/>
            <w:noWrap/>
            <w:vAlign w:val="center"/>
            <w:hideMark/>
          </w:tcPr>
          <w:p w14:paraId="441A5184" w14:textId="53663AE8" w:rsidR="00776A1F" w:rsidRDefault="00D8574B">
            <w:pPr>
              <w:pStyle w:val="P68B1DB1-Normal6"/>
              <w:spacing w:after="0" w:line="240" w:lineRule="auto"/>
              <w:jc w:val="center"/>
              <w:rPr>
                <w:rFonts w:eastAsia="Times New Roman" w:cs="Times New Roman"/>
                <w:noProof/>
              </w:rPr>
            </w:pPr>
            <w:r>
              <w:rPr>
                <w:noProof/>
              </w:rPr>
              <w:t xml:space="preserve">Atskaites punkts/mērķrādītājs </w:t>
            </w:r>
          </w:p>
          <w:p w14:paraId="12DC3346" w14:textId="13EEAED9" w:rsidR="00776A1F" w:rsidRDefault="00776A1F">
            <w:pPr>
              <w:spacing w:after="0" w:line="240" w:lineRule="auto"/>
              <w:rPr>
                <w:rFonts w:ascii="Times New Roman" w:eastAsia="Times New Roman" w:hAnsi="Times New Roman" w:cs="Times New Roman"/>
                <w:b/>
                <w:noProof/>
                <w:sz w:val="18"/>
              </w:rPr>
            </w:pPr>
          </w:p>
        </w:tc>
        <w:tc>
          <w:tcPr>
            <w:tcW w:w="1668" w:type="dxa"/>
            <w:vMerge w:val="restart"/>
            <w:shd w:val="clear" w:color="auto" w:fill="BDD6EE"/>
            <w:noWrap/>
            <w:vAlign w:val="center"/>
            <w:hideMark/>
          </w:tcPr>
          <w:p w14:paraId="24A7D056"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2029" w:type="dxa"/>
            <w:vMerge w:val="restart"/>
            <w:shd w:val="clear" w:color="auto" w:fill="BDD6EE"/>
            <w:noWrap/>
            <w:vAlign w:val="center"/>
            <w:hideMark/>
          </w:tcPr>
          <w:p w14:paraId="54F026CB"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590" w:type="dxa"/>
            <w:gridSpan w:val="3"/>
            <w:shd w:val="clear" w:color="auto" w:fill="BDD6EE"/>
            <w:noWrap/>
            <w:vAlign w:val="center"/>
            <w:hideMark/>
          </w:tcPr>
          <w:p w14:paraId="1C0D1264"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61" w:type="dxa"/>
            <w:gridSpan w:val="2"/>
            <w:shd w:val="clear" w:color="auto" w:fill="BDD6EE"/>
            <w:noWrap/>
            <w:vAlign w:val="center"/>
            <w:hideMark/>
          </w:tcPr>
          <w:p w14:paraId="3C87353C"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19" w:type="dxa"/>
            <w:vMerge w:val="restart"/>
            <w:shd w:val="clear" w:color="auto" w:fill="BDD6EE"/>
            <w:noWrap/>
            <w:vAlign w:val="center"/>
            <w:hideMark/>
          </w:tcPr>
          <w:p w14:paraId="2A120D66"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328E94F7" w14:textId="77777777">
        <w:trPr>
          <w:trHeight w:val="414"/>
          <w:tblHeader/>
        </w:trPr>
        <w:tc>
          <w:tcPr>
            <w:tcW w:w="1134" w:type="dxa"/>
            <w:vMerge/>
            <w:vAlign w:val="center"/>
            <w:hideMark/>
          </w:tcPr>
          <w:p w14:paraId="2D953042" w14:textId="77777777" w:rsidR="00776A1F" w:rsidRDefault="00776A1F">
            <w:pPr>
              <w:spacing w:after="0" w:line="240" w:lineRule="auto"/>
              <w:rPr>
                <w:rFonts w:ascii="Times New Roman" w:eastAsia="Times New Roman" w:hAnsi="Times New Roman" w:cs="Times New Roman"/>
                <w:b/>
                <w:noProof/>
                <w:sz w:val="18"/>
              </w:rPr>
            </w:pPr>
          </w:p>
        </w:tc>
        <w:tc>
          <w:tcPr>
            <w:tcW w:w="1165" w:type="dxa"/>
            <w:vMerge/>
            <w:vAlign w:val="center"/>
            <w:hideMark/>
          </w:tcPr>
          <w:p w14:paraId="4F69105E" w14:textId="77777777" w:rsidR="00776A1F" w:rsidRDefault="00776A1F">
            <w:pPr>
              <w:spacing w:after="0" w:line="240" w:lineRule="auto"/>
              <w:rPr>
                <w:rFonts w:ascii="Times New Roman" w:eastAsia="Times New Roman" w:hAnsi="Times New Roman" w:cs="Times New Roman"/>
                <w:b/>
                <w:noProof/>
                <w:sz w:val="18"/>
              </w:rPr>
            </w:pPr>
          </w:p>
        </w:tc>
        <w:tc>
          <w:tcPr>
            <w:tcW w:w="976" w:type="dxa"/>
            <w:vMerge/>
            <w:noWrap/>
            <w:vAlign w:val="center"/>
            <w:hideMark/>
          </w:tcPr>
          <w:p w14:paraId="0CA5CF6D" w14:textId="53822D8D" w:rsidR="00776A1F" w:rsidRDefault="00776A1F">
            <w:pPr>
              <w:spacing w:after="0" w:line="240" w:lineRule="auto"/>
              <w:rPr>
                <w:rFonts w:ascii="Times New Roman" w:eastAsia="Times New Roman" w:hAnsi="Times New Roman" w:cs="Times New Roman"/>
                <w:b/>
                <w:noProof/>
                <w:sz w:val="18"/>
              </w:rPr>
            </w:pPr>
          </w:p>
        </w:tc>
        <w:tc>
          <w:tcPr>
            <w:tcW w:w="1668" w:type="dxa"/>
            <w:vMerge/>
            <w:vAlign w:val="center"/>
            <w:hideMark/>
          </w:tcPr>
          <w:p w14:paraId="501343F1" w14:textId="77777777" w:rsidR="00776A1F" w:rsidRDefault="00776A1F">
            <w:pPr>
              <w:spacing w:after="0" w:line="240" w:lineRule="auto"/>
              <w:rPr>
                <w:rFonts w:ascii="Times New Roman" w:eastAsia="Times New Roman" w:hAnsi="Times New Roman" w:cs="Times New Roman"/>
                <w:b/>
                <w:noProof/>
                <w:sz w:val="18"/>
              </w:rPr>
            </w:pPr>
          </w:p>
        </w:tc>
        <w:tc>
          <w:tcPr>
            <w:tcW w:w="2029" w:type="dxa"/>
            <w:vMerge/>
            <w:vAlign w:val="center"/>
            <w:hideMark/>
          </w:tcPr>
          <w:p w14:paraId="0E224900" w14:textId="77777777" w:rsidR="00776A1F" w:rsidRDefault="00776A1F">
            <w:pPr>
              <w:spacing w:after="0" w:line="240" w:lineRule="auto"/>
              <w:rPr>
                <w:rFonts w:ascii="Times New Roman" w:eastAsia="Times New Roman" w:hAnsi="Times New Roman" w:cs="Times New Roman"/>
                <w:b/>
                <w:noProof/>
                <w:sz w:val="18"/>
              </w:rPr>
            </w:pPr>
          </w:p>
        </w:tc>
        <w:tc>
          <w:tcPr>
            <w:tcW w:w="982" w:type="dxa"/>
            <w:tcBorders>
              <w:bottom w:val="single" w:sz="4" w:space="0" w:color="auto"/>
            </w:tcBorders>
            <w:shd w:val="clear" w:color="auto" w:fill="BDD6EE"/>
            <w:noWrap/>
            <w:vAlign w:val="center"/>
            <w:hideMark/>
          </w:tcPr>
          <w:p w14:paraId="54572D4F"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82" w:type="dxa"/>
            <w:tcBorders>
              <w:bottom w:val="single" w:sz="4" w:space="0" w:color="auto"/>
            </w:tcBorders>
            <w:shd w:val="clear" w:color="auto" w:fill="BDD6EE"/>
            <w:noWrap/>
            <w:vAlign w:val="center"/>
            <w:hideMark/>
          </w:tcPr>
          <w:p w14:paraId="2F722543"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626" w:type="dxa"/>
            <w:tcBorders>
              <w:bottom w:val="single" w:sz="4" w:space="0" w:color="auto"/>
            </w:tcBorders>
            <w:shd w:val="clear" w:color="auto" w:fill="BDD6EE"/>
            <w:noWrap/>
            <w:vAlign w:val="center"/>
            <w:hideMark/>
          </w:tcPr>
          <w:p w14:paraId="490C54F4"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14" w:type="dxa"/>
            <w:tcBorders>
              <w:bottom w:val="single" w:sz="4" w:space="0" w:color="auto"/>
            </w:tcBorders>
            <w:shd w:val="clear" w:color="auto" w:fill="BDD6EE"/>
            <w:noWrap/>
            <w:vAlign w:val="center"/>
            <w:hideMark/>
          </w:tcPr>
          <w:p w14:paraId="7923F7C5" w14:textId="77777777" w:rsidR="00776A1F" w:rsidRDefault="00D8574B">
            <w:pPr>
              <w:pStyle w:val="P68B1DB1-Normal6"/>
              <w:spacing w:after="0" w:line="240" w:lineRule="auto"/>
              <w:jc w:val="center"/>
              <w:rPr>
                <w:rFonts w:eastAsia="Times New Roman" w:cs="Times New Roman"/>
                <w:noProof/>
              </w:rPr>
            </w:pPr>
            <w:r>
              <w:rPr>
                <w:noProof/>
              </w:rPr>
              <w:t>Q</w:t>
            </w:r>
          </w:p>
        </w:tc>
        <w:tc>
          <w:tcPr>
            <w:tcW w:w="747" w:type="dxa"/>
            <w:tcBorders>
              <w:bottom w:val="single" w:sz="4" w:space="0" w:color="auto"/>
            </w:tcBorders>
            <w:shd w:val="clear" w:color="auto" w:fill="BDD6EE"/>
            <w:noWrap/>
            <w:vAlign w:val="center"/>
            <w:hideMark/>
          </w:tcPr>
          <w:p w14:paraId="73E52651"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19" w:type="dxa"/>
            <w:vMerge/>
            <w:vAlign w:val="center"/>
            <w:hideMark/>
          </w:tcPr>
          <w:p w14:paraId="38FBE50A" w14:textId="77777777" w:rsidR="00776A1F" w:rsidRDefault="00776A1F">
            <w:pPr>
              <w:spacing w:after="0" w:line="240" w:lineRule="auto"/>
              <w:rPr>
                <w:rFonts w:ascii="Times New Roman" w:eastAsia="Times New Roman" w:hAnsi="Times New Roman" w:cs="Times New Roman"/>
                <w:b/>
                <w:noProof/>
                <w:sz w:val="18"/>
              </w:rPr>
            </w:pPr>
          </w:p>
        </w:tc>
      </w:tr>
      <w:tr w:rsidR="00776A1F" w14:paraId="110D1462" w14:textId="77777777">
        <w:trPr>
          <w:trHeight w:val="1328"/>
        </w:trPr>
        <w:tc>
          <w:tcPr>
            <w:tcW w:w="1134" w:type="dxa"/>
            <w:shd w:val="clear" w:color="auto" w:fill="C4EFCE"/>
            <w:vAlign w:val="center"/>
            <w:hideMark/>
          </w:tcPr>
          <w:p w14:paraId="6746EC53" w14:textId="77777777" w:rsidR="00776A1F" w:rsidRDefault="00D8574B">
            <w:pPr>
              <w:pStyle w:val="P68B1DB1-Normal7"/>
              <w:spacing w:after="0" w:line="240" w:lineRule="auto"/>
              <w:jc w:val="center"/>
              <w:rPr>
                <w:rFonts w:eastAsia="Times New Roman" w:cs="Calibri"/>
                <w:noProof/>
              </w:rPr>
            </w:pPr>
            <w:r>
              <w:rPr>
                <w:noProof/>
              </w:rPr>
              <w:t>5.1</w:t>
            </w:r>
          </w:p>
        </w:tc>
        <w:tc>
          <w:tcPr>
            <w:tcW w:w="1165" w:type="dxa"/>
            <w:shd w:val="clear" w:color="auto" w:fill="C4EFCE"/>
            <w:vAlign w:val="center"/>
            <w:hideMark/>
          </w:tcPr>
          <w:p w14:paraId="26E5077E" w14:textId="77777777" w:rsidR="00776A1F" w:rsidRDefault="00D8574B">
            <w:pPr>
              <w:pStyle w:val="P68B1DB1-Normal8"/>
              <w:spacing w:after="0" w:line="240" w:lineRule="auto"/>
              <w:jc w:val="center"/>
              <w:rPr>
                <w:rFonts w:eastAsia="Times New Roman" w:cs="Calibri"/>
                <w:noProof/>
              </w:rPr>
            </w:pPr>
            <w:r>
              <w:rPr>
                <w:noProof/>
              </w:rPr>
              <w:t>Re-C05-r09</w:t>
            </w:r>
          </w:p>
        </w:tc>
        <w:tc>
          <w:tcPr>
            <w:tcW w:w="976" w:type="dxa"/>
            <w:shd w:val="clear" w:color="auto" w:fill="C4EFCE"/>
            <w:vAlign w:val="center"/>
            <w:hideMark/>
          </w:tcPr>
          <w:p w14:paraId="3B5D305C"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1150D1F" w14:textId="77777777" w:rsidR="00776A1F" w:rsidRDefault="00D8574B">
            <w:pPr>
              <w:pStyle w:val="P68B1DB1-Normal8"/>
              <w:spacing w:after="0" w:line="240" w:lineRule="auto"/>
              <w:jc w:val="center"/>
              <w:rPr>
                <w:rFonts w:eastAsia="Times New Roman" w:cs="Calibri"/>
                <w:noProof/>
              </w:rPr>
            </w:pPr>
            <w:r>
              <w:rPr>
                <w:noProof/>
              </w:rPr>
              <w:t>Portugāles 2030. gada tehnoloģiskās un uzņēmējdarbības inovācijas stratēģijas pamatnostādņu atjaunināšana</w:t>
            </w:r>
          </w:p>
        </w:tc>
        <w:tc>
          <w:tcPr>
            <w:tcW w:w="2029" w:type="dxa"/>
            <w:shd w:val="clear" w:color="auto" w:fill="C4EFCE"/>
            <w:vAlign w:val="center"/>
            <w:hideMark/>
          </w:tcPr>
          <w:p w14:paraId="1FA50D9E" w14:textId="77777777" w:rsidR="00776A1F" w:rsidRDefault="00D8574B">
            <w:pPr>
              <w:pStyle w:val="P68B1DB1-Normal8"/>
              <w:spacing w:after="0" w:line="240" w:lineRule="auto"/>
              <w:jc w:val="center"/>
              <w:rPr>
                <w:rFonts w:eastAsia="Times New Roman" w:cs="Calibri"/>
                <w:noProof/>
              </w:rPr>
            </w:pPr>
            <w:r>
              <w:rPr>
                <w:noProof/>
              </w:rPr>
              <w:t>Atjauninātas pamatnostādnes par Portugāles tehnoloģiskās un uzņēmējdarbības inovācijas stratēģiju 2030. gadam</w:t>
            </w:r>
          </w:p>
        </w:tc>
        <w:tc>
          <w:tcPr>
            <w:tcW w:w="982" w:type="dxa"/>
            <w:shd w:val="clear" w:color="auto" w:fill="C4EFCE"/>
            <w:vAlign w:val="center"/>
            <w:hideMark/>
          </w:tcPr>
          <w:p w14:paraId="1A083873"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86A4EC8"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315D3D4A"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1050DF5"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19F55430" w14:textId="77777777" w:rsidR="00776A1F" w:rsidRDefault="00D8574B">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73AB634A" w14:textId="77777777" w:rsidR="00776A1F" w:rsidRDefault="00D8574B">
            <w:pPr>
              <w:pStyle w:val="P68B1DB1-Normal8"/>
              <w:spacing w:after="0" w:line="240" w:lineRule="auto"/>
              <w:jc w:val="both"/>
              <w:rPr>
                <w:rFonts w:eastAsia="Times New Roman" w:cs="Calibri"/>
                <w:noProof/>
              </w:rPr>
            </w:pPr>
            <w:r>
              <w:rPr>
                <w:noProof/>
              </w:rPr>
              <w:t xml:space="preserve">Ministru padomes lēmuma, ar ko apstiprina pamatnostādnes par Portugāles tehnoloģiskās un uzņēmējdarbības inovācijas stratēģiju 2018.–2030. gadam, atjaunināšana, ņemot vērā nesen pieņemto Portugāles stratēģiju 2030. gadam un jaunos ekonomikas atveseļošanas izaicinājumus.  </w:t>
            </w:r>
          </w:p>
        </w:tc>
      </w:tr>
      <w:tr w:rsidR="00776A1F" w14:paraId="5E5E0ADB" w14:textId="77777777">
        <w:trPr>
          <w:trHeight w:val="1134"/>
        </w:trPr>
        <w:tc>
          <w:tcPr>
            <w:tcW w:w="1134" w:type="dxa"/>
            <w:shd w:val="clear" w:color="auto" w:fill="C4EFCE"/>
            <w:vAlign w:val="center"/>
            <w:hideMark/>
          </w:tcPr>
          <w:p w14:paraId="3DD3A8E0" w14:textId="77777777" w:rsidR="00776A1F" w:rsidRDefault="00D8574B">
            <w:pPr>
              <w:pStyle w:val="P68B1DB1-Normal7"/>
              <w:spacing w:after="0" w:line="240" w:lineRule="auto"/>
              <w:jc w:val="center"/>
              <w:rPr>
                <w:rFonts w:eastAsia="Times New Roman" w:cs="Calibri"/>
                <w:noProof/>
              </w:rPr>
            </w:pPr>
            <w:r>
              <w:rPr>
                <w:noProof/>
              </w:rPr>
              <w:t>5.2</w:t>
            </w:r>
          </w:p>
        </w:tc>
        <w:tc>
          <w:tcPr>
            <w:tcW w:w="1165" w:type="dxa"/>
            <w:shd w:val="clear" w:color="auto" w:fill="C4EFCE"/>
            <w:vAlign w:val="center"/>
            <w:hideMark/>
          </w:tcPr>
          <w:p w14:paraId="7C0278D5" w14:textId="77777777" w:rsidR="00776A1F" w:rsidRDefault="00D8574B">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05E26CF5"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A7AA3EE" w14:textId="77777777" w:rsidR="00776A1F" w:rsidRDefault="00D8574B">
            <w:pPr>
              <w:pStyle w:val="P68B1DB1-Normal8"/>
              <w:spacing w:after="0" w:line="240" w:lineRule="auto"/>
              <w:jc w:val="center"/>
              <w:rPr>
                <w:rFonts w:eastAsia="Times New Roman" w:cs="Calibri"/>
                <w:noProof/>
              </w:rPr>
            </w:pPr>
            <w:r>
              <w:rPr>
                <w:noProof/>
              </w:rPr>
              <w:t>Atzīto sadarbības laboratoriju tīkla paplašināšana</w:t>
            </w:r>
          </w:p>
        </w:tc>
        <w:tc>
          <w:tcPr>
            <w:tcW w:w="2029" w:type="dxa"/>
            <w:shd w:val="clear" w:color="auto" w:fill="C4EFCE"/>
            <w:vAlign w:val="center"/>
            <w:hideMark/>
          </w:tcPr>
          <w:p w14:paraId="2DEFD2C1"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475022A"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77E0ED1B" w14:textId="77777777" w:rsidR="00776A1F" w:rsidRDefault="00D8574B">
            <w:pPr>
              <w:pStyle w:val="P68B1DB1-Normal8"/>
              <w:spacing w:after="0" w:line="240" w:lineRule="auto"/>
              <w:jc w:val="center"/>
              <w:rPr>
                <w:rFonts w:eastAsia="Times New Roman" w:cs="Calibri"/>
                <w:noProof/>
              </w:rPr>
            </w:pPr>
            <w:r>
              <w:rPr>
                <w:noProof/>
              </w:rPr>
              <w:t>26</w:t>
            </w:r>
          </w:p>
        </w:tc>
        <w:tc>
          <w:tcPr>
            <w:tcW w:w="626" w:type="dxa"/>
            <w:shd w:val="clear" w:color="auto" w:fill="C4EFCE"/>
            <w:vAlign w:val="center"/>
            <w:hideMark/>
          </w:tcPr>
          <w:p w14:paraId="0AF51B93" w14:textId="77777777" w:rsidR="00776A1F" w:rsidRDefault="00D8574B">
            <w:pPr>
              <w:pStyle w:val="P68B1DB1-Normal8"/>
              <w:spacing w:after="0" w:line="240" w:lineRule="auto"/>
              <w:jc w:val="center"/>
              <w:rPr>
                <w:rFonts w:eastAsia="Times New Roman" w:cs="Calibri"/>
                <w:noProof/>
              </w:rPr>
            </w:pPr>
            <w:r>
              <w:rPr>
                <w:noProof/>
              </w:rPr>
              <w:t>35</w:t>
            </w:r>
          </w:p>
        </w:tc>
        <w:tc>
          <w:tcPr>
            <w:tcW w:w="514" w:type="dxa"/>
            <w:shd w:val="clear" w:color="auto" w:fill="C4EFCE"/>
            <w:vAlign w:val="center"/>
            <w:hideMark/>
          </w:tcPr>
          <w:p w14:paraId="782F8621" w14:textId="77777777" w:rsidR="00776A1F" w:rsidRDefault="00D8574B">
            <w:pPr>
              <w:pStyle w:val="P68B1DB1-Normal8"/>
              <w:spacing w:after="0" w:line="240" w:lineRule="auto"/>
              <w:jc w:val="center"/>
              <w:rPr>
                <w:rFonts w:eastAsia="Times New Roman" w:cs="Calibri"/>
                <w:noProof/>
              </w:rPr>
            </w:pPr>
            <w:r>
              <w:rPr>
                <w:noProof/>
              </w:rPr>
              <w:t>1. CET.</w:t>
            </w:r>
          </w:p>
        </w:tc>
        <w:tc>
          <w:tcPr>
            <w:tcW w:w="747" w:type="dxa"/>
            <w:shd w:val="clear" w:color="auto" w:fill="C4EFCE"/>
            <w:vAlign w:val="center"/>
            <w:hideMark/>
          </w:tcPr>
          <w:p w14:paraId="523994E0" w14:textId="77777777" w:rsidR="00776A1F" w:rsidRDefault="00D8574B">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6113D01" w14:textId="77777777" w:rsidR="00776A1F" w:rsidRDefault="00D8574B">
            <w:pPr>
              <w:pStyle w:val="P68B1DB1-Normal8"/>
              <w:spacing w:after="0" w:line="240" w:lineRule="auto"/>
              <w:jc w:val="both"/>
              <w:rPr>
                <w:rFonts w:eastAsia="Times New Roman" w:cs="Calibri"/>
                <w:noProof/>
              </w:rPr>
            </w:pPr>
            <w:r>
              <w:rPr>
                <w:noProof/>
              </w:rPr>
              <w:t>Jaunu sadarbības laboratoriju kvalifikācijas atzīšana un piešķiršana — Sadarbības laboratoriju tīkla paplašināšana, atzīstot un piešķirot nosaukumu jaunām struktūrām, kas izriet no pieteikumu iesniegšanas un novērtēšanas procesa, ko veic FCT, I.P (Zinātnes un tehnoloģiju fonds) valdes ieceltu ekspertu ar atzītiem starptautiskajiem nopelniem neatkarīga vērtēšanas komisija</w:t>
            </w:r>
          </w:p>
        </w:tc>
      </w:tr>
      <w:tr w:rsidR="00776A1F" w14:paraId="35A3451C" w14:textId="77777777">
        <w:trPr>
          <w:trHeight w:val="832"/>
        </w:trPr>
        <w:tc>
          <w:tcPr>
            <w:tcW w:w="1134" w:type="dxa"/>
            <w:shd w:val="clear" w:color="auto" w:fill="C4EFCE"/>
            <w:vAlign w:val="center"/>
            <w:hideMark/>
          </w:tcPr>
          <w:p w14:paraId="58D355F0" w14:textId="77777777" w:rsidR="00776A1F" w:rsidRDefault="00D8574B">
            <w:pPr>
              <w:pStyle w:val="P68B1DB1-Normal7"/>
              <w:spacing w:after="0" w:line="240" w:lineRule="auto"/>
              <w:jc w:val="center"/>
              <w:rPr>
                <w:rFonts w:eastAsia="Times New Roman" w:cs="Calibri"/>
                <w:noProof/>
              </w:rPr>
            </w:pPr>
            <w:r>
              <w:rPr>
                <w:noProof/>
              </w:rPr>
              <w:t>5.3</w:t>
            </w:r>
          </w:p>
        </w:tc>
        <w:tc>
          <w:tcPr>
            <w:tcW w:w="1165" w:type="dxa"/>
            <w:shd w:val="clear" w:color="auto" w:fill="C4EFCE"/>
            <w:vAlign w:val="center"/>
            <w:hideMark/>
          </w:tcPr>
          <w:p w14:paraId="3E94C4FC" w14:textId="77777777" w:rsidR="00776A1F" w:rsidRDefault="00D8574B">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6C55C77E"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31D325B5" w14:textId="77777777" w:rsidR="00776A1F" w:rsidRDefault="00D8574B">
            <w:pPr>
              <w:pStyle w:val="P68B1DB1-Normal8"/>
              <w:spacing w:after="0" w:line="240" w:lineRule="auto"/>
              <w:jc w:val="center"/>
              <w:rPr>
                <w:rFonts w:eastAsia="Times New Roman" w:cs="Calibri"/>
                <w:noProof/>
              </w:rPr>
            </w:pPr>
            <w:r>
              <w:rPr>
                <w:noProof/>
              </w:rPr>
              <w:t>Jaunā tiesiskā režīma stāšanās spēkā attiecībā uz tehnoloģiju un inovācijas centriem</w:t>
            </w:r>
          </w:p>
        </w:tc>
        <w:tc>
          <w:tcPr>
            <w:tcW w:w="2029" w:type="dxa"/>
            <w:shd w:val="clear" w:color="auto" w:fill="C4EFCE"/>
            <w:vAlign w:val="center"/>
            <w:hideMark/>
          </w:tcPr>
          <w:p w14:paraId="0C5A7131" w14:textId="77777777" w:rsidR="00776A1F" w:rsidRDefault="00D8574B">
            <w:pPr>
              <w:pStyle w:val="P68B1DB1-Normal8"/>
              <w:spacing w:after="0" w:line="240" w:lineRule="auto"/>
              <w:jc w:val="center"/>
              <w:rPr>
                <w:rFonts w:eastAsia="Times New Roman" w:cs="Calibri"/>
                <w:noProof/>
              </w:rPr>
            </w:pPr>
            <w:r>
              <w:rPr>
                <w:noProof/>
              </w:rPr>
              <w:t xml:space="preserve">Jaunā tiesiskā režīma stāšanās spēkā attiecībā uz tehnoloģiju un inovācijas centriem </w:t>
            </w:r>
          </w:p>
        </w:tc>
        <w:tc>
          <w:tcPr>
            <w:tcW w:w="982" w:type="dxa"/>
            <w:shd w:val="clear" w:color="auto" w:fill="C4EFCE"/>
            <w:vAlign w:val="center"/>
            <w:hideMark/>
          </w:tcPr>
          <w:p w14:paraId="04B50F84"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3120DC99"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54BBA269"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D528544"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21CF437E" w14:textId="77777777" w:rsidR="00776A1F" w:rsidRDefault="00D8574B">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75CFEAF" w14:textId="77777777" w:rsidR="00776A1F" w:rsidRDefault="00D8574B">
            <w:pPr>
              <w:pStyle w:val="P68B1DB1-Normal8"/>
              <w:spacing w:after="0" w:line="240" w:lineRule="auto"/>
              <w:jc w:val="both"/>
              <w:rPr>
                <w:rFonts w:eastAsia="Times New Roman" w:cs="Calibri"/>
                <w:noProof/>
              </w:rPr>
            </w:pPr>
            <w:r>
              <w:rPr>
                <w:noProof/>
              </w:rPr>
              <w:t>Tiesību aktos pārskata un standartizē Zinātniskās un tehnoloģiskās sistēmas struktūru tiesisko regulējumu un tiesisko regulējumu, nosakot tās finansēšanas un novērtēšanas modeli.</w:t>
            </w:r>
          </w:p>
        </w:tc>
      </w:tr>
      <w:tr w:rsidR="00776A1F" w14:paraId="0A1CA6E0" w14:textId="77777777">
        <w:trPr>
          <w:trHeight w:val="882"/>
        </w:trPr>
        <w:tc>
          <w:tcPr>
            <w:tcW w:w="1134" w:type="dxa"/>
            <w:shd w:val="clear" w:color="auto" w:fill="C4EFCE"/>
            <w:vAlign w:val="center"/>
            <w:hideMark/>
          </w:tcPr>
          <w:p w14:paraId="539F0C3A" w14:textId="77777777" w:rsidR="00776A1F" w:rsidRDefault="00D8574B">
            <w:pPr>
              <w:pStyle w:val="P68B1DB1-Normal7"/>
              <w:spacing w:after="0" w:line="240" w:lineRule="auto"/>
              <w:jc w:val="center"/>
              <w:rPr>
                <w:rFonts w:eastAsia="Times New Roman" w:cs="Calibri"/>
                <w:noProof/>
              </w:rPr>
            </w:pPr>
            <w:r>
              <w:rPr>
                <w:noProof/>
              </w:rPr>
              <w:t>5.4</w:t>
            </w:r>
          </w:p>
        </w:tc>
        <w:tc>
          <w:tcPr>
            <w:tcW w:w="1165" w:type="dxa"/>
            <w:shd w:val="clear" w:color="auto" w:fill="C4EFCE"/>
            <w:vAlign w:val="center"/>
            <w:hideMark/>
          </w:tcPr>
          <w:p w14:paraId="17A4EABC" w14:textId="77777777" w:rsidR="00776A1F" w:rsidRDefault="00D8574B">
            <w:pPr>
              <w:pStyle w:val="P68B1DB1-Normal8"/>
              <w:spacing w:after="0" w:line="240" w:lineRule="auto"/>
              <w:jc w:val="center"/>
              <w:rPr>
                <w:rFonts w:eastAsia="Times New Roman" w:cs="Calibri"/>
                <w:noProof/>
              </w:rPr>
            </w:pPr>
            <w:r>
              <w:rPr>
                <w:noProof/>
              </w:rPr>
              <w:t>Re-C05-r12</w:t>
            </w:r>
          </w:p>
        </w:tc>
        <w:tc>
          <w:tcPr>
            <w:tcW w:w="976" w:type="dxa"/>
            <w:shd w:val="clear" w:color="auto" w:fill="C4EFCE"/>
            <w:vAlign w:val="center"/>
            <w:hideMark/>
          </w:tcPr>
          <w:p w14:paraId="2CCDE3B9"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71A5F73D" w14:textId="77777777" w:rsidR="00776A1F" w:rsidRDefault="00D8574B">
            <w:pPr>
              <w:pStyle w:val="P68B1DB1-Normal8"/>
              <w:spacing w:after="0" w:line="240" w:lineRule="auto"/>
              <w:jc w:val="center"/>
              <w:rPr>
                <w:rFonts w:eastAsia="Times New Roman" w:cs="Calibri"/>
                <w:noProof/>
              </w:rPr>
            </w:pPr>
            <w:r>
              <w:rPr>
                <w:noProof/>
              </w:rPr>
              <w:t>Inovācijas programmas lauksaimniecībai apstiprināšana</w:t>
            </w:r>
          </w:p>
        </w:tc>
        <w:tc>
          <w:tcPr>
            <w:tcW w:w="2029" w:type="dxa"/>
            <w:shd w:val="clear" w:color="auto" w:fill="C4EFCE"/>
            <w:vAlign w:val="center"/>
            <w:hideMark/>
          </w:tcPr>
          <w:p w14:paraId="070AC07F" w14:textId="77777777" w:rsidR="00776A1F" w:rsidRDefault="00D8574B">
            <w:pPr>
              <w:pStyle w:val="P68B1DB1-Normal8"/>
              <w:spacing w:after="0" w:line="240" w:lineRule="auto"/>
              <w:jc w:val="center"/>
              <w:rPr>
                <w:rFonts w:eastAsia="Times New Roman" w:cs="Calibri"/>
                <w:noProof/>
              </w:rPr>
            </w:pPr>
            <w:r>
              <w:rPr>
                <w:noProof/>
              </w:rPr>
              <w:t>Inovācijas programmas lauksaimniecībai apstiprināšana</w:t>
            </w:r>
          </w:p>
        </w:tc>
        <w:tc>
          <w:tcPr>
            <w:tcW w:w="982" w:type="dxa"/>
            <w:shd w:val="clear" w:color="auto" w:fill="C4EFCE"/>
            <w:vAlign w:val="center"/>
            <w:hideMark/>
          </w:tcPr>
          <w:p w14:paraId="428779D0"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2590ACF"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0D0096C5"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AA4C8CC"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4EB83404" w14:textId="77777777" w:rsidR="00776A1F" w:rsidRDefault="00D8574B">
            <w:pPr>
              <w:pStyle w:val="P68B1DB1-Normal8"/>
              <w:spacing w:after="0" w:line="240" w:lineRule="auto"/>
              <w:jc w:val="center"/>
              <w:rPr>
                <w:rFonts w:eastAsia="Times New Roman" w:cs="Calibri"/>
                <w:noProof/>
              </w:rPr>
            </w:pPr>
            <w:r>
              <w:rPr>
                <w:noProof/>
              </w:rPr>
              <w:t>2020</w:t>
            </w:r>
          </w:p>
        </w:tc>
        <w:tc>
          <w:tcPr>
            <w:tcW w:w="3919" w:type="dxa"/>
            <w:shd w:val="clear" w:color="auto" w:fill="C4EFCE"/>
            <w:vAlign w:val="center"/>
            <w:hideMark/>
          </w:tcPr>
          <w:p w14:paraId="0BB06B9A" w14:textId="77777777" w:rsidR="00776A1F" w:rsidRDefault="00D8574B">
            <w:pPr>
              <w:pStyle w:val="P68B1DB1-Normal8"/>
              <w:spacing w:after="0" w:line="240" w:lineRule="auto"/>
              <w:jc w:val="both"/>
              <w:rPr>
                <w:rFonts w:eastAsia="Times New Roman" w:cs="Calibri"/>
                <w:noProof/>
              </w:rPr>
            </w:pPr>
            <w:r>
              <w:rPr>
                <w:noProof/>
              </w:rPr>
              <w:t>Ministru padomes lēmuma, ar ko apstiprina Lauksaimniecības inovāciju programmu, publicēšana. Ministru padomes lēmums publicēts 15.10.2020.</w:t>
            </w:r>
          </w:p>
        </w:tc>
      </w:tr>
      <w:tr w:rsidR="00776A1F" w14:paraId="32426B30" w14:textId="77777777">
        <w:trPr>
          <w:trHeight w:val="290"/>
        </w:trPr>
        <w:tc>
          <w:tcPr>
            <w:tcW w:w="1134" w:type="dxa"/>
            <w:shd w:val="clear" w:color="auto" w:fill="C4EFCE"/>
            <w:vAlign w:val="center"/>
            <w:hideMark/>
          </w:tcPr>
          <w:p w14:paraId="496B6F04" w14:textId="11995258" w:rsidR="00776A1F" w:rsidRDefault="00D8574B">
            <w:pPr>
              <w:pStyle w:val="P68B1DB1-Normal7"/>
              <w:spacing w:after="0" w:line="240" w:lineRule="auto"/>
              <w:jc w:val="center"/>
              <w:rPr>
                <w:rFonts w:eastAsia="Times New Roman" w:cs="Calibri"/>
                <w:noProof/>
              </w:rPr>
            </w:pPr>
            <w:r>
              <w:rPr>
                <w:noProof/>
              </w:rPr>
              <w:t>5.5</w:t>
            </w:r>
          </w:p>
        </w:tc>
        <w:tc>
          <w:tcPr>
            <w:tcW w:w="1165" w:type="dxa"/>
            <w:shd w:val="clear" w:color="auto" w:fill="C4EFCE"/>
            <w:vAlign w:val="center"/>
            <w:hideMark/>
          </w:tcPr>
          <w:p w14:paraId="398EBCED" w14:textId="77777777" w:rsidR="00776A1F" w:rsidRDefault="00D8574B">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33F2AD16"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FE6E86D" w14:textId="1BD699C7" w:rsidR="00776A1F" w:rsidRDefault="00D8574B">
            <w:pPr>
              <w:pStyle w:val="P68B1DB1-Normal8"/>
              <w:spacing w:after="0" w:line="240" w:lineRule="auto"/>
              <w:jc w:val="center"/>
              <w:rPr>
                <w:rFonts w:eastAsia="Times New Roman" w:cs="Calibri"/>
                <w:noProof/>
              </w:rPr>
            </w:pPr>
            <w:r>
              <w:rPr>
                <w:noProof/>
              </w:rPr>
              <w:t>Līgumu noslēgšana par jaunu produktu, procesu vai pakalpojumu izstrādi attiecīgajās stratēģiskajās jomās (inovācijas programmas).</w:t>
            </w:r>
          </w:p>
        </w:tc>
        <w:tc>
          <w:tcPr>
            <w:tcW w:w="2029" w:type="dxa"/>
            <w:shd w:val="clear" w:color="auto" w:fill="C4EFCE"/>
            <w:vAlign w:val="center"/>
            <w:hideMark/>
          </w:tcPr>
          <w:p w14:paraId="586F89B8"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0335E1"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7836D100"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9FCEC27" w14:textId="77777777" w:rsidR="00776A1F" w:rsidRDefault="00D8574B">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26FC7773"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3E7F441B" w14:textId="77777777" w:rsidR="00776A1F" w:rsidRDefault="00D8574B">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B6D042" w14:textId="77777777" w:rsidR="00776A1F" w:rsidRDefault="00D8574B">
            <w:pPr>
              <w:pStyle w:val="P68B1DB1-Normal8"/>
              <w:spacing w:after="0" w:line="240" w:lineRule="auto"/>
              <w:jc w:val="both"/>
              <w:rPr>
                <w:rFonts w:eastAsia="Times New Roman" w:cs="Calibri"/>
                <w:noProof/>
              </w:rPr>
            </w:pPr>
            <w:r>
              <w:rPr>
                <w:noProof/>
              </w:rPr>
              <w:t xml:space="preserve">Sešu līgumu (inovācijas paktu vai mobilizācijas projektu) noslēgšana ar konsorcijiem, kas ietver: Konsorcija sastāvā esošo vienību identifikācija; </w:t>
            </w:r>
          </w:p>
          <w:p w14:paraId="4551FC29" w14:textId="213B120F" w:rsidR="00776A1F" w:rsidRDefault="00D8574B">
            <w:pPr>
              <w:pStyle w:val="P68B1DB1-Normal8"/>
              <w:spacing w:after="0" w:line="240" w:lineRule="auto"/>
              <w:jc w:val="both"/>
              <w:rPr>
                <w:rFonts w:eastAsia="Times New Roman" w:cs="Calibri"/>
                <w:noProof/>
              </w:rPr>
            </w:pPr>
            <w:r>
              <w:rPr>
                <w:noProof/>
              </w:rPr>
              <w:t>Uzņēmējdarbības plāns/ieguldījums;</w:t>
            </w:r>
          </w:p>
          <w:p w14:paraId="74966FD9" w14:textId="77777777" w:rsidR="00776A1F" w:rsidRDefault="00D8574B">
            <w:pPr>
              <w:pStyle w:val="P68B1DB1-Normal8"/>
              <w:spacing w:after="0" w:line="240" w:lineRule="auto"/>
              <w:jc w:val="both"/>
              <w:rPr>
                <w:rFonts w:eastAsia="Times New Roman" w:cs="Calibri"/>
                <w:noProof/>
              </w:rPr>
            </w:pPr>
            <w:r>
              <w:rPr>
                <w:noProof/>
              </w:rPr>
              <w:t xml:space="preserve">finansējuma summa; </w:t>
            </w:r>
          </w:p>
          <w:p w14:paraId="3EC5A194" w14:textId="77777777" w:rsidR="00776A1F" w:rsidRDefault="00D8574B">
            <w:pPr>
              <w:pStyle w:val="P68B1DB1-Normal8"/>
              <w:spacing w:after="0" w:line="240" w:lineRule="auto"/>
              <w:jc w:val="both"/>
              <w:rPr>
                <w:rFonts w:eastAsia="Times New Roman" w:cs="Calibri"/>
                <w:noProof/>
              </w:rPr>
            </w:pPr>
            <w:r>
              <w:rPr>
                <w:noProof/>
              </w:rPr>
              <w:t xml:space="preserve">Mērķi, kas saņēmējam ir saistoši; </w:t>
            </w:r>
          </w:p>
          <w:p w14:paraId="6A5827B9" w14:textId="77777777" w:rsidR="00776A1F" w:rsidRDefault="00D8574B">
            <w:pPr>
              <w:pStyle w:val="P68B1DB1-Normal8"/>
              <w:spacing w:after="0" w:line="240" w:lineRule="auto"/>
              <w:jc w:val="both"/>
              <w:rPr>
                <w:rFonts w:eastAsia="Times New Roman" w:cs="Calibri"/>
                <w:noProof/>
              </w:rPr>
            </w:pPr>
            <w:r>
              <w:rPr>
                <w:noProof/>
              </w:rPr>
              <w:t xml:space="preserve">Uzraudzības veids. </w:t>
            </w:r>
          </w:p>
          <w:p w14:paraId="336484AB" w14:textId="12D62436" w:rsidR="00776A1F" w:rsidRDefault="00D8574B">
            <w:pPr>
              <w:pStyle w:val="P68B1DB1-Normal8"/>
              <w:spacing w:after="0" w:line="240" w:lineRule="auto"/>
              <w:jc w:val="both"/>
              <w:rPr>
                <w:rFonts w:eastAsia="Times New Roman" w:cs="Calibri"/>
                <w:noProof/>
              </w:rPr>
            </w:pPr>
            <w:r>
              <w:rPr>
                <w:noProof/>
              </w:rPr>
              <w:t>Līgumi kopumā atbalsta vismaz 60 produktus, procesus vai pakalpojumus. Darba uzdevums ietver atbilstības kritērijus, kas nodrošina, ka atlasītie projekti atbilst Tehniskajiem norādījumiem “nenodari būtisku kaitējumu” (2021/C58/01), izmantojot izslēgšanas sarakstu un prasību par atbilstību attiecīgajiem ES un valsts tiesību aktiem vides jomā.</w:t>
            </w:r>
          </w:p>
        </w:tc>
      </w:tr>
      <w:tr w:rsidR="00776A1F" w14:paraId="2A70DAF8" w14:textId="77777777">
        <w:trPr>
          <w:trHeight w:val="1177"/>
        </w:trPr>
        <w:tc>
          <w:tcPr>
            <w:tcW w:w="1134" w:type="dxa"/>
            <w:shd w:val="clear" w:color="auto" w:fill="C4EFCE"/>
            <w:vAlign w:val="center"/>
            <w:hideMark/>
          </w:tcPr>
          <w:p w14:paraId="509D06FA" w14:textId="77777777" w:rsidR="00776A1F" w:rsidRDefault="00D8574B">
            <w:pPr>
              <w:pStyle w:val="P68B1DB1-Normal7"/>
              <w:spacing w:after="0" w:line="240" w:lineRule="auto"/>
              <w:jc w:val="center"/>
              <w:rPr>
                <w:rFonts w:eastAsia="Times New Roman" w:cs="Calibri"/>
                <w:noProof/>
              </w:rPr>
            </w:pPr>
            <w:r>
              <w:rPr>
                <w:noProof/>
              </w:rPr>
              <w:t>5.6</w:t>
            </w:r>
          </w:p>
        </w:tc>
        <w:tc>
          <w:tcPr>
            <w:tcW w:w="1165" w:type="dxa"/>
            <w:shd w:val="clear" w:color="auto" w:fill="C4EFCE"/>
            <w:vAlign w:val="center"/>
            <w:hideMark/>
          </w:tcPr>
          <w:p w14:paraId="33218AE0" w14:textId="77777777" w:rsidR="00776A1F" w:rsidRDefault="00D8574B">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28D975FD"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99030BE" w14:textId="77777777" w:rsidR="00776A1F" w:rsidRDefault="00D8574B">
            <w:pPr>
              <w:pStyle w:val="P68B1DB1-Normal8"/>
              <w:spacing w:after="0" w:line="240" w:lineRule="auto"/>
              <w:jc w:val="center"/>
              <w:rPr>
                <w:rFonts w:eastAsia="Times New Roman" w:cs="Calibri"/>
                <w:noProof/>
              </w:rPr>
            </w:pPr>
            <w:r>
              <w:rPr>
                <w:noProof/>
              </w:rPr>
              <w:t xml:space="preserve">Sešu līgumu (inovācijas pakti vai mobilizācijas projekti) īstenošanas pabeigšana  </w:t>
            </w:r>
          </w:p>
        </w:tc>
        <w:tc>
          <w:tcPr>
            <w:tcW w:w="2029" w:type="dxa"/>
            <w:shd w:val="clear" w:color="auto" w:fill="C4EFCE"/>
            <w:vAlign w:val="center"/>
            <w:hideMark/>
          </w:tcPr>
          <w:p w14:paraId="6BAACDF3"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12ABD6D2"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655CED5C"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90ACFAB" w14:textId="77777777" w:rsidR="00776A1F" w:rsidRDefault="00D8574B">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6ECDA684"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6279F629"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BE5656C" w14:textId="77777777" w:rsidR="00776A1F" w:rsidRDefault="00D8574B">
            <w:pPr>
              <w:pStyle w:val="P68B1DB1-Normal8"/>
              <w:spacing w:after="0" w:line="240" w:lineRule="auto"/>
              <w:jc w:val="both"/>
              <w:rPr>
                <w:rFonts w:eastAsia="Times New Roman" w:cs="Calibri"/>
                <w:noProof/>
              </w:rPr>
            </w:pPr>
            <w:r>
              <w:rPr>
                <w:noProof/>
              </w:rPr>
              <w:t xml:space="preserve">Produktu, procesu vai pakalpojumu pabeigšana attiecīgajās stratēģiskajās jomās, kas izriet no sešu līgumu (inovācijas paktu vai mobilizācijas projektu) īstenošanas, kuri noslēgti ar konsorcijiem. </w:t>
            </w:r>
          </w:p>
        </w:tc>
      </w:tr>
      <w:tr w:rsidR="00776A1F" w14:paraId="6643E212" w14:textId="77777777">
        <w:trPr>
          <w:trHeight w:val="3677"/>
        </w:trPr>
        <w:tc>
          <w:tcPr>
            <w:tcW w:w="1134" w:type="dxa"/>
            <w:shd w:val="clear" w:color="auto" w:fill="C4EFCE"/>
            <w:vAlign w:val="center"/>
            <w:hideMark/>
          </w:tcPr>
          <w:p w14:paraId="468D23F3" w14:textId="77777777" w:rsidR="00776A1F" w:rsidRDefault="00D8574B">
            <w:pPr>
              <w:pStyle w:val="P68B1DB1-Normal7"/>
              <w:spacing w:after="0" w:line="240" w:lineRule="auto"/>
              <w:jc w:val="center"/>
              <w:rPr>
                <w:rFonts w:eastAsia="Times New Roman" w:cs="Calibri"/>
                <w:noProof/>
              </w:rPr>
            </w:pPr>
            <w:r>
              <w:rPr>
                <w:noProof/>
              </w:rPr>
              <w:t>5.7 </w:t>
            </w:r>
          </w:p>
        </w:tc>
        <w:tc>
          <w:tcPr>
            <w:tcW w:w="1165" w:type="dxa"/>
            <w:shd w:val="clear" w:color="auto" w:fill="C4EFCE"/>
            <w:vAlign w:val="center"/>
            <w:hideMark/>
          </w:tcPr>
          <w:p w14:paraId="2FA90289" w14:textId="77777777" w:rsidR="00776A1F" w:rsidRDefault="00D8574B">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01D312C5"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983D09B" w14:textId="4A5620C6" w:rsidR="00776A1F" w:rsidRDefault="00D8574B">
            <w:pPr>
              <w:pStyle w:val="P68B1DB1-Normal8"/>
              <w:spacing w:after="0" w:line="240" w:lineRule="auto"/>
              <w:jc w:val="center"/>
              <w:rPr>
                <w:rFonts w:eastAsia="Times New Roman" w:cs="Calibri"/>
                <w:noProof/>
              </w:rPr>
            </w:pPr>
            <w:r>
              <w:rPr>
                <w:noProof/>
              </w:rPr>
              <w:t xml:space="preserve">Līgumu noslēgšana par jaunu produktu, procesu vai pakalpojumu izstrādi stratēģiskās jomās, kas saistītas ar mazoglekļa ekonomiku, noturību un pielāgošanos klimata pārmaiņām. </w:t>
            </w:r>
          </w:p>
        </w:tc>
        <w:tc>
          <w:tcPr>
            <w:tcW w:w="2029" w:type="dxa"/>
            <w:shd w:val="clear" w:color="auto" w:fill="C4EFCE"/>
            <w:vAlign w:val="center"/>
            <w:hideMark/>
          </w:tcPr>
          <w:p w14:paraId="70E69742"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945C4B9"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6498CFE3"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56C19C5" w14:textId="77777777" w:rsidR="00776A1F" w:rsidRDefault="00D8574B">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2F258065"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4CBB76C3" w14:textId="77777777" w:rsidR="00776A1F" w:rsidRDefault="00D8574B">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F200E4" w14:textId="77777777" w:rsidR="00776A1F" w:rsidRDefault="00D8574B">
            <w:pPr>
              <w:pStyle w:val="P68B1DB1-Normal8"/>
              <w:spacing w:after="0" w:line="240" w:lineRule="auto"/>
              <w:jc w:val="both"/>
              <w:rPr>
                <w:rFonts w:eastAsia="Times New Roman" w:cs="Calibri"/>
                <w:noProof/>
              </w:rPr>
            </w:pPr>
            <w:r>
              <w:rPr>
                <w:noProof/>
              </w:rPr>
              <w:t>Četru līgumu (inovācijas paktu vai mobilizācijas projektu) noslēgšana ar konsorcijiem, kas ietver: Konsorcija sastāvā esošo vienību identifikācija;</w:t>
            </w:r>
          </w:p>
          <w:p w14:paraId="270B450D" w14:textId="4F7D3223" w:rsidR="00776A1F" w:rsidRDefault="00D8574B">
            <w:pPr>
              <w:pStyle w:val="P68B1DB1-Normal8"/>
              <w:spacing w:after="0" w:line="240" w:lineRule="auto"/>
              <w:jc w:val="both"/>
              <w:rPr>
                <w:rFonts w:eastAsia="Times New Roman" w:cs="Calibri"/>
                <w:noProof/>
              </w:rPr>
            </w:pPr>
            <w:r>
              <w:rPr>
                <w:noProof/>
              </w:rPr>
              <w:t xml:space="preserve">Uzņēmējdarbības plāns/ieguldījums; </w:t>
            </w:r>
          </w:p>
          <w:p w14:paraId="026E6977" w14:textId="77777777" w:rsidR="00776A1F" w:rsidRDefault="00D8574B">
            <w:pPr>
              <w:pStyle w:val="P68B1DB1-Normal8"/>
              <w:spacing w:after="0" w:line="240" w:lineRule="auto"/>
              <w:jc w:val="both"/>
              <w:rPr>
                <w:rFonts w:eastAsia="Times New Roman" w:cs="Calibri"/>
                <w:noProof/>
              </w:rPr>
            </w:pPr>
            <w:r>
              <w:rPr>
                <w:noProof/>
              </w:rPr>
              <w:t xml:space="preserve">finansējuma summa; </w:t>
            </w:r>
          </w:p>
          <w:p w14:paraId="3DAD31FF" w14:textId="77777777" w:rsidR="00776A1F" w:rsidRDefault="00D8574B">
            <w:pPr>
              <w:pStyle w:val="P68B1DB1-Normal8"/>
              <w:spacing w:after="0" w:line="240" w:lineRule="auto"/>
              <w:jc w:val="both"/>
              <w:rPr>
                <w:rFonts w:eastAsia="Times New Roman" w:cs="Calibri"/>
                <w:noProof/>
              </w:rPr>
            </w:pPr>
            <w:r>
              <w:rPr>
                <w:noProof/>
              </w:rPr>
              <w:t xml:space="preserve">Mērķi, kas saņēmējam ir saistoši; </w:t>
            </w:r>
          </w:p>
          <w:p w14:paraId="7918E159" w14:textId="77777777" w:rsidR="00776A1F" w:rsidRDefault="00D8574B">
            <w:pPr>
              <w:pStyle w:val="P68B1DB1-Normal8"/>
              <w:spacing w:after="0" w:line="240" w:lineRule="auto"/>
              <w:jc w:val="both"/>
              <w:rPr>
                <w:rFonts w:eastAsia="Times New Roman" w:cs="Calibri"/>
                <w:noProof/>
              </w:rPr>
            </w:pPr>
            <w:r>
              <w:rPr>
                <w:noProof/>
              </w:rPr>
              <w:t>Uzraudzības veids.</w:t>
            </w:r>
          </w:p>
          <w:p w14:paraId="663B5E0B" w14:textId="77777777" w:rsidR="00776A1F" w:rsidRDefault="00776A1F">
            <w:pPr>
              <w:spacing w:after="0" w:line="240" w:lineRule="auto"/>
              <w:jc w:val="both"/>
              <w:rPr>
                <w:rFonts w:ascii="Calibri" w:eastAsia="Times New Roman" w:hAnsi="Calibri" w:cs="Calibri"/>
                <w:noProof/>
                <w:sz w:val="16"/>
              </w:rPr>
            </w:pPr>
          </w:p>
          <w:p w14:paraId="4EC7E909" w14:textId="1C2F6D07" w:rsidR="00776A1F" w:rsidRDefault="00D8574B">
            <w:pPr>
              <w:pStyle w:val="P68B1DB1-Normal9"/>
              <w:spacing w:after="0" w:line="240" w:lineRule="auto"/>
              <w:jc w:val="both"/>
              <w:rPr>
                <w:rFonts w:eastAsia="Times New Roman" w:cs="Calibri"/>
                <w:noProof/>
                <w:sz w:val="16"/>
              </w:rPr>
            </w:pPr>
            <w:r>
              <w:rPr>
                <w:noProof/>
                <w:sz w:val="16"/>
              </w:rPr>
              <w:t>Līgumi atbalsta kopumā vismaz 40 produktus, procesus vai pakalpojumus un atspoguļo saskaņotību ar intervences jomu 022 (Pētniecības un inovācijas procesi, tehnoloģiju nodošana un sadarbība starp uzņēmumiem, īpašu uzmanību pievēršot mazoglekļa ekonomikai un noturībai un pielāgošanās klimata pārmaiņām).</w:t>
            </w:r>
            <w:r>
              <w:rPr>
                <w:noProof/>
              </w:rPr>
              <w:t xml:space="preserve"> </w:t>
            </w:r>
            <w:r>
              <w:rPr>
                <w:noProof/>
                <w:sz w:val="16"/>
              </w:rPr>
              <w:t>Darba uzdevums ietver atbilstības kritērijus, kas nodrošina, ka atlasītie projekti atbilst Tehniskajiem norādījumiem “nenodari būtisku kaitējumu” (2021/C58/01), izmantojot izslēgšanas sarakstu un prasību par atbilstību attiecīgajiem ES un valsts tiesību aktiem vides jomā.</w:t>
            </w:r>
          </w:p>
        </w:tc>
      </w:tr>
      <w:tr w:rsidR="00776A1F" w14:paraId="7CCE9FC2" w14:textId="77777777">
        <w:trPr>
          <w:trHeight w:val="1405"/>
        </w:trPr>
        <w:tc>
          <w:tcPr>
            <w:tcW w:w="1134" w:type="dxa"/>
            <w:shd w:val="clear" w:color="auto" w:fill="C4EFCE"/>
            <w:vAlign w:val="center"/>
            <w:hideMark/>
          </w:tcPr>
          <w:p w14:paraId="42B4F12E" w14:textId="77777777" w:rsidR="00776A1F" w:rsidRDefault="00D8574B">
            <w:pPr>
              <w:pStyle w:val="P68B1DB1-Normal7"/>
              <w:spacing w:after="0" w:line="240" w:lineRule="auto"/>
              <w:jc w:val="center"/>
              <w:rPr>
                <w:rFonts w:eastAsia="Times New Roman" w:cs="Calibri"/>
                <w:noProof/>
              </w:rPr>
            </w:pPr>
            <w:r>
              <w:rPr>
                <w:noProof/>
              </w:rPr>
              <w:t>5.8</w:t>
            </w:r>
          </w:p>
        </w:tc>
        <w:tc>
          <w:tcPr>
            <w:tcW w:w="1165" w:type="dxa"/>
            <w:shd w:val="clear" w:color="auto" w:fill="C4EFCE"/>
            <w:vAlign w:val="center"/>
            <w:hideMark/>
          </w:tcPr>
          <w:p w14:paraId="32953778" w14:textId="77777777" w:rsidR="00776A1F" w:rsidRDefault="00D8574B">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217DD48E"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3501CE1" w14:textId="77777777" w:rsidR="00776A1F" w:rsidRDefault="00D8574B">
            <w:pPr>
              <w:pStyle w:val="P68B1DB1-Normal8"/>
              <w:spacing w:after="0" w:line="240" w:lineRule="auto"/>
              <w:jc w:val="center"/>
              <w:rPr>
                <w:rFonts w:eastAsia="Times New Roman" w:cs="Calibri"/>
                <w:noProof/>
              </w:rPr>
            </w:pPr>
            <w:r>
              <w:rPr>
                <w:noProof/>
              </w:rPr>
              <w:t xml:space="preserve">Pabeigti produkti, procesi vai pakalpojumi, kas saistīti ar mazoglekļa ekonomiku, noturību un pielāgošanos klimata pārmaiņām </w:t>
            </w:r>
          </w:p>
        </w:tc>
        <w:tc>
          <w:tcPr>
            <w:tcW w:w="2029" w:type="dxa"/>
            <w:shd w:val="clear" w:color="auto" w:fill="C4EFCE"/>
            <w:vAlign w:val="center"/>
            <w:hideMark/>
          </w:tcPr>
          <w:p w14:paraId="6370E703"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D5B40EB"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30D6679D"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C51CFC6" w14:textId="77777777" w:rsidR="00776A1F" w:rsidRDefault="00D8574B">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599C9B52"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67FF8210"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502D8185" w14:textId="77777777" w:rsidR="00776A1F" w:rsidRDefault="00D8574B">
            <w:pPr>
              <w:pStyle w:val="P68B1DB1-Normal8"/>
              <w:spacing w:after="0" w:line="240" w:lineRule="auto"/>
              <w:jc w:val="both"/>
              <w:rPr>
                <w:rFonts w:eastAsia="Times New Roman" w:cs="Calibri"/>
                <w:noProof/>
              </w:rPr>
            </w:pPr>
            <w:r>
              <w:rPr>
                <w:noProof/>
              </w:rPr>
              <w:t>Produktu, procesu vai pakalpojumu pabeigšana, kas izriet no četru līgumu (inovācijas paktu vai mobilizācijas projektu) īstenošanas, kuri noslēgti ar konsorcijiem un kuri atspoguļo saskaņotību ar intervences jomu 022 (Pētniecības un inovācijas procesi, tehnoloģiju nodošana un sadarbība starp uzņēmumiem, īpašu uzmanību pievēršot ekonomikai ar zemu oglekļa dioksīda emisiju līmeni, noturībai un pielāgošanās klimata pārmaiņām).</w:t>
            </w:r>
          </w:p>
        </w:tc>
      </w:tr>
      <w:tr w:rsidR="00776A1F" w14:paraId="7306DD3C" w14:textId="77777777">
        <w:trPr>
          <w:trHeight w:val="420"/>
        </w:trPr>
        <w:tc>
          <w:tcPr>
            <w:tcW w:w="1134" w:type="dxa"/>
            <w:shd w:val="clear" w:color="auto" w:fill="C4EFCE"/>
            <w:vAlign w:val="center"/>
            <w:hideMark/>
          </w:tcPr>
          <w:p w14:paraId="1DD3CA84" w14:textId="77777777" w:rsidR="00776A1F" w:rsidRDefault="00D8574B">
            <w:pPr>
              <w:pStyle w:val="P68B1DB1-Normal7"/>
              <w:spacing w:after="0" w:line="240" w:lineRule="auto"/>
              <w:jc w:val="center"/>
              <w:rPr>
                <w:rFonts w:eastAsia="Times New Roman" w:cs="Calibri"/>
                <w:noProof/>
              </w:rPr>
            </w:pPr>
            <w:r>
              <w:rPr>
                <w:noProof/>
              </w:rPr>
              <w:t>5.9</w:t>
            </w:r>
          </w:p>
        </w:tc>
        <w:tc>
          <w:tcPr>
            <w:tcW w:w="1165" w:type="dxa"/>
            <w:shd w:val="clear" w:color="auto" w:fill="C4EFCE"/>
            <w:vAlign w:val="center"/>
            <w:hideMark/>
          </w:tcPr>
          <w:p w14:paraId="610CF94D" w14:textId="77777777" w:rsidR="00776A1F" w:rsidRDefault="00D8574B">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49C4E686"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21CC7D92" w14:textId="62765798" w:rsidR="00776A1F" w:rsidRDefault="00D8574B">
            <w:pPr>
              <w:pStyle w:val="P68B1DB1-Normal8"/>
              <w:spacing w:after="0" w:line="240" w:lineRule="auto"/>
              <w:jc w:val="center"/>
              <w:rPr>
                <w:rFonts w:eastAsia="Times New Roman" w:cs="Calibri"/>
                <w:noProof/>
              </w:rPr>
            </w:pPr>
            <w:r>
              <w:rPr>
                <w:noProof/>
              </w:rPr>
              <w:t xml:space="preserve">Noslēgtie līgumi ar saskarnes struktūrām, tostarp sadarbības laboratorijām un sadarbības laboratorijām </w:t>
            </w:r>
          </w:p>
        </w:tc>
        <w:tc>
          <w:tcPr>
            <w:tcW w:w="2029" w:type="dxa"/>
            <w:shd w:val="clear" w:color="auto" w:fill="C4EFCE"/>
            <w:vAlign w:val="center"/>
            <w:hideMark/>
          </w:tcPr>
          <w:p w14:paraId="3CFA0A2E"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F654CC4"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4C3EF509"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64B4173" w14:textId="77777777" w:rsidR="00776A1F" w:rsidRDefault="00D8574B">
            <w:pPr>
              <w:pStyle w:val="P68B1DB1-Normal8"/>
              <w:spacing w:after="0" w:line="240" w:lineRule="auto"/>
              <w:jc w:val="center"/>
              <w:rPr>
                <w:rFonts w:eastAsia="Times New Roman" w:cs="Calibri"/>
                <w:noProof/>
              </w:rPr>
            </w:pPr>
            <w:r>
              <w:rPr>
                <w:noProof/>
              </w:rPr>
              <w:t>20</w:t>
            </w:r>
          </w:p>
        </w:tc>
        <w:tc>
          <w:tcPr>
            <w:tcW w:w="514" w:type="dxa"/>
            <w:shd w:val="clear" w:color="auto" w:fill="C4EFCE"/>
            <w:vAlign w:val="center"/>
            <w:hideMark/>
          </w:tcPr>
          <w:p w14:paraId="301A90D3"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0632C366" w14:textId="77777777" w:rsidR="00776A1F" w:rsidRDefault="00D8574B">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41D8E0A7" w14:textId="77777777" w:rsidR="00776A1F" w:rsidRDefault="00D8574B">
            <w:pPr>
              <w:pStyle w:val="P68B1DB1-Normal8"/>
              <w:spacing w:after="0" w:line="240" w:lineRule="auto"/>
              <w:jc w:val="both"/>
              <w:rPr>
                <w:rFonts w:eastAsia="Times New Roman" w:cs="Calibri"/>
                <w:noProof/>
              </w:rPr>
            </w:pPr>
            <w:r>
              <w:rPr>
                <w:noProof/>
              </w:rPr>
              <w:t xml:space="preserve">Pēc uzaicinājuma iesniegt piedāvājumus atbalstāmo subjektu atlase. Šis uzaicinājums attiecas tikai uz ierosinātājiem, kas atzīti par “saskarnes” struktūrām vai sadarbības laboratorijām. </w:t>
            </w:r>
          </w:p>
          <w:p w14:paraId="7F724A76" w14:textId="77777777" w:rsidR="00776A1F" w:rsidRDefault="00776A1F">
            <w:pPr>
              <w:spacing w:after="0" w:line="240" w:lineRule="auto"/>
              <w:jc w:val="both"/>
              <w:rPr>
                <w:rFonts w:ascii="Calibri" w:eastAsia="Times New Roman" w:hAnsi="Calibri" w:cs="Calibri"/>
                <w:noProof/>
                <w:sz w:val="16"/>
              </w:rPr>
            </w:pPr>
          </w:p>
          <w:p w14:paraId="647EE43D" w14:textId="710B48F1" w:rsidR="00776A1F" w:rsidRDefault="00D8574B">
            <w:pPr>
              <w:pStyle w:val="P68B1DB1-Normal9"/>
              <w:spacing w:after="0" w:line="240" w:lineRule="auto"/>
              <w:jc w:val="both"/>
              <w:rPr>
                <w:rFonts w:eastAsia="Times New Roman" w:cs="Calibri"/>
                <w:noProof/>
                <w:sz w:val="16"/>
              </w:rPr>
            </w:pPr>
            <w:r>
              <w:rPr>
                <w:noProof/>
                <w:sz w:val="16"/>
              </w:rPr>
              <w:t>Līgumi atspoguļo saskaņotību ar intervences jomām 021 (Tehnoloģiju nodošana un sadarbība starp uzņēmumiem, pētniecības centriem un izglītības nozari) un/vai 022 (Pētniecības un inovācijas procesi, tehnoloģiju nodošana un sadarbība starp uzņēmumiem, koncentrējoties uz ekonomiku ar zemu oglekļa dioksīda emisiju līmeni un noturību un pielāgošanos klimata pārmaiņām).</w:t>
            </w:r>
            <w:r>
              <w:rPr>
                <w:noProof/>
              </w:rPr>
              <w:t xml:space="preserve"> </w:t>
            </w:r>
            <w:r>
              <w:rPr>
                <w:noProof/>
                <w:sz w:val="16"/>
              </w:rPr>
              <w:t>Darba uzdevums ietver atbilstības kritērijus, kas nodrošina, ka atlasītie projekti atbilst Tehniskajiem norādījumiem “nenodari būtisku kaitējumu” (2021/C58/01), izmantojot izslēgšanas sarakstu un prasību par atbilstību attiecīgajiem ES un valsts tiesību aktiem vides jomā.</w:t>
            </w:r>
          </w:p>
        </w:tc>
      </w:tr>
      <w:tr w:rsidR="00776A1F" w14:paraId="5DDFFD35" w14:textId="77777777">
        <w:trPr>
          <w:trHeight w:val="1366"/>
        </w:trPr>
        <w:tc>
          <w:tcPr>
            <w:tcW w:w="1134" w:type="dxa"/>
            <w:shd w:val="clear" w:color="auto" w:fill="C4EFCE"/>
            <w:vAlign w:val="center"/>
            <w:hideMark/>
          </w:tcPr>
          <w:p w14:paraId="4A7C31C4" w14:textId="77777777" w:rsidR="00776A1F" w:rsidRDefault="00D8574B">
            <w:pPr>
              <w:pStyle w:val="P68B1DB1-Normal7"/>
              <w:spacing w:after="0" w:line="240" w:lineRule="auto"/>
              <w:jc w:val="center"/>
              <w:rPr>
                <w:rFonts w:eastAsia="Times New Roman" w:cs="Calibri"/>
                <w:noProof/>
              </w:rPr>
            </w:pPr>
            <w:r>
              <w:rPr>
                <w:noProof/>
              </w:rPr>
              <w:t>5.10</w:t>
            </w:r>
          </w:p>
        </w:tc>
        <w:tc>
          <w:tcPr>
            <w:tcW w:w="1165" w:type="dxa"/>
            <w:shd w:val="clear" w:color="auto" w:fill="C4EFCE"/>
            <w:vAlign w:val="center"/>
            <w:hideMark/>
          </w:tcPr>
          <w:p w14:paraId="198E11A9" w14:textId="77777777" w:rsidR="00776A1F" w:rsidRDefault="00D8574B">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7A48319F"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EA48790" w14:textId="77777777" w:rsidR="00776A1F" w:rsidRDefault="00D8574B">
            <w:pPr>
              <w:pStyle w:val="P68B1DB1-Normal8"/>
              <w:spacing w:after="0" w:line="240" w:lineRule="auto"/>
              <w:jc w:val="center"/>
              <w:rPr>
                <w:rFonts w:eastAsia="Times New Roman" w:cs="Calibri"/>
                <w:noProof/>
              </w:rPr>
            </w:pPr>
            <w:r>
              <w:rPr>
                <w:noProof/>
              </w:rPr>
              <w:t>Uzņēmumi, kas gūst labumu no pakalpojumiem, ko sniedz saskarnes struktūras, tostarp sadarbīgās laboratorijas — Colabs</w:t>
            </w:r>
          </w:p>
        </w:tc>
        <w:tc>
          <w:tcPr>
            <w:tcW w:w="2029" w:type="dxa"/>
            <w:shd w:val="clear" w:color="auto" w:fill="C4EFCE"/>
            <w:vAlign w:val="center"/>
            <w:hideMark/>
          </w:tcPr>
          <w:p w14:paraId="48F1813E"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3F810DF"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0EAC23B1"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CE1E755" w14:textId="77777777" w:rsidR="00776A1F" w:rsidRDefault="00D8574B">
            <w:pPr>
              <w:pStyle w:val="P68B1DB1-Normal8"/>
              <w:spacing w:after="0" w:line="240" w:lineRule="auto"/>
              <w:jc w:val="center"/>
              <w:rPr>
                <w:rFonts w:eastAsia="Times New Roman" w:cs="Calibri"/>
                <w:noProof/>
              </w:rPr>
            </w:pPr>
            <w:r>
              <w:rPr>
                <w:noProof/>
              </w:rPr>
              <w:t>500</w:t>
            </w:r>
          </w:p>
        </w:tc>
        <w:tc>
          <w:tcPr>
            <w:tcW w:w="514" w:type="dxa"/>
            <w:shd w:val="clear" w:color="auto" w:fill="C4EFCE"/>
            <w:vAlign w:val="center"/>
            <w:hideMark/>
          </w:tcPr>
          <w:p w14:paraId="0174A444"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72CE65E5"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327EDF0" w14:textId="77777777" w:rsidR="00776A1F" w:rsidRDefault="00D8574B">
            <w:pPr>
              <w:pStyle w:val="P68B1DB1-Normal8"/>
              <w:spacing w:after="0" w:line="240" w:lineRule="auto"/>
              <w:jc w:val="both"/>
              <w:rPr>
                <w:rFonts w:eastAsia="Times New Roman" w:cs="Calibri"/>
                <w:noProof/>
              </w:rPr>
            </w:pPr>
            <w:r>
              <w:rPr>
                <w:noProof/>
              </w:rPr>
              <w:t>Īstenošanas ziņojumi, kas saskarnes struktūrām jāiesniedz katru gadu, ļauj novērtēt kvantitatīvo progresu attiecībā pret konkrētajiem mērķiem, kas noteikti, piešķirot pamata finansējumu, jo īpaši to uzņēmumu skaitu, kuri gūst labumu no sniegtajiem pakalpojumiem.</w:t>
            </w:r>
          </w:p>
        </w:tc>
      </w:tr>
      <w:tr w:rsidR="00776A1F" w14:paraId="296A7EE2" w14:textId="77777777">
        <w:trPr>
          <w:trHeight w:val="420"/>
        </w:trPr>
        <w:tc>
          <w:tcPr>
            <w:tcW w:w="1134" w:type="dxa"/>
            <w:shd w:val="clear" w:color="auto" w:fill="C4EFCE"/>
            <w:vAlign w:val="center"/>
            <w:hideMark/>
          </w:tcPr>
          <w:p w14:paraId="7501BF2E" w14:textId="0A9B9B12" w:rsidR="00776A1F" w:rsidRDefault="00D8574B">
            <w:pPr>
              <w:pStyle w:val="P68B1DB1-Normal7"/>
              <w:spacing w:after="0" w:line="240" w:lineRule="auto"/>
              <w:jc w:val="center"/>
              <w:rPr>
                <w:rFonts w:eastAsia="Times New Roman" w:cs="Calibri"/>
                <w:noProof/>
              </w:rPr>
            </w:pPr>
            <w:r>
              <w:rPr>
                <w:noProof/>
              </w:rPr>
              <w:t>5.11</w:t>
            </w:r>
          </w:p>
        </w:tc>
        <w:tc>
          <w:tcPr>
            <w:tcW w:w="1165" w:type="dxa"/>
            <w:shd w:val="clear" w:color="auto" w:fill="C4EFCE"/>
            <w:vAlign w:val="center"/>
            <w:hideMark/>
          </w:tcPr>
          <w:p w14:paraId="5F103B40" w14:textId="77777777" w:rsidR="00776A1F" w:rsidRDefault="00D8574B">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BDE3B0"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BD49DD1" w14:textId="77777777" w:rsidR="00776A1F" w:rsidRDefault="00D8574B">
            <w:pPr>
              <w:pStyle w:val="P68B1DB1-Normal8"/>
              <w:spacing w:after="0" w:line="240" w:lineRule="auto"/>
              <w:jc w:val="center"/>
              <w:rPr>
                <w:rFonts w:eastAsia="Times New Roman" w:cs="Calibri"/>
                <w:noProof/>
              </w:rPr>
            </w:pPr>
            <w:r>
              <w:rPr>
                <w:noProof/>
              </w:rPr>
              <w:t xml:space="preserve">Konkursa procedūra pētniecības un inovācijas projektiem </w:t>
            </w:r>
          </w:p>
        </w:tc>
        <w:tc>
          <w:tcPr>
            <w:tcW w:w="2029" w:type="dxa"/>
            <w:shd w:val="clear" w:color="auto" w:fill="C4EFCE"/>
            <w:vAlign w:val="center"/>
            <w:hideMark/>
          </w:tcPr>
          <w:p w14:paraId="56B754AF" w14:textId="77777777" w:rsidR="00776A1F" w:rsidRDefault="00D8574B">
            <w:pPr>
              <w:pStyle w:val="P68B1DB1-Normal8"/>
              <w:spacing w:after="0" w:line="240" w:lineRule="auto"/>
              <w:jc w:val="center"/>
              <w:rPr>
                <w:rFonts w:eastAsia="Times New Roman" w:cs="Calibri"/>
                <w:noProof/>
              </w:rPr>
            </w:pPr>
            <w:r>
              <w:rPr>
                <w:noProof/>
              </w:rPr>
              <w:t xml:space="preserve">Paziņojuma publicēšana par konkursa procedūras uzsākšanu pētniecības un inovācijas projektiem </w:t>
            </w:r>
          </w:p>
        </w:tc>
        <w:tc>
          <w:tcPr>
            <w:tcW w:w="982" w:type="dxa"/>
            <w:shd w:val="clear" w:color="auto" w:fill="C4EFCE"/>
            <w:vAlign w:val="center"/>
            <w:hideMark/>
          </w:tcPr>
          <w:p w14:paraId="52389DDB"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10CC40E"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1CA43B3"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793F21D" w14:textId="77777777" w:rsidR="00776A1F" w:rsidRDefault="00D8574B">
            <w:pPr>
              <w:pStyle w:val="P68B1DB1-Normal8"/>
              <w:spacing w:after="0" w:line="240" w:lineRule="auto"/>
              <w:jc w:val="center"/>
              <w:rPr>
                <w:rFonts w:eastAsia="Times New Roman" w:cs="Calibri"/>
                <w:noProof/>
              </w:rPr>
            </w:pPr>
            <w:r>
              <w:rPr>
                <w:noProof/>
              </w:rPr>
              <w:t>3. CET.</w:t>
            </w:r>
          </w:p>
        </w:tc>
        <w:tc>
          <w:tcPr>
            <w:tcW w:w="747" w:type="dxa"/>
            <w:shd w:val="clear" w:color="auto" w:fill="C4EFCE"/>
            <w:vAlign w:val="center"/>
            <w:hideMark/>
          </w:tcPr>
          <w:p w14:paraId="51BBEBF8" w14:textId="77777777" w:rsidR="00776A1F" w:rsidRDefault="00D8574B">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9C4175C" w14:textId="77777777" w:rsidR="00776A1F" w:rsidRDefault="00D8574B">
            <w:pPr>
              <w:pStyle w:val="P68B1DB1-Normal8"/>
              <w:spacing w:after="0" w:line="240" w:lineRule="auto"/>
              <w:jc w:val="both"/>
              <w:rPr>
                <w:rFonts w:eastAsia="Times New Roman" w:cs="Calibri"/>
                <w:noProof/>
              </w:rPr>
            </w:pPr>
            <w:r>
              <w:rPr>
                <w:noProof/>
              </w:rPr>
              <w:t xml:space="preserve">Konkursa izsludināšana par pētniecības un inovācijas programmām/projektiem, kas finansējami saskaņā ar iniciatīvām, kuras paredzētas Lauksaimniecības inovācijas programmā 2030. gadam. </w:t>
            </w:r>
          </w:p>
          <w:p w14:paraId="424377D2" w14:textId="77777777" w:rsidR="00776A1F" w:rsidRDefault="00776A1F">
            <w:pPr>
              <w:spacing w:after="0" w:line="240" w:lineRule="auto"/>
              <w:jc w:val="both"/>
              <w:rPr>
                <w:rFonts w:ascii="Calibri" w:eastAsia="Times New Roman" w:hAnsi="Calibri" w:cs="Calibri"/>
                <w:noProof/>
                <w:sz w:val="16"/>
              </w:rPr>
            </w:pPr>
          </w:p>
          <w:p w14:paraId="4EAA924A" w14:textId="77777777" w:rsidR="00776A1F" w:rsidRDefault="00D8574B">
            <w:pPr>
              <w:pStyle w:val="P68B1DB1-Normal8"/>
              <w:spacing w:after="0" w:line="240" w:lineRule="auto"/>
              <w:jc w:val="both"/>
              <w:rPr>
                <w:rFonts w:eastAsia="Times New Roman" w:cs="Calibri"/>
                <w:noProof/>
              </w:rPr>
            </w:pPr>
            <w:r>
              <w:rPr>
                <w:noProof/>
              </w:rPr>
              <w:t xml:space="preserve">Darba uzdevumā iekļauj atbilstības kritērijus, kas nodrošina, ka atlasītie projekti atbilst tehniskajiem norādījumiem “Nenodari būtisku kaitējumu” (2021/C58/01), izmantojot izslēgšanas sarakstu un prasību par atbilstību attiecīgajiem ES un valsts tiesību aktiem vides jomā. Atlases kritēriji nodrošina, ka projekti ir vērsti vai nu uz: </w:t>
            </w:r>
          </w:p>
          <w:p w14:paraId="6AB443B7" w14:textId="3523683F" w:rsidR="00776A1F" w:rsidRDefault="00D8574B">
            <w:pPr>
              <w:pStyle w:val="P68B1DB1-Normal8"/>
              <w:spacing w:after="0" w:line="240" w:lineRule="auto"/>
              <w:rPr>
                <w:rFonts w:eastAsia="Times New Roman" w:cs="Calibri"/>
                <w:noProof/>
              </w:rPr>
            </w:pPr>
            <w:r>
              <w:rPr>
                <w:noProof/>
              </w:rPr>
              <w:t xml:space="preserve">par ekonomiku ar zemu oglekļa dioksīda emisiju līmeni, noturību un pielāgošanos klimata pārmaiņām, samazinot emisijas, palielinot oglekļa sekvestrāciju vai stiprinot noturību un pielāgošanos klimata pārmaiņām, atspoguļojot intervences jomas 022 prasības, kā norādīts ANM regulas VI pielikumā </w:t>
            </w:r>
          </w:p>
          <w:p w14:paraId="31587418" w14:textId="3A5A6E5D" w:rsidR="00776A1F" w:rsidRDefault="00D8574B">
            <w:pPr>
              <w:pStyle w:val="P68B1DB1-Normal8"/>
              <w:spacing w:after="0" w:line="240" w:lineRule="auto"/>
              <w:jc w:val="both"/>
              <w:rPr>
                <w:rFonts w:eastAsia="Times New Roman" w:cs="Calibri"/>
                <w:noProof/>
              </w:rPr>
            </w:pPr>
            <w:r>
              <w:rPr>
                <w:noProof/>
              </w:rPr>
              <w:t>vai digitalizācijas pētniecības un izstrādes projektos, piemēram, vienotā lauksaimniecības portālā, digitālās pārslēgšanās un pētniecības un inovācijas projektos, kas saistīti ar vērtības ķēdēm, atspoguļojot 009. intervences jomas prasības.</w:t>
            </w:r>
          </w:p>
        </w:tc>
      </w:tr>
      <w:tr w:rsidR="00776A1F" w14:paraId="00335F0E" w14:textId="77777777">
        <w:trPr>
          <w:trHeight w:val="1347"/>
        </w:trPr>
        <w:tc>
          <w:tcPr>
            <w:tcW w:w="1134" w:type="dxa"/>
            <w:shd w:val="clear" w:color="auto" w:fill="C4EFCE"/>
            <w:vAlign w:val="center"/>
            <w:hideMark/>
          </w:tcPr>
          <w:p w14:paraId="6928F1B6" w14:textId="77777777" w:rsidR="00776A1F" w:rsidRDefault="00D8574B">
            <w:pPr>
              <w:pStyle w:val="P68B1DB1-Normal7"/>
              <w:spacing w:after="0" w:line="240" w:lineRule="auto"/>
              <w:jc w:val="center"/>
              <w:rPr>
                <w:rFonts w:eastAsia="Times New Roman" w:cs="Calibri"/>
                <w:noProof/>
              </w:rPr>
            </w:pPr>
            <w:r>
              <w:rPr>
                <w:noProof/>
              </w:rPr>
              <w:t>5.12</w:t>
            </w:r>
          </w:p>
        </w:tc>
        <w:tc>
          <w:tcPr>
            <w:tcW w:w="1165" w:type="dxa"/>
            <w:shd w:val="clear" w:color="auto" w:fill="C4EFCE"/>
            <w:vAlign w:val="center"/>
            <w:hideMark/>
          </w:tcPr>
          <w:p w14:paraId="62CDCC6D" w14:textId="77777777" w:rsidR="00776A1F" w:rsidRDefault="00D8574B">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284E5D"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152F452" w14:textId="77777777" w:rsidR="00776A1F" w:rsidRDefault="00D8574B">
            <w:pPr>
              <w:pStyle w:val="P68B1DB1-Normal8"/>
              <w:spacing w:after="0" w:line="240" w:lineRule="auto"/>
              <w:jc w:val="center"/>
              <w:rPr>
                <w:rFonts w:eastAsia="Times New Roman" w:cs="Calibri"/>
                <w:noProof/>
              </w:rPr>
            </w:pPr>
            <w:r>
              <w:rPr>
                <w:noProof/>
              </w:rPr>
              <w:t xml:space="preserve">Tādu inovācijas un pētniecības projektu pabeigšana, kuros galvenā uzmanība pievērsta lauksaimniecības inovācijas programmas 2030. gadam zaļajiem aspektiem </w:t>
            </w:r>
          </w:p>
        </w:tc>
        <w:tc>
          <w:tcPr>
            <w:tcW w:w="2029" w:type="dxa"/>
            <w:shd w:val="clear" w:color="auto" w:fill="C4EFCE"/>
            <w:vAlign w:val="center"/>
            <w:hideMark/>
          </w:tcPr>
          <w:p w14:paraId="6673998C"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BD66CB2"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6C14CFFD"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57C0954" w14:textId="77777777" w:rsidR="00776A1F" w:rsidRDefault="00D8574B">
            <w:pPr>
              <w:pStyle w:val="P68B1DB1-Normal8"/>
              <w:spacing w:after="0" w:line="240" w:lineRule="auto"/>
              <w:jc w:val="center"/>
              <w:rPr>
                <w:rFonts w:eastAsia="Times New Roman" w:cs="Calibri"/>
                <w:noProof/>
              </w:rPr>
            </w:pPr>
            <w:r>
              <w:rPr>
                <w:noProof/>
              </w:rPr>
              <w:t>100</w:t>
            </w:r>
          </w:p>
        </w:tc>
        <w:tc>
          <w:tcPr>
            <w:tcW w:w="514" w:type="dxa"/>
            <w:shd w:val="clear" w:color="auto" w:fill="C4EFCE"/>
            <w:vAlign w:val="center"/>
            <w:hideMark/>
          </w:tcPr>
          <w:p w14:paraId="327ED56D" w14:textId="77777777" w:rsidR="00776A1F" w:rsidRDefault="00D8574B">
            <w:pPr>
              <w:pStyle w:val="P68B1DB1-Normal8"/>
              <w:spacing w:after="0" w:line="240" w:lineRule="auto"/>
              <w:jc w:val="center"/>
              <w:rPr>
                <w:rFonts w:eastAsia="Times New Roman" w:cs="Calibri"/>
                <w:noProof/>
              </w:rPr>
            </w:pPr>
            <w:r>
              <w:rPr>
                <w:noProof/>
              </w:rPr>
              <w:t>3. CET.</w:t>
            </w:r>
          </w:p>
        </w:tc>
        <w:tc>
          <w:tcPr>
            <w:tcW w:w="747" w:type="dxa"/>
            <w:shd w:val="clear" w:color="auto" w:fill="C4EFCE"/>
            <w:vAlign w:val="center"/>
            <w:hideMark/>
          </w:tcPr>
          <w:p w14:paraId="46CE7E74"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AD60965" w14:textId="77777777" w:rsidR="00776A1F" w:rsidRDefault="00D8574B">
            <w:pPr>
              <w:pStyle w:val="P68B1DB1-Normal8"/>
              <w:spacing w:after="0" w:line="240" w:lineRule="auto"/>
              <w:jc w:val="both"/>
              <w:rPr>
                <w:rFonts w:eastAsia="Times New Roman" w:cs="Calibri"/>
                <w:noProof/>
              </w:rPr>
            </w:pPr>
            <w:r>
              <w:rPr>
                <w:noProof/>
              </w:rPr>
              <w:t>Kopumā tika finansēti un pabeigti 100 pētniecības un inovācijas projekti. Atbalsts pētniecības un inovācijas projektiem un programmām, kas veicina vismaz vienu no 15 inovācijas programmas iniciatīvām un koncentrējas uz ekonomiku ar zemu oglekļa dioksīda emisiju līmeni, noturību un pielāgošanos klimata pārmaiņām.</w:t>
            </w:r>
          </w:p>
        </w:tc>
      </w:tr>
      <w:tr w:rsidR="00776A1F" w14:paraId="58EE858D" w14:textId="77777777">
        <w:trPr>
          <w:trHeight w:val="1406"/>
        </w:trPr>
        <w:tc>
          <w:tcPr>
            <w:tcW w:w="1134" w:type="dxa"/>
            <w:shd w:val="clear" w:color="auto" w:fill="C4EFCE"/>
            <w:vAlign w:val="center"/>
            <w:hideMark/>
          </w:tcPr>
          <w:p w14:paraId="4DD25D33" w14:textId="77777777" w:rsidR="00776A1F" w:rsidRDefault="00D8574B">
            <w:pPr>
              <w:pStyle w:val="P68B1DB1-Normal7"/>
              <w:spacing w:after="0" w:line="240" w:lineRule="auto"/>
              <w:jc w:val="center"/>
              <w:rPr>
                <w:rFonts w:eastAsia="Times New Roman" w:cs="Calibri"/>
                <w:noProof/>
              </w:rPr>
            </w:pPr>
            <w:r>
              <w:rPr>
                <w:noProof/>
              </w:rPr>
              <w:t>5.13</w:t>
            </w:r>
          </w:p>
        </w:tc>
        <w:tc>
          <w:tcPr>
            <w:tcW w:w="1165" w:type="dxa"/>
            <w:shd w:val="clear" w:color="auto" w:fill="C4EFCE"/>
            <w:vAlign w:val="center"/>
            <w:hideMark/>
          </w:tcPr>
          <w:p w14:paraId="1A4E4173" w14:textId="77777777" w:rsidR="00776A1F" w:rsidRDefault="00D8574B">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4731AB6C"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78A357C" w14:textId="147DED00" w:rsidR="00776A1F" w:rsidRDefault="00D8574B">
            <w:pPr>
              <w:pStyle w:val="P68B1DB1-Normal8"/>
              <w:spacing w:after="0" w:line="240" w:lineRule="auto"/>
              <w:jc w:val="center"/>
              <w:rPr>
                <w:rFonts w:eastAsia="Times New Roman" w:cs="Calibri"/>
                <w:noProof/>
              </w:rPr>
            </w:pPr>
            <w:r>
              <w:rPr>
                <w:noProof/>
              </w:rPr>
              <w:t>Piecu strukturējošu projektu pabeigšana, galveno uzmanību pievēršot Lauksaimniecības inovācijas programmas 2030. gadam digitālajiem aspektiem</w:t>
            </w:r>
          </w:p>
        </w:tc>
        <w:tc>
          <w:tcPr>
            <w:tcW w:w="2029" w:type="dxa"/>
            <w:shd w:val="clear" w:color="auto" w:fill="C4EFCE"/>
            <w:vAlign w:val="center"/>
            <w:hideMark/>
          </w:tcPr>
          <w:p w14:paraId="6C32BB6C"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14D1538"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3533F044"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4954256" w14:textId="77777777" w:rsidR="00776A1F" w:rsidRDefault="00D8574B">
            <w:pPr>
              <w:pStyle w:val="P68B1DB1-Normal8"/>
              <w:spacing w:after="0" w:line="240" w:lineRule="auto"/>
              <w:jc w:val="center"/>
              <w:rPr>
                <w:rFonts w:eastAsia="Times New Roman" w:cs="Calibri"/>
                <w:noProof/>
              </w:rPr>
            </w:pPr>
            <w:r>
              <w:rPr>
                <w:noProof/>
              </w:rPr>
              <w:t>5</w:t>
            </w:r>
          </w:p>
        </w:tc>
        <w:tc>
          <w:tcPr>
            <w:tcW w:w="514" w:type="dxa"/>
            <w:shd w:val="clear" w:color="auto" w:fill="C4EFCE"/>
            <w:vAlign w:val="center"/>
            <w:hideMark/>
          </w:tcPr>
          <w:p w14:paraId="0D1EAAB9" w14:textId="77777777" w:rsidR="00776A1F" w:rsidRDefault="00D8574B">
            <w:pPr>
              <w:pStyle w:val="P68B1DB1-Normal8"/>
              <w:spacing w:after="0" w:line="240" w:lineRule="auto"/>
              <w:jc w:val="center"/>
              <w:rPr>
                <w:rFonts w:eastAsia="Times New Roman" w:cs="Calibri"/>
                <w:noProof/>
              </w:rPr>
            </w:pPr>
            <w:r>
              <w:rPr>
                <w:noProof/>
              </w:rPr>
              <w:t>3. CET.</w:t>
            </w:r>
          </w:p>
        </w:tc>
        <w:tc>
          <w:tcPr>
            <w:tcW w:w="747" w:type="dxa"/>
            <w:shd w:val="clear" w:color="auto" w:fill="C4EFCE"/>
            <w:vAlign w:val="center"/>
            <w:hideMark/>
          </w:tcPr>
          <w:p w14:paraId="6C8827A3"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E658D67" w14:textId="77777777" w:rsidR="00776A1F" w:rsidRDefault="00D8574B">
            <w:pPr>
              <w:pStyle w:val="P68B1DB1-Normal8"/>
              <w:spacing w:after="0" w:line="240" w:lineRule="auto"/>
              <w:jc w:val="both"/>
              <w:rPr>
                <w:rFonts w:eastAsia="Times New Roman" w:cs="Calibri"/>
                <w:noProof/>
              </w:rPr>
            </w:pPr>
            <w:r>
              <w:rPr>
                <w:noProof/>
              </w:rPr>
              <w:t>Kopā tika finansēti un pabeigti 5 inovācijas strukturēšanas projekti. Atbalsts inovācijas projektiem, kas veicina vismaz vienu no 15 inovācijas programmas iniciatīvām un koncentrējas uz digitalizāciju.</w:t>
            </w:r>
          </w:p>
        </w:tc>
      </w:tr>
      <w:tr w:rsidR="00776A1F" w14:paraId="0325433E" w14:textId="77777777">
        <w:trPr>
          <w:trHeight w:val="420"/>
        </w:trPr>
        <w:tc>
          <w:tcPr>
            <w:tcW w:w="1134" w:type="dxa"/>
            <w:shd w:val="clear" w:color="auto" w:fill="C4EFCE"/>
            <w:vAlign w:val="center"/>
            <w:hideMark/>
          </w:tcPr>
          <w:p w14:paraId="2C9BBFE3" w14:textId="330406B0" w:rsidR="00776A1F" w:rsidRDefault="00D8574B">
            <w:pPr>
              <w:pStyle w:val="P68B1DB1-Normal7"/>
              <w:spacing w:after="0" w:line="240" w:lineRule="auto"/>
              <w:jc w:val="center"/>
              <w:rPr>
                <w:rFonts w:eastAsia="Times New Roman" w:cs="Calibri"/>
                <w:noProof/>
              </w:rPr>
            </w:pPr>
            <w:r>
              <w:rPr>
                <w:noProof/>
              </w:rPr>
              <w:t>5.14</w:t>
            </w:r>
          </w:p>
        </w:tc>
        <w:tc>
          <w:tcPr>
            <w:tcW w:w="1165" w:type="dxa"/>
            <w:shd w:val="clear" w:color="auto" w:fill="C4EFCE"/>
            <w:vAlign w:val="center"/>
            <w:hideMark/>
          </w:tcPr>
          <w:p w14:paraId="6E1D1FCF" w14:textId="77777777" w:rsidR="00776A1F" w:rsidRDefault="00D8574B">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6E5A38D0"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6428411" w14:textId="77777777" w:rsidR="00776A1F" w:rsidRDefault="00D8574B">
            <w:pPr>
              <w:pStyle w:val="P68B1DB1-Normal8"/>
              <w:spacing w:after="0" w:line="240" w:lineRule="auto"/>
              <w:jc w:val="center"/>
              <w:rPr>
                <w:rFonts w:eastAsia="Times New Roman" w:cs="Calibri"/>
                <w:noProof/>
              </w:rPr>
            </w:pPr>
            <w:r>
              <w:rPr>
                <w:noProof/>
              </w:rPr>
              <w:t>Lauksaimniecības inovācijas centru atjaunošana/modernizācija</w:t>
            </w:r>
          </w:p>
        </w:tc>
        <w:tc>
          <w:tcPr>
            <w:tcW w:w="2029" w:type="dxa"/>
            <w:shd w:val="clear" w:color="auto" w:fill="C4EFCE"/>
            <w:vAlign w:val="center"/>
            <w:hideMark/>
          </w:tcPr>
          <w:p w14:paraId="10D14770"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7AE3D33"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026E9922"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7F56B64" w14:textId="77777777" w:rsidR="00776A1F" w:rsidRDefault="00D8574B">
            <w:pPr>
              <w:pStyle w:val="P68B1DB1-Normal8"/>
              <w:spacing w:after="0" w:line="240" w:lineRule="auto"/>
              <w:jc w:val="center"/>
              <w:rPr>
                <w:rFonts w:eastAsia="Times New Roman" w:cs="Calibri"/>
                <w:noProof/>
              </w:rPr>
            </w:pPr>
            <w:r>
              <w:rPr>
                <w:noProof/>
              </w:rPr>
              <w:t>24</w:t>
            </w:r>
          </w:p>
        </w:tc>
        <w:tc>
          <w:tcPr>
            <w:tcW w:w="514" w:type="dxa"/>
            <w:shd w:val="clear" w:color="auto" w:fill="C4EFCE"/>
            <w:vAlign w:val="center"/>
            <w:hideMark/>
          </w:tcPr>
          <w:p w14:paraId="4D25C474"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3CEE80EA"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03E8138F" w14:textId="77777777" w:rsidR="00776A1F" w:rsidRDefault="00D8574B">
            <w:pPr>
              <w:pStyle w:val="P68B1DB1-Normal8"/>
              <w:spacing w:after="0" w:line="240" w:lineRule="auto"/>
              <w:jc w:val="both"/>
              <w:rPr>
                <w:rFonts w:eastAsia="Times New Roman" w:cs="Calibri"/>
                <w:noProof/>
              </w:rPr>
            </w:pPr>
            <w:r>
              <w:rPr>
                <w:noProof/>
              </w:rPr>
              <w:t xml:space="preserve">Valsts inovācijas tīkla izveide lauksaimniecības, pārtikas un lauku attīstības jomā, modernizējot 24 inovācijas centrus. </w:t>
            </w:r>
          </w:p>
          <w:p w14:paraId="24D464A1" w14:textId="2ABBDBB2" w:rsidR="00776A1F" w:rsidRDefault="00D8574B">
            <w:pPr>
              <w:pStyle w:val="P68B1DB1-Normal8"/>
              <w:spacing w:after="0" w:line="240" w:lineRule="auto"/>
              <w:jc w:val="both"/>
              <w:rPr>
                <w:rFonts w:eastAsia="Times New Roman" w:cs="Calibri"/>
                <w:noProof/>
              </w:rPr>
            </w:pPr>
            <w:r>
              <w:rPr>
                <w:noProof/>
              </w:rPr>
              <w:t>Šie ieguldījumi galvenokārt ietver infrastruktūras atjaunošanu un laboratorijas zinātniskā aprīkojuma iegādi.</w:t>
            </w:r>
          </w:p>
        </w:tc>
      </w:tr>
      <w:tr w:rsidR="00776A1F" w14:paraId="60F470C2" w14:textId="77777777">
        <w:trPr>
          <w:trHeight w:val="1050"/>
        </w:trPr>
        <w:tc>
          <w:tcPr>
            <w:tcW w:w="1134" w:type="dxa"/>
            <w:shd w:val="clear" w:color="auto" w:fill="C4EFCE"/>
            <w:vAlign w:val="center"/>
            <w:hideMark/>
          </w:tcPr>
          <w:p w14:paraId="5E8992DB" w14:textId="470E960C" w:rsidR="00776A1F" w:rsidRDefault="00D8574B">
            <w:pPr>
              <w:pStyle w:val="P68B1DB1-Normal7"/>
              <w:spacing w:after="0" w:line="240" w:lineRule="auto"/>
              <w:jc w:val="center"/>
              <w:rPr>
                <w:rFonts w:eastAsia="Times New Roman" w:cs="Calibri"/>
                <w:noProof/>
              </w:rPr>
            </w:pPr>
            <w:r>
              <w:rPr>
                <w:noProof/>
              </w:rPr>
              <w:t>5.15</w:t>
            </w:r>
          </w:p>
        </w:tc>
        <w:tc>
          <w:tcPr>
            <w:tcW w:w="1165" w:type="dxa"/>
            <w:shd w:val="clear" w:color="auto" w:fill="C4EFCE"/>
            <w:vAlign w:val="center"/>
            <w:hideMark/>
          </w:tcPr>
          <w:p w14:paraId="5ED3CA87" w14:textId="77777777" w:rsidR="00776A1F" w:rsidRDefault="00D8574B">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7E0D7741"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5A4ED20" w14:textId="77777777" w:rsidR="00776A1F" w:rsidRDefault="00D8574B">
            <w:pPr>
              <w:pStyle w:val="P68B1DB1-Normal8"/>
              <w:spacing w:after="0" w:line="240" w:lineRule="auto"/>
              <w:jc w:val="center"/>
              <w:rPr>
                <w:rFonts w:eastAsia="Times New Roman" w:cs="Calibri"/>
                <w:noProof/>
              </w:rPr>
            </w:pPr>
            <w:r>
              <w:rPr>
                <w:noProof/>
              </w:rPr>
              <w:t>Regulas par Azoru salu uzņēmumu rekapitalizācijas instrumentu pieņemšana</w:t>
            </w:r>
          </w:p>
        </w:tc>
        <w:tc>
          <w:tcPr>
            <w:tcW w:w="2029" w:type="dxa"/>
            <w:shd w:val="clear" w:color="auto" w:fill="C4EFCE"/>
            <w:vAlign w:val="center"/>
            <w:hideMark/>
          </w:tcPr>
          <w:p w14:paraId="0329CFDA" w14:textId="77777777" w:rsidR="00776A1F" w:rsidRDefault="00D8574B">
            <w:pPr>
              <w:pStyle w:val="P68B1DB1-Normal8"/>
              <w:spacing w:after="0" w:line="240" w:lineRule="auto"/>
              <w:jc w:val="center"/>
              <w:rPr>
                <w:rFonts w:eastAsia="Times New Roman" w:cs="Calibri"/>
                <w:noProof/>
              </w:rPr>
            </w:pPr>
            <w:r>
              <w:rPr>
                <w:noProof/>
              </w:rPr>
              <w:t xml:space="preserve">Azoru salu reģiona valdība pieņem regulu, ar ko izveido kapitalizācijas pasākumu un pilnvaro </w:t>
            </w:r>
            <w:r>
              <w:rPr>
                <w:i/>
                <w:noProof/>
              </w:rPr>
              <w:t>Banco Portugues de Fomento</w:t>
            </w:r>
            <w:r>
              <w:rPr>
                <w:noProof/>
              </w:rPr>
              <w:t xml:space="preserve"> pieņemt ieguldījumu politiku</w:t>
            </w:r>
          </w:p>
        </w:tc>
        <w:tc>
          <w:tcPr>
            <w:tcW w:w="982" w:type="dxa"/>
            <w:shd w:val="clear" w:color="auto" w:fill="C4EFCE"/>
            <w:vAlign w:val="center"/>
            <w:hideMark/>
          </w:tcPr>
          <w:p w14:paraId="76178EE5"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0D1E9F3"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008B1F9"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8A054C2" w14:textId="77777777" w:rsidR="00776A1F" w:rsidRDefault="00D8574B">
            <w:pPr>
              <w:pStyle w:val="P68B1DB1-Normal8"/>
              <w:spacing w:after="0" w:line="240" w:lineRule="auto"/>
              <w:jc w:val="center"/>
              <w:rPr>
                <w:rFonts w:eastAsia="Times New Roman" w:cs="Calibri"/>
                <w:noProof/>
              </w:rPr>
            </w:pPr>
            <w:r>
              <w:rPr>
                <w:noProof/>
              </w:rPr>
              <w:t>3. CET.</w:t>
            </w:r>
          </w:p>
        </w:tc>
        <w:tc>
          <w:tcPr>
            <w:tcW w:w="747" w:type="dxa"/>
            <w:shd w:val="clear" w:color="auto" w:fill="C4EFCE"/>
            <w:vAlign w:val="center"/>
            <w:hideMark/>
          </w:tcPr>
          <w:p w14:paraId="79E05766" w14:textId="77777777" w:rsidR="00776A1F" w:rsidRDefault="00D8574B">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D2AB17A" w14:textId="77777777" w:rsidR="00776A1F" w:rsidRDefault="00D8574B">
            <w:pPr>
              <w:pStyle w:val="P68B1DB1-Normal8"/>
              <w:spacing w:after="0" w:line="240" w:lineRule="auto"/>
              <w:jc w:val="both"/>
              <w:rPr>
                <w:rFonts w:eastAsia="Times New Roman" w:cs="Calibri"/>
                <w:noProof/>
              </w:rPr>
            </w:pPr>
            <w:r>
              <w:rPr>
                <w:noProof/>
              </w:rPr>
              <w:t xml:space="preserve">Azoru salu reģionālā valdība pieņem regulu, ar ko izveido kapitalizācijas pasākumu un pilnvaro </w:t>
            </w:r>
            <w:r>
              <w:rPr>
                <w:i/>
                <w:noProof/>
              </w:rPr>
              <w:t>Banco Portugues de Fomento</w:t>
            </w:r>
            <w:r>
              <w:rPr>
                <w:noProof/>
              </w:rPr>
              <w:t xml:space="preserve"> pieņemt ieguldījumu politiku, kurā cita starpā noteikti atbilstības kritēriji un saņēmēju uzņēmumu atlase katram finanšu instrumentu veidam. Regulā nosaka, ka ieguldījumu politikā jāietver atlases/atbilstības kritēriji atbalstīto uzņēmumu atbilstībai NBK tehniskajiem norādījumiem (2021/C58/01), pieprasot: </w:t>
            </w:r>
          </w:p>
          <w:p w14:paraId="34F2D080" w14:textId="77777777" w:rsidR="00776A1F" w:rsidRDefault="00D8574B">
            <w:pPr>
              <w:pStyle w:val="P68B1DB1-Normal8"/>
              <w:spacing w:after="0" w:line="240" w:lineRule="auto"/>
              <w:jc w:val="both"/>
              <w:rPr>
                <w:rFonts w:eastAsia="Times New Roman" w:cs="Calibri"/>
                <w:noProof/>
              </w:rPr>
            </w:pPr>
            <w:r>
              <w:rPr>
                <w:noProof/>
              </w:rPr>
              <w:t xml:space="preserve">ilgtspējības pārbaudes izmantošana, </w:t>
            </w:r>
          </w:p>
          <w:p w14:paraId="65116438" w14:textId="77777777" w:rsidR="00776A1F" w:rsidRDefault="00D8574B">
            <w:pPr>
              <w:pStyle w:val="P68B1DB1-Normal8"/>
              <w:spacing w:after="0" w:line="240" w:lineRule="auto"/>
              <w:jc w:val="both"/>
              <w:rPr>
                <w:rFonts w:eastAsia="Times New Roman" w:cs="Calibri"/>
                <w:noProof/>
              </w:rPr>
            </w:pPr>
            <w:r>
              <w:rPr>
                <w:noProof/>
              </w:rPr>
              <w:t xml:space="preserve">izņēmumu saraksts, kurā ir šādi elementi: </w:t>
            </w:r>
          </w:p>
          <w:p w14:paraId="436922B2"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Investīcijas, kas saistītas ar fosilo kurināmo (tostarp lejupēju izmantošanu), izņemot siltumenerģiju/enerģiju, kas balstīta uz dabasgāzi un atbilst NBK vadlīniju III pielikumā izklāstītajiem nosacījumiem.</w:t>
            </w:r>
          </w:p>
          <w:p w14:paraId="14409371"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Darbības saskaņā ar ETS, kuru prognozētās CO2 ekvivalenta emisijas nav zemākas par attiecīgajām līmeņatzīmēm, kas noteiktas bezmaksas kvotu piešķiršanai. </w:t>
            </w:r>
          </w:p>
          <w:p w14:paraId="55434946"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 xml:space="preserve">Ieguldījumi atkritumu apglabāšanas iekārtās poligonos, mehāniskās bioloģiskās apstrādes (MBT) iekārtās un atkritumu apstrādes sadedzināšanas iekārtās. Izslēgšanas saraksts neattiecas uz iekārtām, kas paredzētas tikai nereciklējamu bīstamo atkritumu apstrādei; esošām iekārtām, ja ieguldījums ir paredzēts energoefektivitātes palielināšanai, izplūdes gāzu uztveršanai glabāšanai vai izmantošanai vai materiālu atgūšanai no incinerācijas pelniem, ar nosacījumu, ka šādu ieguldījumu rezultātā nepalielinās iekārtu atkritumu pārstrādes jauda vai nepagarinās iekārtas darbmūžu. </w:t>
            </w:r>
          </w:p>
          <w:p w14:paraId="344B3A1B"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 xml:space="preserve">Darbības, kurās atkritumu ilgtermiņa apglabāšana var radīt ilgtermiņa kaitējumu videi (piemēram, kodolatkritumi). </w:t>
            </w:r>
          </w:p>
          <w:p w14:paraId="1A84525D"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PAI, kas paredzēta iepriekš minētajiem aktīviem un darbībām. </w:t>
            </w:r>
          </w:p>
          <w:p w14:paraId="54498B89" w14:textId="77777777" w:rsidR="00776A1F" w:rsidRDefault="00D8574B">
            <w:pPr>
              <w:pStyle w:val="P68B1DB1-Normal8"/>
              <w:spacing w:after="0" w:line="240" w:lineRule="auto"/>
              <w:jc w:val="both"/>
              <w:rPr>
                <w:rFonts w:eastAsia="Times New Roman" w:cs="Calibri"/>
                <w:noProof/>
              </w:rPr>
            </w:pPr>
            <w:r>
              <w:rPr>
                <w:noProof/>
              </w:rPr>
              <w:t>obligātas juridiskās atbilstības pārbaudes, izmantojot BPF un/vai tā izvēlētos finanšu starpniekus attiecībā uz darījumiem, kas ir atbrīvoti no ilgtspējas pārbaudes;</w:t>
            </w:r>
          </w:p>
          <w:p w14:paraId="2E85E023" w14:textId="05CE3EBD" w:rsidR="00776A1F" w:rsidRDefault="00D8574B">
            <w:pPr>
              <w:pStyle w:val="P68B1DB1-Normal8"/>
              <w:spacing w:after="0" w:line="240" w:lineRule="auto"/>
              <w:jc w:val="both"/>
              <w:rPr>
                <w:rFonts w:eastAsia="Times New Roman" w:cs="Calibri"/>
                <w:noProof/>
              </w:rPr>
            </w:pPr>
            <w:r>
              <w:rPr>
                <w:noProof/>
              </w:rPr>
              <w:t>pašu kapitāla atbalsta saņēmēji, kas vismaz 50 % no saviem ieņēmumiem gūst no izslēgšanas sarakstā uzskaitītajām darbībām, lai pieņemtu un publicētu zaļās pārkārtošanās plānus.</w:t>
            </w:r>
          </w:p>
        </w:tc>
      </w:tr>
      <w:tr w:rsidR="00776A1F" w14:paraId="140CEE72" w14:textId="77777777">
        <w:trPr>
          <w:trHeight w:val="1933"/>
        </w:trPr>
        <w:tc>
          <w:tcPr>
            <w:tcW w:w="1134" w:type="dxa"/>
            <w:shd w:val="clear" w:color="auto" w:fill="C4EFCE"/>
            <w:vAlign w:val="center"/>
            <w:hideMark/>
          </w:tcPr>
          <w:p w14:paraId="5D768A55" w14:textId="58B8B80D" w:rsidR="00776A1F" w:rsidRDefault="00D8574B">
            <w:pPr>
              <w:pStyle w:val="P68B1DB1-Normal7"/>
              <w:spacing w:after="0" w:line="240" w:lineRule="auto"/>
              <w:jc w:val="center"/>
              <w:rPr>
                <w:rFonts w:eastAsia="Times New Roman" w:cs="Calibri"/>
                <w:noProof/>
              </w:rPr>
            </w:pPr>
            <w:r>
              <w:rPr>
                <w:noProof/>
              </w:rPr>
              <w:t>5.16</w:t>
            </w:r>
          </w:p>
        </w:tc>
        <w:tc>
          <w:tcPr>
            <w:tcW w:w="1165" w:type="dxa"/>
            <w:shd w:val="clear" w:color="auto" w:fill="C4EFCE"/>
            <w:vAlign w:val="center"/>
            <w:hideMark/>
          </w:tcPr>
          <w:p w14:paraId="27A5C23C" w14:textId="77777777" w:rsidR="00776A1F" w:rsidRDefault="00D8574B">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1D194C18"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E88F574" w14:textId="77777777" w:rsidR="00776A1F" w:rsidRDefault="00D8574B">
            <w:pPr>
              <w:pStyle w:val="P68B1DB1-Normal8"/>
              <w:spacing w:after="0" w:line="240" w:lineRule="auto"/>
              <w:jc w:val="center"/>
              <w:rPr>
                <w:rFonts w:eastAsia="Times New Roman" w:cs="Calibri"/>
                <w:noProof/>
              </w:rPr>
            </w:pPr>
            <w:r>
              <w:rPr>
                <w:noProof/>
              </w:rPr>
              <w:t>Ieguldījumu politikas pieņemšana uzņēmumu rekapitalizācijas instrumentam Azoru salās</w:t>
            </w:r>
          </w:p>
        </w:tc>
        <w:tc>
          <w:tcPr>
            <w:tcW w:w="2029" w:type="dxa"/>
            <w:shd w:val="clear" w:color="auto" w:fill="C4EFCE"/>
            <w:vAlign w:val="center"/>
            <w:hideMark/>
          </w:tcPr>
          <w:p w14:paraId="173D60F3" w14:textId="77777777" w:rsidR="00776A1F" w:rsidRDefault="00D8574B">
            <w:pPr>
              <w:pStyle w:val="P68B1DB1-Normal8"/>
              <w:spacing w:after="0" w:line="240" w:lineRule="auto"/>
              <w:jc w:val="center"/>
              <w:rPr>
                <w:rFonts w:eastAsia="Times New Roman" w:cs="Calibri"/>
                <w:noProof/>
              </w:rPr>
            </w:pPr>
            <w:r>
              <w:rPr>
                <w:noProof/>
              </w:rPr>
              <w:t>BPF pieņem ieguldījumu politiku, kas aptver visus pasākumā paredzētos finanšu instrumentus.</w:t>
            </w:r>
          </w:p>
        </w:tc>
        <w:tc>
          <w:tcPr>
            <w:tcW w:w="982" w:type="dxa"/>
            <w:shd w:val="clear" w:color="auto" w:fill="C4EFCE"/>
            <w:vAlign w:val="center"/>
            <w:hideMark/>
          </w:tcPr>
          <w:p w14:paraId="28BCFCDB"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53D2856"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6414FB9"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529C3603" w14:textId="77777777" w:rsidR="00776A1F" w:rsidRDefault="00D8574B">
            <w:pPr>
              <w:pStyle w:val="P68B1DB1-Normal8"/>
              <w:spacing w:after="0" w:line="240" w:lineRule="auto"/>
              <w:jc w:val="center"/>
              <w:rPr>
                <w:rFonts w:eastAsia="Times New Roman" w:cs="Calibri"/>
                <w:noProof/>
              </w:rPr>
            </w:pPr>
            <w:r>
              <w:rPr>
                <w:noProof/>
              </w:rPr>
              <w:t>3. CET.</w:t>
            </w:r>
          </w:p>
        </w:tc>
        <w:tc>
          <w:tcPr>
            <w:tcW w:w="747" w:type="dxa"/>
            <w:shd w:val="clear" w:color="auto" w:fill="C4EFCE"/>
            <w:vAlign w:val="center"/>
            <w:hideMark/>
          </w:tcPr>
          <w:p w14:paraId="4DD0E7B5" w14:textId="77777777" w:rsidR="00776A1F" w:rsidRDefault="00D8574B">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6255E3B1" w14:textId="77777777" w:rsidR="00776A1F" w:rsidRDefault="00D8574B">
            <w:pPr>
              <w:pStyle w:val="P68B1DB1-Normal8"/>
              <w:spacing w:after="0" w:line="240" w:lineRule="auto"/>
              <w:jc w:val="both"/>
              <w:rPr>
                <w:rFonts w:eastAsia="Times New Roman" w:cs="Calibri"/>
                <w:noProof/>
              </w:rPr>
            </w:pPr>
            <w:r>
              <w:rPr>
                <w:noProof/>
              </w:rPr>
              <w:t>BPF pieņem ieguldījumu politiku, kas aptver visus pasākumā paredzētos finanšu instrumentus. Ieguldījumu politiku izstrādā un pieņem BPF kā tā uzņēmuma vadības struktūra, kam pieder līdzdalības, kuras izriet no finanšu instrumentiem, kas īstenoti, lai atbalstītu par saņēmējiem izraudzītos uzņēmumus. Ieguldījumu politika atspoguļo atlases/atbilstības kritērijus un piemērojamās saistības/mērķus, kas noteikti regulā par uzņēmumu rekapitalizācijas instrumentu Azoru salās.</w:t>
            </w:r>
          </w:p>
        </w:tc>
      </w:tr>
      <w:tr w:rsidR="00776A1F" w14:paraId="787BD1C2" w14:textId="77777777">
        <w:trPr>
          <w:trHeight w:val="684"/>
        </w:trPr>
        <w:tc>
          <w:tcPr>
            <w:tcW w:w="1134" w:type="dxa"/>
            <w:shd w:val="clear" w:color="auto" w:fill="C4EFCE"/>
            <w:vAlign w:val="center"/>
            <w:hideMark/>
          </w:tcPr>
          <w:p w14:paraId="4F244987" w14:textId="77777777" w:rsidR="00776A1F" w:rsidRDefault="00D8574B">
            <w:pPr>
              <w:pStyle w:val="P68B1DB1-Normal7"/>
              <w:spacing w:after="0" w:line="240" w:lineRule="auto"/>
              <w:jc w:val="center"/>
              <w:rPr>
                <w:rFonts w:eastAsia="Times New Roman" w:cs="Calibri"/>
                <w:noProof/>
              </w:rPr>
            </w:pPr>
            <w:r>
              <w:rPr>
                <w:noProof/>
              </w:rPr>
              <w:t>5.17</w:t>
            </w:r>
          </w:p>
        </w:tc>
        <w:tc>
          <w:tcPr>
            <w:tcW w:w="1165" w:type="dxa"/>
            <w:shd w:val="clear" w:color="auto" w:fill="C4EFCE"/>
            <w:vAlign w:val="center"/>
            <w:hideMark/>
          </w:tcPr>
          <w:p w14:paraId="3E25B023" w14:textId="77777777" w:rsidR="00776A1F" w:rsidRDefault="00D8574B">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46E2FE5D"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D4512D9" w14:textId="77777777" w:rsidR="00776A1F" w:rsidRDefault="00D8574B">
            <w:pPr>
              <w:pStyle w:val="P68B1DB1-Normal8"/>
              <w:spacing w:after="0" w:line="240" w:lineRule="auto"/>
              <w:jc w:val="center"/>
              <w:rPr>
                <w:rFonts w:eastAsia="Times New Roman" w:cs="Calibri"/>
                <w:noProof/>
              </w:rPr>
            </w:pPr>
            <w:r>
              <w:rPr>
                <w:noProof/>
              </w:rPr>
              <w:t xml:space="preserve">Kopumā 125 000 000 EUR piegāde reģiona nefinanšu sabiedrībām kā pašu kapitāla un kvazikapitāla atbalsts saskaņā ar instrumenta ieguldījumu politiku. Orientējoši tiek lēsts, ka, pabeidzot plānu, tiks atbalstīti vismaz 300 uzņēmumi. </w:t>
            </w:r>
          </w:p>
        </w:tc>
        <w:tc>
          <w:tcPr>
            <w:tcW w:w="2029" w:type="dxa"/>
            <w:shd w:val="clear" w:color="auto" w:fill="C4EFCE"/>
            <w:vAlign w:val="center"/>
            <w:hideMark/>
          </w:tcPr>
          <w:p w14:paraId="2DF0D93D"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CABACD" w14:textId="77777777" w:rsidR="00776A1F" w:rsidRDefault="00D8574B">
            <w:pPr>
              <w:pStyle w:val="P68B1DB1-Normal8"/>
              <w:spacing w:after="0" w:line="240" w:lineRule="auto"/>
              <w:jc w:val="center"/>
              <w:rPr>
                <w:rFonts w:eastAsia="Times New Roman" w:cs="Calibri"/>
                <w:noProof/>
              </w:rPr>
            </w:pPr>
            <w:r>
              <w:rPr>
                <w:noProof/>
              </w:rPr>
              <w:t>EUR</w:t>
            </w:r>
          </w:p>
        </w:tc>
        <w:tc>
          <w:tcPr>
            <w:tcW w:w="982" w:type="dxa"/>
            <w:shd w:val="clear" w:color="auto" w:fill="C4EFCE"/>
            <w:vAlign w:val="center"/>
            <w:hideMark/>
          </w:tcPr>
          <w:p w14:paraId="7B6D0271"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0039D31" w14:textId="77777777" w:rsidR="00776A1F" w:rsidRDefault="00D8574B">
            <w:pPr>
              <w:pStyle w:val="P68B1DB1-Normal8"/>
              <w:spacing w:after="0" w:line="240" w:lineRule="auto"/>
              <w:jc w:val="center"/>
              <w:rPr>
                <w:rFonts w:eastAsia="Times New Roman" w:cs="Calibri"/>
                <w:noProof/>
              </w:rPr>
            </w:pPr>
            <w:r>
              <w:rPr>
                <w:noProof/>
              </w:rPr>
              <w:t xml:space="preserve">125 000 000 </w:t>
            </w:r>
          </w:p>
        </w:tc>
        <w:tc>
          <w:tcPr>
            <w:tcW w:w="514" w:type="dxa"/>
            <w:shd w:val="clear" w:color="auto" w:fill="C4EFCE"/>
            <w:vAlign w:val="center"/>
            <w:hideMark/>
          </w:tcPr>
          <w:p w14:paraId="45B22942"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5EE59541"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89BB502" w14:textId="31A7E732" w:rsidR="00776A1F" w:rsidRDefault="00D8574B">
            <w:pPr>
              <w:pStyle w:val="P68B1DB1-Normal8"/>
              <w:spacing w:after="0" w:line="240" w:lineRule="auto"/>
              <w:jc w:val="both"/>
              <w:rPr>
                <w:rFonts w:eastAsia="Times New Roman" w:cs="Calibri"/>
                <w:noProof/>
              </w:rPr>
            </w:pPr>
            <w:r>
              <w:rPr>
                <w:noProof/>
              </w:rPr>
              <w:t xml:space="preserve">Kopumā 125 000 000 EUR piegāde reģiona nefinanšu sabiedrībām kā pašu kapitāla un kvazikapitāla atbalsts saskaņā ar ieguldījumu politiku, kas pieņemta attiecībā uz Azoru salu uzņēmumu rekapitalizācijas instrumentu. </w:t>
            </w:r>
            <w:r>
              <w:rPr>
                <w:i/>
                <w:noProof/>
              </w:rPr>
              <w:t>Banco Portugues de Fomento</w:t>
            </w:r>
            <w:r>
              <w:rPr>
                <w:noProof/>
              </w:rPr>
              <w:t xml:space="preserve"> ir atbildīga par ziņošanu par veiktajām darbībām. Šajā ziņojumā papildus finanšu plūsmām publicē saņēmēju uzņēmumu, to NMIN un CAE sarakstu, līguma datumu, piešķirto finansējumu, izmantotā finanšu instrumenta veidu un attiecīgā gadījumā iesaistīto finanšu vienību.</w:t>
            </w:r>
          </w:p>
        </w:tc>
      </w:tr>
      <w:tr w:rsidR="00776A1F" w14:paraId="22040B4A" w14:textId="77777777">
        <w:trPr>
          <w:trHeight w:val="1480"/>
        </w:trPr>
        <w:tc>
          <w:tcPr>
            <w:tcW w:w="1134" w:type="dxa"/>
            <w:shd w:val="clear" w:color="auto" w:fill="C4EFCE"/>
            <w:vAlign w:val="center"/>
            <w:hideMark/>
          </w:tcPr>
          <w:p w14:paraId="412AFCFB" w14:textId="77777777" w:rsidR="00776A1F" w:rsidRDefault="00D8574B">
            <w:pPr>
              <w:pStyle w:val="P68B1DB1-Normal7"/>
              <w:spacing w:after="0" w:line="240" w:lineRule="auto"/>
              <w:jc w:val="center"/>
              <w:rPr>
                <w:rFonts w:eastAsia="Times New Roman" w:cs="Calibri"/>
                <w:noProof/>
              </w:rPr>
            </w:pPr>
            <w:r>
              <w:rPr>
                <w:noProof/>
              </w:rPr>
              <w:t>5.18</w:t>
            </w:r>
          </w:p>
        </w:tc>
        <w:tc>
          <w:tcPr>
            <w:tcW w:w="1165" w:type="dxa"/>
            <w:shd w:val="clear" w:color="auto" w:fill="C4EFCE"/>
            <w:vAlign w:val="center"/>
            <w:hideMark/>
          </w:tcPr>
          <w:p w14:paraId="29380C9D" w14:textId="77777777" w:rsidR="00776A1F" w:rsidRDefault="00D8574B">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648BE4C" w14:textId="77777777" w:rsidR="00776A1F" w:rsidRDefault="00D8574B">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FB94C98" w14:textId="77777777" w:rsidR="00776A1F" w:rsidRDefault="00D8574B">
            <w:pPr>
              <w:pStyle w:val="P68B1DB1-Normal8"/>
              <w:spacing w:after="0" w:line="240" w:lineRule="auto"/>
              <w:jc w:val="center"/>
              <w:rPr>
                <w:rFonts w:eastAsia="Times New Roman" w:cs="Calibri"/>
                <w:noProof/>
              </w:rPr>
            </w:pPr>
            <w:r>
              <w:rPr>
                <w:noProof/>
              </w:rPr>
              <w:t>Azoru salu lauksaimniecības inovācijas un digitalizācijas programmas publicēšana</w:t>
            </w:r>
          </w:p>
        </w:tc>
        <w:tc>
          <w:tcPr>
            <w:tcW w:w="2029" w:type="dxa"/>
            <w:shd w:val="clear" w:color="auto" w:fill="C4EFCE"/>
            <w:vAlign w:val="center"/>
            <w:hideMark/>
          </w:tcPr>
          <w:p w14:paraId="52BC14AC" w14:textId="77777777" w:rsidR="00776A1F" w:rsidRDefault="00D8574B">
            <w:pPr>
              <w:pStyle w:val="P68B1DB1-Normal8"/>
              <w:spacing w:after="0" w:line="240" w:lineRule="auto"/>
              <w:jc w:val="center"/>
              <w:rPr>
                <w:rFonts w:eastAsia="Times New Roman" w:cs="Calibri"/>
                <w:noProof/>
              </w:rPr>
            </w:pPr>
            <w:r>
              <w:rPr>
                <w:noProof/>
              </w:rPr>
              <w:t>Azoru salu lauksaimniecības inovācijas un digitalizācijas programmas publicēšana</w:t>
            </w:r>
          </w:p>
        </w:tc>
        <w:tc>
          <w:tcPr>
            <w:tcW w:w="982" w:type="dxa"/>
            <w:shd w:val="clear" w:color="auto" w:fill="C4EFCE"/>
            <w:vAlign w:val="center"/>
            <w:hideMark/>
          </w:tcPr>
          <w:p w14:paraId="1471DFD5"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FA49D95" w14:textId="77777777" w:rsidR="00776A1F" w:rsidRDefault="00D8574B">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93E479B" w14:textId="77777777" w:rsidR="00776A1F" w:rsidRDefault="00D8574B">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54DBD22" w14:textId="77777777" w:rsidR="00776A1F" w:rsidRDefault="00D8574B">
            <w:pPr>
              <w:pStyle w:val="P68B1DB1-Normal8"/>
              <w:spacing w:after="0" w:line="240" w:lineRule="auto"/>
              <w:jc w:val="center"/>
              <w:rPr>
                <w:rFonts w:eastAsia="Times New Roman" w:cs="Calibri"/>
                <w:noProof/>
              </w:rPr>
            </w:pPr>
            <w:r>
              <w:rPr>
                <w:noProof/>
              </w:rPr>
              <w:t>2. CET.</w:t>
            </w:r>
          </w:p>
        </w:tc>
        <w:tc>
          <w:tcPr>
            <w:tcW w:w="747" w:type="dxa"/>
            <w:shd w:val="clear" w:color="auto" w:fill="C4EFCE"/>
            <w:vAlign w:val="center"/>
            <w:hideMark/>
          </w:tcPr>
          <w:p w14:paraId="125D8132" w14:textId="77777777" w:rsidR="00776A1F" w:rsidRDefault="00D8574B">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2832055A" w14:textId="77777777" w:rsidR="00776A1F" w:rsidRDefault="00D8574B">
            <w:pPr>
              <w:pStyle w:val="P68B1DB1-Normal8"/>
              <w:spacing w:after="0" w:line="240" w:lineRule="auto"/>
              <w:jc w:val="both"/>
              <w:rPr>
                <w:rFonts w:eastAsia="Times New Roman" w:cs="Calibri"/>
                <w:noProof/>
              </w:rPr>
            </w:pPr>
            <w:r>
              <w:rPr>
                <w:noProof/>
              </w:rPr>
              <w:t>Azoru salu lauksaimniecības inovācijas un digitalizācijas programmas publicēšana, tostarp monitoringa tīkla attīstības plāns un paziņojumi par lauksaimniecību salu līmenī, kā arī plāns pārejai uz digitālo realitāti un precīzo lauksaimniecību.</w:t>
            </w:r>
          </w:p>
        </w:tc>
      </w:tr>
      <w:tr w:rsidR="00776A1F" w14:paraId="66C0B1D9" w14:textId="77777777">
        <w:trPr>
          <w:trHeight w:val="1446"/>
        </w:trPr>
        <w:tc>
          <w:tcPr>
            <w:tcW w:w="1134" w:type="dxa"/>
            <w:shd w:val="clear" w:color="auto" w:fill="C4EFCE"/>
            <w:vAlign w:val="center"/>
            <w:hideMark/>
          </w:tcPr>
          <w:p w14:paraId="1031D533" w14:textId="77777777" w:rsidR="00776A1F" w:rsidRDefault="00D8574B">
            <w:pPr>
              <w:pStyle w:val="P68B1DB1-Normal7"/>
              <w:spacing w:after="0" w:line="240" w:lineRule="auto"/>
              <w:jc w:val="center"/>
              <w:rPr>
                <w:rFonts w:eastAsia="Times New Roman" w:cs="Calibri"/>
                <w:noProof/>
              </w:rPr>
            </w:pPr>
            <w:r>
              <w:rPr>
                <w:noProof/>
              </w:rPr>
              <w:t>5.19</w:t>
            </w:r>
          </w:p>
        </w:tc>
        <w:tc>
          <w:tcPr>
            <w:tcW w:w="1165" w:type="dxa"/>
            <w:shd w:val="clear" w:color="auto" w:fill="C4EFCE"/>
            <w:vAlign w:val="center"/>
            <w:hideMark/>
          </w:tcPr>
          <w:p w14:paraId="62CCCBA9" w14:textId="77777777" w:rsidR="00776A1F" w:rsidRDefault="00D8574B">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5ADECD5"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C638A6F" w14:textId="77777777" w:rsidR="00776A1F" w:rsidRDefault="00D8574B">
            <w:pPr>
              <w:pStyle w:val="P68B1DB1-Normal8"/>
              <w:spacing w:after="0" w:line="240" w:lineRule="auto"/>
              <w:jc w:val="center"/>
              <w:rPr>
                <w:rFonts w:eastAsia="Times New Roman" w:cs="Calibri"/>
                <w:noProof/>
              </w:rPr>
            </w:pPr>
            <w:r>
              <w:rPr>
                <w:noProof/>
              </w:rPr>
              <w:t>Jaunas (aizstāj novecojušas struktūras) vai pārkvalificētas struktūras, kas atbild par dzīvnieku kaušanu un piena kvalitātes un pārtikas nekaitīguma sertifikāciju</w:t>
            </w:r>
          </w:p>
        </w:tc>
        <w:tc>
          <w:tcPr>
            <w:tcW w:w="2029" w:type="dxa"/>
            <w:shd w:val="clear" w:color="auto" w:fill="C4EFCE"/>
            <w:vAlign w:val="center"/>
            <w:hideMark/>
          </w:tcPr>
          <w:p w14:paraId="71C2A31B"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2F83A65"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17E50AA3"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48D5CFCE" w14:textId="77777777" w:rsidR="00776A1F" w:rsidRDefault="00D8574B">
            <w:pPr>
              <w:pStyle w:val="P68B1DB1-Normal8"/>
              <w:spacing w:after="0" w:line="240" w:lineRule="auto"/>
              <w:jc w:val="center"/>
              <w:rPr>
                <w:rFonts w:eastAsia="Times New Roman" w:cs="Calibri"/>
                <w:noProof/>
              </w:rPr>
            </w:pPr>
            <w:r>
              <w:rPr>
                <w:noProof/>
              </w:rPr>
              <w:t>3</w:t>
            </w:r>
          </w:p>
        </w:tc>
        <w:tc>
          <w:tcPr>
            <w:tcW w:w="514" w:type="dxa"/>
            <w:shd w:val="clear" w:color="auto" w:fill="C4EFCE"/>
            <w:vAlign w:val="center"/>
            <w:hideMark/>
          </w:tcPr>
          <w:p w14:paraId="4D91DB57" w14:textId="115D2735"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6F9879B6" w14:textId="3DB5DF04"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4782248B" w14:textId="77777777" w:rsidR="00776A1F" w:rsidRDefault="00D8574B">
            <w:pPr>
              <w:pStyle w:val="P68B1DB1-Normal8"/>
              <w:spacing w:after="0" w:line="240" w:lineRule="auto"/>
              <w:jc w:val="both"/>
              <w:rPr>
                <w:rFonts w:eastAsia="Times New Roman" w:cs="Calibri"/>
                <w:noProof/>
              </w:rPr>
            </w:pPr>
            <w:r>
              <w:rPr>
                <w:noProof/>
              </w:rPr>
              <w:t>Darbu pabeigšana pie jaunām (lai aizstātu novecojušas struktūras) vai pārkvalificētām struktūrām, kas atbild par dzīvnieku kaušanu, piena kvalitātes sertifikāciju un pārtikas nekaitīgumu, lai reaģētu uz tirgu attīstību un augošo pieprasījumu, iekļaujot ieguldījumus ražošanas un organizācijas procesu inovācijā, zaļajā pārkārtošanā, digitālajā pārkārtošanā un dzīvnieku labturībā.</w:t>
            </w:r>
          </w:p>
        </w:tc>
      </w:tr>
      <w:tr w:rsidR="00776A1F" w14:paraId="0FE8C46B" w14:textId="77777777">
        <w:trPr>
          <w:trHeight w:val="1550"/>
        </w:trPr>
        <w:tc>
          <w:tcPr>
            <w:tcW w:w="1134" w:type="dxa"/>
            <w:shd w:val="clear" w:color="auto" w:fill="C4EFCE"/>
            <w:vAlign w:val="center"/>
            <w:hideMark/>
          </w:tcPr>
          <w:p w14:paraId="0973CB5F" w14:textId="77777777" w:rsidR="00776A1F" w:rsidRDefault="00D8574B">
            <w:pPr>
              <w:pStyle w:val="P68B1DB1-Normal7"/>
              <w:spacing w:after="0" w:line="240" w:lineRule="auto"/>
              <w:jc w:val="center"/>
              <w:rPr>
                <w:rFonts w:eastAsia="Times New Roman" w:cs="Calibri"/>
                <w:noProof/>
              </w:rPr>
            </w:pPr>
            <w:r>
              <w:rPr>
                <w:noProof/>
              </w:rPr>
              <w:t>5.20</w:t>
            </w:r>
          </w:p>
        </w:tc>
        <w:tc>
          <w:tcPr>
            <w:tcW w:w="1165" w:type="dxa"/>
            <w:shd w:val="clear" w:color="auto" w:fill="C4EFCE"/>
            <w:vAlign w:val="center"/>
            <w:hideMark/>
          </w:tcPr>
          <w:p w14:paraId="3A4DA074" w14:textId="77777777" w:rsidR="00776A1F" w:rsidRDefault="00D8574B">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4F114AAC"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656A7BBA" w14:textId="77777777" w:rsidR="00776A1F" w:rsidRDefault="00D8574B">
            <w:pPr>
              <w:pStyle w:val="P68B1DB1-Normal8"/>
              <w:spacing w:after="0" w:line="240" w:lineRule="auto"/>
              <w:jc w:val="center"/>
              <w:rPr>
                <w:rFonts w:eastAsia="Times New Roman" w:cs="Calibri"/>
                <w:noProof/>
              </w:rPr>
            </w:pPr>
            <w:r>
              <w:rPr>
                <w:noProof/>
              </w:rPr>
              <w:t>Projekti, ko atbalsta saskaņā ar pārstrādes un tirdzniecības nozares uzņēmumu pārstrukturēšanas atbalsta shēmām</w:t>
            </w:r>
          </w:p>
        </w:tc>
        <w:tc>
          <w:tcPr>
            <w:tcW w:w="2029" w:type="dxa"/>
            <w:shd w:val="clear" w:color="auto" w:fill="C4EFCE"/>
            <w:vAlign w:val="center"/>
            <w:hideMark/>
          </w:tcPr>
          <w:p w14:paraId="41198735"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64C0AB"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33400D61"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B4E10FD" w14:textId="77777777" w:rsidR="00776A1F" w:rsidRDefault="00D8574B">
            <w:pPr>
              <w:pStyle w:val="P68B1DB1-Normal8"/>
              <w:spacing w:after="0" w:line="240" w:lineRule="auto"/>
              <w:jc w:val="center"/>
              <w:rPr>
                <w:rFonts w:eastAsia="Times New Roman" w:cs="Calibri"/>
                <w:noProof/>
              </w:rPr>
            </w:pPr>
            <w:r>
              <w:rPr>
                <w:noProof/>
              </w:rPr>
              <w:t>9</w:t>
            </w:r>
          </w:p>
        </w:tc>
        <w:tc>
          <w:tcPr>
            <w:tcW w:w="514" w:type="dxa"/>
            <w:shd w:val="clear" w:color="auto" w:fill="C4EFCE"/>
            <w:vAlign w:val="center"/>
            <w:hideMark/>
          </w:tcPr>
          <w:p w14:paraId="3CEE9014"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271A24C3"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10109FC" w14:textId="77777777" w:rsidR="00776A1F" w:rsidRDefault="00D8574B">
            <w:pPr>
              <w:pStyle w:val="P68B1DB1-Normal8"/>
              <w:spacing w:after="0" w:line="240" w:lineRule="auto"/>
              <w:jc w:val="both"/>
              <w:rPr>
                <w:rFonts w:eastAsia="Times New Roman" w:cs="Calibri"/>
                <w:noProof/>
              </w:rPr>
            </w:pPr>
            <w:r>
              <w:rPr>
                <w:noProof/>
              </w:rPr>
              <w:t>Projekti, kas apstiprināti un par kuriem noslēgti līgumi saskaņā ar atbalsta shēmām attiecībā uz inovāciju produktos un ražošanas un organizācijas procesos, zaļo pārkārtošanos un digitālo pārkārtošanos un kuru mērķis ir pārstrukturēt uzņēmumus lauksaimniecības pārstrādes un tirdzniecības nozarē.</w:t>
            </w:r>
          </w:p>
        </w:tc>
      </w:tr>
      <w:tr w:rsidR="00776A1F" w14:paraId="0924F5C3" w14:textId="77777777">
        <w:trPr>
          <w:trHeight w:val="971"/>
        </w:trPr>
        <w:tc>
          <w:tcPr>
            <w:tcW w:w="1134" w:type="dxa"/>
            <w:shd w:val="clear" w:color="auto" w:fill="C4EFCE"/>
            <w:vAlign w:val="center"/>
            <w:hideMark/>
          </w:tcPr>
          <w:p w14:paraId="6FC3F55D" w14:textId="77777777" w:rsidR="00776A1F" w:rsidRDefault="00D8574B">
            <w:pPr>
              <w:pStyle w:val="P68B1DB1-Normal7"/>
              <w:spacing w:after="0" w:line="240" w:lineRule="auto"/>
              <w:jc w:val="center"/>
              <w:rPr>
                <w:rFonts w:eastAsia="Times New Roman" w:cs="Calibri"/>
                <w:noProof/>
              </w:rPr>
            </w:pPr>
            <w:r>
              <w:rPr>
                <w:noProof/>
              </w:rPr>
              <w:t>5.21</w:t>
            </w:r>
          </w:p>
        </w:tc>
        <w:tc>
          <w:tcPr>
            <w:tcW w:w="1165" w:type="dxa"/>
            <w:shd w:val="clear" w:color="auto" w:fill="C4EFCE"/>
            <w:vAlign w:val="center"/>
            <w:hideMark/>
          </w:tcPr>
          <w:p w14:paraId="4BA8EF57" w14:textId="77777777" w:rsidR="00776A1F" w:rsidRDefault="00D8574B">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2AF2AE81"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B1D52CC" w14:textId="77777777" w:rsidR="00776A1F" w:rsidRDefault="00D8574B">
            <w:pPr>
              <w:pStyle w:val="P68B1DB1-Normal8"/>
              <w:spacing w:after="0" w:line="240" w:lineRule="auto"/>
              <w:jc w:val="center"/>
              <w:rPr>
                <w:rFonts w:eastAsia="Times New Roman" w:cs="Calibri"/>
                <w:noProof/>
              </w:rPr>
            </w:pPr>
            <w:r>
              <w:rPr>
                <w:noProof/>
              </w:rPr>
              <w:t>Projekti, ko atbalsta saskaņā ar lauku saimniecību pārstrukturēšanas atbalsta shēmām</w:t>
            </w:r>
          </w:p>
        </w:tc>
        <w:tc>
          <w:tcPr>
            <w:tcW w:w="2029" w:type="dxa"/>
            <w:shd w:val="clear" w:color="auto" w:fill="C4EFCE"/>
            <w:vAlign w:val="center"/>
            <w:hideMark/>
          </w:tcPr>
          <w:p w14:paraId="6EFE1DF8"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25D0A656"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5089F2CE"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734A034" w14:textId="30F54B9E" w:rsidR="00776A1F" w:rsidRDefault="00D8574B">
            <w:pPr>
              <w:pStyle w:val="P68B1DB1-Normal8"/>
              <w:spacing w:after="0" w:line="240" w:lineRule="auto"/>
              <w:jc w:val="center"/>
              <w:rPr>
                <w:rFonts w:eastAsia="Times New Roman" w:cs="Calibri"/>
                <w:noProof/>
              </w:rPr>
            </w:pPr>
            <w:r>
              <w:rPr>
                <w:noProof/>
              </w:rPr>
              <w:t>178</w:t>
            </w:r>
          </w:p>
        </w:tc>
        <w:tc>
          <w:tcPr>
            <w:tcW w:w="514" w:type="dxa"/>
            <w:shd w:val="clear" w:color="auto" w:fill="C4EFCE"/>
            <w:vAlign w:val="center"/>
            <w:hideMark/>
          </w:tcPr>
          <w:p w14:paraId="18F2BCCA"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33415951"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6D0C3A49" w14:textId="77777777" w:rsidR="00776A1F" w:rsidRDefault="00D8574B">
            <w:pPr>
              <w:pStyle w:val="P68B1DB1-Normal8"/>
              <w:spacing w:after="0" w:line="240" w:lineRule="auto"/>
              <w:jc w:val="both"/>
              <w:rPr>
                <w:rFonts w:eastAsia="Times New Roman" w:cs="Calibri"/>
                <w:noProof/>
              </w:rPr>
            </w:pPr>
            <w:r>
              <w:rPr>
                <w:noProof/>
              </w:rPr>
              <w:t>Projekti, kas apstiprināti un par kuriem noslēgti līgumi saskaņā ar atbalsta shēmām attiecībā uz inovāciju ražošanas un organizācijas produktos un procesos, zaļo pārkārtošanos un digitālo pārkārtošanos un kuru mērķis ir lauku saimniecību pārstrukturēšana.</w:t>
            </w:r>
          </w:p>
        </w:tc>
      </w:tr>
      <w:tr w:rsidR="00776A1F" w14:paraId="7B64C750" w14:textId="77777777">
        <w:trPr>
          <w:trHeight w:val="67"/>
        </w:trPr>
        <w:tc>
          <w:tcPr>
            <w:tcW w:w="1134" w:type="dxa"/>
            <w:shd w:val="clear" w:color="auto" w:fill="C4EFCE"/>
            <w:vAlign w:val="center"/>
            <w:hideMark/>
          </w:tcPr>
          <w:p w14:paraId="69F4FB66" w14:textId="77777777" w:rsidR="00776A1F" w:rsidRDefault="00D8574B">
            <w:pPr>
              <w:pStyle w:val="P68B1DB1-Normal7"/>
              <w:spacing w:after="0" w:line="240" w:lineRule="auto"/>
              <w:jc w:val="center"/>
              <w:rPr>
                <w:rFonts w:eastAsia="Times New Roman" w:cs="Calibri"/>
                <w:noProof/>
              </w:rPr>
            </w:pPr>
            <w:r>
              <w:rPr>
                <w:noProof/>
              </w:rPr>
              <w:t>5.22</w:t>
            </w:r>
          </w:p>
        </w:tc>
        <w:tc>
          <w:tcPr>
            <w:tcW w:w="1165" w:type="dxa"/>
            <w:shd w:val="clear" w:color="auto" w:fill="C4EFCE"/>
            <w:vAlign w:val="center"/>
            <w:hideMark/>
          </w:tcPr>
          <w:p w14:paraId="765D75C8" w14:textId="77777777" w:rsidR="00776A1F" w:rsidRDefault="00D8574B">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7A7C71EA" w14:textId="77777777" w:rsidR="00776A1F" w:rsidRDefault="00D8574B">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32B0C61" w14:textId="77777777" w:rsidR="00776A1F" w:rsidRDefault="00D8574B">
            <w:pPr>
              <w:pStyle w:val="P68B1DB1-Normal8"/>
              <w:spacing w:after="0" w:line="240" w:lineRule="auto"/>
              <w:jc w:val="center"/>
              <w:rPr>
                <w:rFonts w:eastAsia="Times New Roman" w:cs="Calibri"/>
                <w:noProof/>
              </w:rPr>
            </w:pPr>
            <w:r>
              <w:rPr>
                <w:noProof/>
              </w:rPr>
              <w:t>Lauku saimniecības, kas saņem specializētu tehnisko atbalstu saskaņā ar lauksaimnieku iespēju nodrošināšanas programmu</w:t>
            </w:r>
          </w:p>
        </w:tc>
        <w:tc>
          <w:tcPr>
            <w:tcW w:w="2029" w:type="dxa"/>
            <w:shd w:val="clear" w:color="auto" w:fill="C4EFCE"/>
            <w:vAlign w:val="center"/>
            <w:hideMark/>
          </w:tcPr>
          <w:p w14:paraId="7586AE24" w14:textId="77777777" w:rsidR="00776A1F" w:rsidRDefault="00D8574B">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D3912A" w14:textId="77777777" w:rsidR="00776A1F" w:rsidRDefault="00D8574B">
            <w:pPr>
              <w:pStyle w:val="P68B1DB1-Normal8"/>
              <w:spacing w:after="0" w:line="240" w:lineRule="auto"/>
              <w:jc w:val="center"/>
              <w:rPr>
                <w:rFonts w:eastAsia="Times New Roman" w:cs="Calibri"/>
                <w:noProof/>
              </w:rPr>
            </w:pPr>
            <w:r>
              <w:rPr>
                <w:noProof/>
              </w:rPr>
              <w:t>Skaits</w:t>
            </w:r>
          </w:p>
        </w:tc>
        <w:tc>
          <w:tcPr>
            <w:tcW w:w="982" w:type="dxa"/>
            <w:shd w:val="clear" w:color="auto" w:fill="C4EFCE"/>
            <w:vAlign w:val="center"/>
            <w:hideMark/>
          </w:tcPr>
          <w:p w14:paraId="3174DC4A" w14:textId="77777777" w:rsidR="00776A1F" w:rsidRDefault="00D8574B">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B33C92A" w14:textId="77777777" w:rsidR="00776A1F" w:rsidRDefault="00D8574B">
            <w:pPr>
              <w:pStyle w:val="P68B1DB1-Normal8"/>
              <w:spacing w:after="0" w:line="240" w:lineRule="auto"/>
              <w:jc w:val="center"/>
              <w:rPr>
                <w:rFonts w:eastAsia="Times New Roman" w:cs="Calibri"/>
                <w:noProof/>
              </w:rPr>
            </w:pPr>
            <w:r>
              <w:rPr>
                <w:noProof/>
              </w:rPr>
              <w:t>2 000</w:t>
            </w:r>
          </w:p>
        </w:tc>
        <w:tc>
          <w:tcPr>
            <w:tcW w:w="514" w:type="dxa"/>
            <w:shd w:val="clear" w:color="auto" w:fill="C4EFCE"/>
            <w:vAlign w:val="center"/>
            <w:hideMark/>
          </w:tcPr>
          <w:p w14:paraId="3CB938A2" w14:textId="77777777" w:rsidR="00776A1F" w:rsidRDefault="00D8574B">
            <w:pPr>
              <w:pStyle w:val="P68B1DB1-Normal8"/>
              <w:spacing w:after="0" w:line="240" w:lineRule="auto"/>
              <w:jc w:val="center"/>
              <w:rPr>
                <w:rFonts w:eastAsia="Times New Roman" w:cs="Calibri"/>
                <w:noProof/>
              </w:rPr>
            </w:pPr>
            <w:r>
              <w:rPr>
                <w:noProof/>
              </w:rPr>
              <w:t>4. CET.</w:t>
            </w:r>
          </w:p>
        </w:tc>
        <w:tc>
          <w:tcPr>
            <w:tcW w:w="747" w:type="dxa"/>
            <w:shd w:val="clear" w:color="auto" w:fill="C4EFCE"/>
            <w:vAlign w:val="center"/>
            <w:hideMark/>
          </w:tcPr>
          <w:p w14:paraId="28BE79BE" w14:textId="77777777" w:rsidR="00776A1F" w:rsidRDefault="00D8574B">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E512E2A" w14:textId="77777777" w:rsidR="00776A1F" w:rsidRDefault="00D8574B">
            <w:pPr>
              <w:pStyle w:val="P68B1DB1-Normal8"/>
              <w:spacing w:after="0" w:line="240" w:lineRule="auto"/>
              <w:jc w:val="both"/>
              <w:rPr>
                <w:rFonts w:eastAsia="Times New Roman" w:cs="Calibri"/>
                <w:noProof/>
              </w:rPr>
            </w:pPr>
            <w:r>
              <w:rPr>
                <w:noProof/>
              </w:rPr>
              <w:t>Lauku saimniecības, kas saņem specializētu tehnisko atbalstu kā daļu no darbībām, kuras jāveic saskaņā ar lauksaimnieku iespēju nodrošināšanas programmu.</w:t>
            </w:r>
          </w:p>
        </w:tc>
      </w:tr>
      <w:tr w:rsidR="00776A1F" w14:paraId="6B3FA3FC" w14:textId="77777777">
        <w:trPr>
          <w:trHeight w:val="2709"/>
        </w:trPr>
        <w:tc>
          <w:tcPr>
            <w:tcW w:w="1134" w:type="dxa"/>
            <w:shd w:val="clear" w:color="auto" w:fill="C4EFCE"/>
            <w:vAlign w:val="center"/>
          </w:tcPr>
          <w:p w14:paraId="54E7BC25" w14:textId="62E6C5C0" w:rsidR="00776A1F" w:rsidRDefault="00D8574B">
            <w:pPr>
              <w:pStyle w:val="P68B1DB1-Normal11"/>
              <w:spacing w:after="0" w:line="240" w:lineRule="auto"/>
              <w:jc w:val="center"/>
              <w:rPr>
                <w:rFonts w:eastAsia="Times New Roman" w:cstheme="minorHAnsi"/>
                <w:noProof/>
              </w:rPr>
            </w:pPr>
            <w:r>
              <w:rPr>
                <w:noProof/>
              </w:rPr>
              <w:t>5.33</w:t>
            </w:r>
          </w:p>
        </w:tc>
        <w:tc>
          <w:tcPr>
            <w:tcW w:w="1165" w:type="dxa"/>
            <w:shd w:val="clear" w:color="auto" w:fill="C4EFCE"/>
            <w:vAlign w:val="center"/>
          </w:tcPr>
          <w:p w14:paraId="5929BA6C" w14:textId="428A8C0E" w:rsidR="00776A1F" w:rsidRDefault="00D8574B">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30E1990D" w14:textId="582BDEE3" w:rsidR="00776A1F" w:rsidRDefault="00D8574B">
            <w:pPr>
              <w:pStyle w:val="P68B1DB1-Normal12"/>
              <w:spacing w:after="0" w:line="240" w:lineRule="auto"/>
              <w:jc w:val="center"/>
              <w:rPr>
                <w:rFonts w:eastAsia="Times New Roman" w:cstheme="minorHAnsi"/>
                <w:noProof/>
              </w:rPr>
            </w:pPr>
            <w:r>
              <w:rPr>
                <w:noProof/>
              </w:rPr>
              <w:t>M</w:t>
            </w:r>
          </w:p>
        </w:tc>
        <w:tc>
          <w:tcPr>
            <w:tcW w:w="1668" w:type="dxa"/>
            <w:shd w:val="clear" w:color="auto" w:fill="C4EFCE"/>
            <w:vAlign w:val="center"/>
          </w:tcPr>
          <w:p w14:paraId="59B95D11" w14:textId="5995F441" w:rsidR="00776A1F" w:rsidRDefault="00D8574B">
            <w:pPr>
              <w:pStyle w:val="P68B1DB1-Bodytext1013"/>
              <w:jc w:val="center"/>
              <w:rPr>
                <w:rFonts w:cstheme="minorHAnsi"/>
                <w:noProof/>
              </w:rPr>
            </w:pPr>
            <w:r>
              <w:rPr>
                <w:noProof/>
              </w:rPr>
              <w:t>Īstenošanas nolīguma (protokola) parakstīšana starp Banco Português de Fomento, Instituto de Desenvolvimento Empresarial un atsevišķiem finanšu starpniekiem</w:t>
            </w:r>
          </w:p>
        </w:tc>
        <w:tc>
          <w:tcPr>
            <w:tcW w:w="2029" w:type="dxa"/>
            <w:shd w:val="clear" w:color="auto" w:fill="C4EFCE"/>
            <w:vAlign w:val="center"/>
          </w:tcPr>
          <w:p w14:paraId="37342ABF" w14:textId="1772DDF4" w:rsidR="00776A1F" w:rsidRDefault="00D8574B">
            <w:pPr>
              <w:pStyle w:val="P68B1DB1-Normal12"/>
              <w:spacing w:after="0" w:line="240" w:lineRule="auto"/>
              <w:jc w:val="center"/>
              <w:rPr>
                <w:rFonts w:eastAsia="Times New Roman" w:cstheme="minorHAnsi"/>
                <w:noProof/>
              </w:rPr>
            </w:pPr>
            <w:r>
              <w:rPr>
                <w:noProof/>
              </w:rPr>
              <w:t>Īstenošanas nolīguma (protokola) parakstīšana starp Banco Português de Fomento, Instituto de Desenvolvimento Empresarial un atsevišķiem finanšu starpniekiem, aptverot visus pasākumā paredzētos finanšu instrumentus</w:t>
            </w:r>
          </w:p>
        </w:tc>
        <w:tc>
          <w:tcPr>
            <w:tcW w:w="982" w:type="dxa"/>
            <w:shd w:val="clear" w:color="auto" w:fill="C4EFCE"/>
            <w:vAlign w:val="center"/>
          </w:tcPr>
          <w:p w14:paraId="6758A57F" w14:textId="77777777" w:rsidR="00776A1F" w:rsidRDefault="00776A1F">
            <w:pPr>
              <w:spacing w:after="0" w:line="240" w:lineRule="auto"/>
              <w:jc w:val="center"/>
              <w:rPr>
                <w:rFonts w:eastAsia="Times New Roman" w:cstheme="minorHAnsi"/>
                <w:noProof/>
                <w:sz w:val="16"/>
              </w:rPr>
            </w:pPr>
          </w:p>
        </w:tc>
        <w:tc>
          <w:tcPr>
            <w:tcW w:w="982" w:type="dxa"/>
            <w:shd w:val="clear" w:color="auto" w:fill="C4EFCE"/>
            <w:vAlign w:val="center"/>
          </w:tcPr>
          <w:p w14:paraId="4ED1D73F" w14:textId="77777777" w:rsidR="00776A1F" w:rsidRDefault="00776A1F">
            <w:pPr>
              <w:spacing w:after="0" w:line="240" w:lineRule="auto"/>
              <w:jc w:val="center"/>
              <w:rPr>
                <w:rFonts w:eastAsia="Times New Roman" w:cstheme="minorHAnsi"/>
                <w:noProof/>
                <w:sz w:val="16"/>
              </w:rPr>
            </w:pPr>
          </w:p>
        </w:tc>
        <w:tc>
          <w:tcPr>
            <w:tcW w:w="626" w:type="dxa"/>
            <w:shd w:val="clear" w:color="auto" w:fill="C4EFCE"/>
            <w:vAlign w:val="center"/>
          </w:tcPr>
          <w:p w14:paraId="633B6B1E" w14:textId="77777777" w:rsidR="00776A1F" w:rsidRDefault="00776A1F">
            <w:pPr>
              <w:spacing w:after="0" w:line="240" w:lineRule="auto"/>
              <w:jc w:val="center"/>
              <w:rPr>
                <w:rFonts w:eastAsia="Times New Roman" w:cstheme="minorHAnsi"/>
                <w:noProof/>
                <w:sz w:val="16"/>
              </w:rPr>
            </w:pPr>
          </w:p>
        </w:tc>
        <w:tc>
          <w:tcPr>
            <w:tcW w:w="514" w:type="dxa"/>
            <w:shd w:val="clear" w:color="auto" w:fill="C4EFCE"/>
            <w:vAlign w:val="center"/>
          </w:tcPr>
          <w:p w14:paraId="798958ED" w14:textId="3E2F7C91" w:rsidR="00776A1F" w:rsidRDefault="00D8574B">
            <w:pPr>
              <w:pStyle w:val="P68B1DB1-Normal12"/>
              <w:spacing w:after="0" w:line="240" w:lineRule="auto"/>
              <w:jc w:val="center"/>
              <w:rPr>
                <w:rFonts w:eastAsia="Times New Roman" w:cstheme="minorHAnsi"/>
                <w:noProof/>
              </w:rPr>
            </w:pPr>
            <w:r>
              <w:rPr>
                <w:noProof/>
              </w:rPr>
              <w:t>2. CET.</w:t>
            </w:r>
          </w:p>
        </w:tc>
        <w:tc>
          <w:tcPr>
            <w:tcW w:w="747" w:type="dxa"/>
            <w:shd w:val="clear" w:color="auto" w:fill="C4EFCE"/>
            <w:vAlign w:val="center"/>
          </w:tcPr>
          <w:p w14:paraId="2525860B" w14:textId="3ECA8FE2" w:rsidR="00776A1F" w:rsidRDefault="00D8574B">
            <w:pPr>
              <w:pStyle w:val="P68B1DB1-Normal12"/>
              <w:spacing w:after="0" w:line="240" w:lineRule="auto"/>
              <w:jc w:val="center"/>
              <w:rPr>
                <w:rFonts w:eastAsia="Times New Roman" w:cstheme="minorHAnsi"/>
                <w:noProof/>
              </w:rPr>
            </w:pPr>
            <w:r>
              <w:rPr>
                <w:noProof/>
              </w:rPr>
              <w:t>2024</w:t>
            </w:r>
          </w:p>
        </w:tc>
        <w:tc>
          <w:tcPr>
            <w:tcW w:w="3919" w:type="dxa"/>
            <w:shd w:val="clear" w:color="auto" w:fill="C4EFCE"/>
          </w:tcPr>
          <w:p w14:paraId="7BFE9655" w14:textId="291FD11F" w:rsidR="00776A1F" w:rsidRDefault="00D8574B">
            <w:pPr>
              <w:pStyle w:val="P68B1DB1-Bodytext1013"/>
              <w:rPr>
                <w:rFonts w:cstheme="minorHAnsi"/>
                <w:noProof/>
              </w:rPr>
            </w:pPr>
            <w:r>
              <w:rPr>
                <w:noProof/>
              </w:rPr>
              <w:t xml:space="preserve">Īstenošanas nolīguma (protokola) parakstīšana starp Banco Português de Fomento, Instituto de Desenvolvimento Empresarial un atsevišķiem finanšu starpniekiem, kas aptver visus pasākumā paredzētos finanšu instrumentus. </w:t>
            </w:r>
          </w:p>
          <w:p w14:paraId="2B9416E9" w14:textId="1999C5AE" w:rsidR="00776A1F" w:rsidRDefault="00D8574B">
            <w:pPr>
              <w:pStyle w:val="P68B1DB1-Normal12"/>
              <w:spacing w:after="0" w:line="240" w:lineRule="auto"/>
              <w:jc w:val="both"/>
              <w:rPr>
                <w:rFonts w:eastAsia="Times New Roman" w:cstheme="minorHAnsi"/>
                <w:noProof/>
              </w:rPr>
            </w:pPr>
            <w:r>
              <w:rPr>
                <w:noProof/>
              </w:rPr>
              <w:t xml:space="preserve">Īstenošanas nolīgumā un turpmākajos finanšu instrumenta juridiskajos dokumentos ir prasīts piemērot izslēgšanas sarakstu (kā noteikts pasākuma aprakstā) un pārbaudīt atbilstību ES un valsts tiesību aktiem vides jomā. </w:t>
            </w:r>
          </w:p>
        </w:tc>
      </w:tr>
      <w:tr w:rsidR="00776A1F" w14:paraId="4CBE3D8A" w14:textId="77777777">
        <w:trPr>
          <w:trHeight w:val="67"/>
        </w:trPr>
        <w:tc>
          <w:tcPr>
            <w:tcW w:w="1134" w:type="dxa"/>
            <w:shd w:val="clear" w:color="auto" w:fill="C4EFCE"/>
            <w:vAlign w:val="center"/>
          </w:tcPr>
          <w:p w14:paraId="7BB0CA82" w14:textId="09AAED9B" w:rsidR="00776A1F" w:rsidRDefault="00D8574B">
            <w:pPr>
              <w:pStyle w:val="P68B1DB1-Normal11"/>
              <w:spacing w:after="0" w:line="240" w:lineRule="auto"/>
              <w:jc w:val="center"/>
              <w:rPr>
                <w:rFonts w:eastAsia="Times New Roman" w:cstheme="minorHAnsi"/>
                <w:noProof/>
              </w:rPr>
            </w:pPr>
            <w:r>
              <w:rPr>
                <w:noProof/>
              </w:rPr>
              <w:t>5.34</w:t>
            </w:r>
          </w:p>
        </w:tc>
        <w:tc>
          <w:tcPr>
            <w:tcW w:w="1165" w:type="dxa"/>
            <w:shd w:val="clear" w:color="auto" w:fill="C4EFCE"/>
            <w:vAlign w:val="center"/>
          </w:tcPr>
          <w:p w14:paraId="4855C77A" w14:textId="5D5E927E" w:rsidR="00776A1F" w:rsidRDefault="00D8574B">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1DD25CAD" w14:textId="1026C3D1" w:rsidR="00776A1F" w:rsidRDefault="00D8574B">
            <w:pPr>
              <w:pStyle w:val="P68B1DB1-Normal12"/>
              <w:spacing w:after="0" w:line="240" w:lineRule="auto"/>
              <w:jc w:val="center"/>
              <w:rPr>
                <w:rFonts w:eastAsia="Times New Roman" w:cstheme="minorHAnsi"/>
                <w:noProof/>
              </w:rPr>
            </w:pPr>
            <w:r>
              <w:rPr>
                <w:noProof/>
              </w:rPr>
              <w:t>T</w:t>
            </w:r>
          </w:p>
        </w:tc>
        <w:tc>
          <w:tcPr>
            <w:tcW w:w="1668" w:type="dxa"/>
            <w:shd w:val="clear" w:color="auto" w:fill="C4EFCE"/>
            <w:vAlign w:val="center"/>
          </w:tcPr>
          <w:p w14:paraId="2A3A2C05" w14:textId="671BE97B" w:rsidR="00776A1F" w:rsidRDefault="00D8574B">
            <w:pPr>
              <w:pStyle w:val="P68B1DB1-Normal12"/>
              <w:spacing w:after="0" w:line="240" w:lineRule="auto"/>
              <w:jc w:val="center"/>
              <w:rPr>
                <w:rFonts w:eastAsia="Times New Roman" w:cstheme="minorHAnsi"/>
                <w:noProof/>
              </w:rPr>
            </w:pPr>
            <w:r>
              <w:rPr>
                <w:noProof/>
              </w:rPr>
              <w:t>Aizdevumu garantijas reģionālo uzņēmumu projektu atbalstam.</w:t>
            </w:r>
          </w:p>
        </w:tc>
        <w:tc>
          <w:tcPr>
            <w:tcW w:w="2029" w:type="dxa"/>
            <w:shd w:val="clear" w:color="auto" w:fill="C4EFCE"/>
            <w:vAlign w:val="center"/>
          </w:tcPr>
          <w:p w14:paraId="14B7871F" w14:textId="4EB3B0C4" w:rsidR="00776A1F" w:rsidRDefault="00D8574B">
            <w:pPr>
              <w:pStyle w:val="P68B1DB1-Normal12"/>
              <w:spacing w:after="0" w:line="240" w:lineRule="auto"/>
              <w:jc w:val="center"/>
              <w:rPr>
                <w:rFonts w:eastAsia="Times New Roman" w:cstheme="minorHAnsi"/>
                <w:noProof/>
              </w:rPr>
            </w:pPr>
            <w:r>
              <w:rPr>
                <w:noProof/>
              </w:rPr>
              <w:t>—</w:t>
            </w:r>
          </w:p>
        </w:tc>
        <w:tc>
          <w:tcPr>
            <w:tcW w:w="982" w:type="dxa"/>
            <w:shd w:val="clear" w:color="auto" w:fill="C4EFCE"/>
            <w:vAlign w:val="center"/>
          </w:tcPr>
          <w:p w14:paraId="5FC778CA" w14:textId="5E913ACC" w:rsidR="00776A1F" w:rsidRDefault="00D8574B">
            <w:pPr>
              <w:pStyle w:val="P68B1DB1-Normal12"/>
              <w:spacing w:after="0" w:line="240" w:lineRule="auto"/>
              <w:jc w:val="center"/>
              <w:rPr>
                <w:rFonts w:eastAsia="Times New Roman" w:cstheme="minorHAnsi"/>
                <w:noProof/>
              </w:rPr>
            </w:pPr>
            <w:r>
              <w:rPr>
                <w:noProof/>
              </w:rPr>
              <w:t>EUR</w:t>
            </w:r>
          </w:p>
        </w:tc>
        <w:tc>
          <w:tcPr>
            <w:tcW w:w="982" w:type="dxa"/>
            <w:shd w:val="clear" w:color="auto" w:fill="C4EFCE"/>
            <w:vAlign w:val="center"/>
          </w:tcPr>
          <w:p w14:paraId="0271D6FF" w14:textId="04899E06" w:rsidR="00776A1F" w:rsidRDefault="00D8574B">
            <w:pPr>
              <w:pStyle w:val="P68B1DB1-Normal12"/>
              <w:spacing w:after="0" w:line="240" w:lineRule="auto"/>
              <w:jc w:val="center"/>
              <w:rPr>
                <w:rFonts w:eastAsia="Times New Roman" w:cstheme="minorHAnsi"/>
                <w:noProof/>
              </w:rPr>
            </w:pPr>
            <w:r>
              <w:rPr>
                <w:noProof/>
              </w:rPr>
              <w:t>0</w:t>
            </w:r>
          </w:p>
        </w:tc>
        <w:tc>
          <w:tcPr>
            <w:tcW w:w="626" w:type="dxa"/>
            <w:shd w:val="clear" w:color="auto" w:fill="C4EFCE"/>
            <w:vAlign w:val="center"/>
          </w:tcPr>
          <w:p w14:paraId="6451A08B" w14:textId="2E7FED99" w:rsidR="00776A1F" w:rsidRDefault="00D8574B">
            <w:pPr>
              <w:pStyle w:val="P68B1DB1-Normal12"/>
              <w:spacing w:after="0" w:line="240" w:lineRule="auto"/>
              <w:jc w:val="center"/>
              <w:rPr>
                <w:rFonts w:eastAsia="Times New Roman" w:cstheme="minorHAnsi"/>
                <w:noProof/>
              </w:rPr>
            </w:pPr>
            <w:r>
              <w:rPr>
                <w:noProof/>
              </w:rPr>
              <w:t>15 900 000</w:t>
            </w:r>
          </w:p>
        </w:tc>
        <w:tc>
          <w:tcPr>
            <w:tcW w:w="514" w:type="dxa"/>
            <w:shd w:val="clear" w:color="auto" w:fill="C4EFCE"/>
            <w:vAlign w:val="center"/>
          </w:tcPr>
          <w:p w14:paraId="2A88DF46" w14:textId="7CCAE0DE" w:rsidR="00776A1F" w:rsidRDefault="00D8574B">
            <w:pPr>
              <w:pStyle w:val="P68B1DB1-Normal12"/>
              <w:spacing w:after="0" w:line="240" w:lineRule="auto"/>
              <w:jc w:val="center"/>
              <w:rPr>
                <w:rFonts w:eastAsia="Times New Roman" w:cstheme="minorHAnsi"/>
                <w:noProof/>
              </w:rPr>
            </w:pPr>
            <w:r>
              <w:rPr>
                <w:noProof/>
              </w:rPr>
              <w:t>4. CET.</w:t>
            </w:r>
          </w:p>
        </w:tc>
        <w:tc>
          <w:tcPr>
            <w:tcW w:w="747" w:type="dxa"/>
            <w:shd w:val="clear" w:color="auto" w:fill="C4EFCE"/>
            <w:vAlign w:val="center"/>
          </w:tcPr>
          <w:p w14:paraId="5FEA44B0" w14:textId="0E21A022" w:rsidR="00776A1F" w:rsidRDefault="00D8574B">
            <w:pPr>
              <w:pStyle w:val="P68B1DB1-Normal12"/>
              <w:spacing w:after="0" w:line="240" w:lineRule="auto"/>
              <w:jc w:val="center"/>
              <w:rPr>
                <w:rFonts w:eastAsia="Times New Roman" w:cstheme="minorHAnsi"/>
                <w:noProof/>
              </w:rPr>
            </w:pPr>
            <w:r>
              <w:rPr>
                <w:noProof/>
              </w:rPr>
              <w:t>2025</w:t>
            </w:r>
          </w:p>
        </w:tc>
        <w:tc>
          <w:tcPr>
            <w:tcW w:w="3919" w:type="dxa"/>
            <w:shd w:val="clear" w:color="auto" w:fill="C4EFCE"/>
          </w:tcPr>
          <w:p w14:paraId="3959FFFC" w14:textId="44A649C9" w:rsidR="00776A1F" w:rsidRDefault="00D8574B">
            <w:pPr>
              <w:pStyle w:val="P68B1DB1-Normal12"/>
              <w:spacing w:after="0" w:line="240" w:lineRule="auto"/>
              <w:jc w:val="both"/>
              <w:rPr>
                <w:rFonts w:eastAsia="Times New Roman" w:cstheme="minorHAnsi"/>
                <w:noProof/>
              </w:rPr>
            </w:pPr>
            <w:r>
              <w:rPr>
                <w:noProof/>
              </w:rPr>
              <w:t xml:space="preserve">Garantiju sniegšana aizdevumiem EUR 15900000 apmērā kopā ar atbalstu procentu izdevumiem par aizdevumiem saskaņā ar valsts savstarpējo garantiju sistēmu, atbalstot vismaz 10 reģionālus projektus. </w:t>
            </w:r>
          </w:p>
        </w:tc>
      </w:tr>
      <w:tr w:rsidR="00776A1F" w14:paraId="2C5CFDE1" w14:textId="77777777">
        <w:trPr>
          <w:trHeight w:val="67"/>
        </w:trPr>
        <w:tc>
          <w:tcPr>
            <w:tcW w:w="1134" w:type="dxa"/>
            <w:shd w:val="clear" w:color="auto" w:fill="C4EFCE"/>
            <w:vAlign w:val="center"/>
          </w:tcPr>
          <w:p w14:paraId="0773CFB1" w14:textId="6033DE37" w:rsidR="00776A1F" w:rsidRDefault="00D8574B">
            <w:pPr>
              <w:pStyle w:val="P68B1DB1-Normal11"/>
              <w:spacing w:after="0" w:line="240" w:lineRule="auto"/>
              <w:jc w:val="center"/>
              <w:rPr>
                <w:rFonts w:cstheme="minorHAnsi"/>
                <w:noProof/>
              </w:rPr>
            </w:pPr>
            <w:r>
              <w:rPr>
                <w:noProof/>
              </w:rPr>
              <w:t>5.35</w:t>
            </w:r>
          </w:p>
        </w:tc>
        <w:tc>
          <w:tcPr>
            <w:tcW w:w="1165" w:type="dxa"/>
            <w:shd w:val="clear" w:color="auto" w:fill="C4EFCE"/>
            <w:vAlign w:val="center"/>
          </w:tcPr>
          <w:p w14:paraId="00F378C5" w14:textId="26E033C1" w:rsidR="00776A1F" w:rsidRDefault="00D8574B">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176CCB47" w14:textId="022E3FC5" w:rsidR="00776A1F" w:rsidRDefault="00D8574B">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3BF0EA1" w14:textId="55368CAA" w:rsidR="00776A1F" w:rsidRDefault="00D8574B">
            <w:pPr>
              <w:pStyle w:val="P68B1DB1-Normal12"/>
              <w:spacing w:after="0" w:line="240" w:lineRule="auto"/>
              <w:jc w:val="center"/>
              <w:rPr>
                <w:noProof/>
              </w:rPr>
            </w:pPr>
            <w:r>
              <w:rPr>
                <w:noProof/>
              </w:rPr>
              <w:t>“Zinātnes XXI pilsētiņas” un “Zinātnes dienesta” pabeigšana un pakalpojumu sniegšana, izmantojot Valsts atvērtās zinātnes un atvērto pētniecības datu programmu (PNCADAI)</w:t>
            </w:r>
          </w:p>
        </w:tc>
        <w:tc>
          <w:tcPr>
            <w:tcW w:w="2029" w:type="dxa"/>
            <w:shd w:val="clear" w:color="auto" w:fill="C4EFCE"/>
            <w:vAlign w:val="center"/>
          </w:tcPr>
          <w:p w14:paraId="13A0FF6F" w14:textId="77777777" w:rsidR="00776A1F" w:rsidRDefault="00776A1F">
            <w:pPr>
              <w:spacing w:after="0" w:line="240" w:lineRule="auto"/>
              <w:jc w:val="center"/>
              <w:rPr>
                <w:rFonts w:cstheme="minorHAnsi"/>
                <w:noProof/>
                <w:sz w:val="16"/>
              </w:rPr>
            </w:pPr>
          </w:p>
        </w:tc>
        <w:tc>
          <w:tcPr>
            <w:tcW w:w="982" w:type="dxa"/>
            <w:shd w:val="clear" w:color="auto" w:fill="C4EFCE"/>
            <w:vAlign w:val="center"/>
          </w:tcPr>
          <w:p w14:paraId="22740551" w14:textId="1CB75FCC" w:rsidR="00776A1F" w:rsidRDefault="00D8574B">
            <w:pPr>
              <w:pStyle w:val="P68B1DB1-Normal12"/>
              <w:spacing w:after="0" w:line="240" w:lineRule="auto"/>
              <w:jc w:val="center"/>
              <w:rPr>
                <w:rFonts w:cstheme="minorHAnsi"/>
                <w:noProof/>
              </w:rPr>
            </w:pPr>
            <w:r>
              <w:rPr>
                <w:noProof/>
              </w:rPr>
              <w:t>Skaits</w:t>
            </w:r>
          </w:p>
        </w:tc>
        <w:tc>
          <w:tcPr>
            <w:tcW w:w="982" w:type="dxa"/>
            <w:shd w:val="clear" w:color="auto" w:fill="C4EFCE"/>
            <w:vAlign w:val="center"/>
          </w:tcPr>
          <w:p w14:paraId="57FCAC8C" w14:textId="6C811F49" w:rsidR="00776A1F" w:rsidRDefault="00D8574B">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13745293" w14:textId="3C59DC12" w:rsidR="00776A1F" w:rsidRDefault="00D8574B">
            <w:pPr>
              <w:pStyle w:val="P68B1DB1-Normal12"/>
              <w:spacing w:after="0" w:line="240" w:lineRule="auto"/>
              <w:jc w:val="center"/>
              <w:rPr>
                <w:noProof/>
                <w:highlight w:val="cyan"/>
              </w:rPr>
            </w:pPr>
            <w:r>
              <w:rPr>
                <w:noProof/>
              </w:rPr>
              <w:t>9</w:t>
            </w:r>
          </w:p>
        </w:tc>
        <w:tc>
          <w:tcPr>
            <w:tcW w:w="514" w:type="dxa"/>
            <w:shd w:val="clear" w:color="auto" w:fill="C4EFCE"/>
            <w:vAlign w:val="center"/>
          </w:tcPr>
          <w:p w14:paraId="70909177" w14:textId="2BF5B3A1" w:rsidR="00776A1F" w:rsidRDefault="00D8574B">
            <w:pPr>
              <w:pStyle w:val="P68B1DB1-Normal12"/>
              <w:spacing w:after="0" w:line="240" w:lineRule="auto"/>
              <w:jc w:val="center"/>
              <w:rPr>
                <w:rFonts w:cstheme="minorHAnsi"/>
                <w:noProof/>
              </w:rPr>
            </w:pPr>
            <w:r>
              <w:rPr>
                <w:noProof/>
              </w:rPr>
              <w:t>4. CET.</w:t>
            </w:r>
          </w:p>
        </w:tc>
        <w:tc>
          <w:tcPr>
            <w:tcW w:w="747" w:type="dxa"/>
            <w:shd w:val="clear" w:color="auto" w:fill="C4EFCE"/>
            <w:vAlign w:val="center"/>
          </w:tcPr>
          <w:p w14:paraId="752967AE" w14:textId="0BF8F3C5" w:rsidR="00776A1F" w:rsidRDefault="00D8574B">
            <w:pPr>
              <w:pStyle w:val="P68B1DB1-Normal12"/>
              <w:spacing w:after="0" w:line="240" w:lineRule="auto"/>
              <w:jc w:val="center"/>
              <w:rPr>
                <w:rFonts w:cstheme="minorHAnsi"/>
                <w:noProof/>
              </w:rPr>
            </w:pPr>
            <w:r>
              <w:rPr>
                <w:noProof/>
              </w:rPr>
              <w:t>2025 </w:t>
            </w:r>
          </w:p>
        </w:tc>
        <w:tc>
          <w:tcPr>
            <w:tcW w:w="3919" w:type="dxa"/>
            <w:shd w:val="clear" w:color="auto" w:fill="C4EFCE"/>
            <w:vAlign w:val="center"/>
          </w:tcPr>
          <w:p w14:paraId="74F80FFD" w14:textId="63AC4EAE" w:rsidR="00776A1F" w:rsidRDefault="00D8574B">
            <w:pPr>
              <w:pStyle w:val="P68B1DB1-Normal12"/>
              <w:spacing w:after="0" w:line="240" w:lineRule="auto"/>
              <w:jc w:val="both"/>
              <w:rPr>
                <w:noProof/>
              </w:rPr>
            </w:pPr>
            <w:r>
              <w:rPr>
                <w:noProof/>
              </w:rPr>
              <w:t xml:space="preserve">Divu digitālo un dabaszinātņu un tehnoloģiju pakalpojumu pabeigšana: “Campus Science XXI” un “Zinātnes dienests”. </w:t>
            </w:r>
          </w:p>
          <w:p w14:paraId="00F0CA38" w14:textId="04A5C66F" w:rsidR="00776A1F" w:rsidRDefault="00776A1F">
            <w:pPr>
              <w:spacing w:after="0" w:line="240" w:lineRule="auto"/>
              <w:jc w:val="both"/>
              <w:rPr>
                <w:noProof/>
                <w:sz w:val="16"/>
              </w:rPr>
            </w:pPr>
          </w:p>
          <w:p w14:paraId="507B7C51" w14:textId="320143D7" w:rsidR="00776A1F" w:rsidRDefault="00D8574B">
            <w:pPr>
              <w:pStyle w:val="P68B1DB1-Normal12"/>
              <w:spacing w:after="0" w:line="240" w:lineRule="auto"/>
              <w:jc w:val="both"/>
              <w:rPr>
                <w:noProof/>
              </w:rPr>
            </w:pPr>
            <w:r>
              <w:rPr>
                <w:noProof/>
              </w:rPr>
              <w:t>Septiņu tiešsaistes elektronisko pakalpojumu sniegšana Valsts atvērtās zinātnes un atvērto pētniecības datu programmas (PNCADAI) ietvaros. Programma ietver datu centra infrastruktūru, kā arī datu pārvaldības pakalpojumu.</w:t>
            </w:r>
          </w:p>
        </w:tc>
      </w:tr>
      <w:tr w:rsidR="00776A1F" w14:paraId="7FB7AC29" w14:textId="77777777">
        <w:trPr>
          <w:trHeight w:val="67"/>
        </w:trPr>
        <w:tc>
          <w:tcPr>
            <w:tcW w:w="1134" w:type="dxa"/>
            <w:shd w:val="clear" w:color="auto" w:fill="C4EFCE"/>
            <w:vAlign w:val="center"/>
          </w:tcPr>
          <w:p w14:paraId="4B3A8873" w14:textId="179ED554" w:rsidR="00776A1F" w:rsidRDefault="00D8574B">
            <w:pPr>
              <w:pStyle w:val="P68B1DB1-Normal11"/>
              <w:spacing w:after="0" w:line="240" w:lineRule="auto"/>
              <w:jc w:val="center"/>
              <w:rPr>
                <w:rFonts w:cstheme="minorHAnsi"/>
                <w:noProof/>
              </w:rPr>
            </w:pPr>
            <w:r>
              <w:rPr>
                <w:noProof/>
              </w:rPr>
              <w:t>5.36</w:t>
            </w:r>
          </w:p>
        </w:tc>
        <w:tc>
          <w:tcPr>
            <w:tcW w:w="1165" w:type="dxa"/>
            <w:shd w:val="clear" w:color="auto" w:fill="C4EFCE"/>
            <w:vAlign w:val="center"/>
          </w:tcPr>
          <w:p w14:paraId="1F9177C6" w14:textId="5AA691B4" w:rsidR="00776A1F" w:rsidRDefault="00D8574B">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2AACB229" w14:textId="43308D7E" w:rsidR="00776A1F" w:rsidRDefault="00D8574B">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3E3B9075" w14:textId="3A696E59" w:rsidR="00776A1F" w:rsidRDefault="00D8574B">
            <w:pPr>
              <w:pStyle w:val="P68B1DB1-Normal12"/>
              <w:spacing w:after="0" w:line="240" w:lineRule="auto"/>
              <w:jc w:val="center"/>
              <w:rPr>
                <w:noProof/>
              </w:rPr>
            </w:pPr>
            <w:r>
              <w:rPr>
                <w:noProof/>
              </w:rPr>
              <w:t>Pētniecības un attīstības programmas projektu pabeigšana valsts pārvaldē un jauni kursi masu tiešsaistes kursu valsts platformā (NAU)</w:t>
            </w:r>
          </w:p>
        </w:tc>
        <w:tc>
          <w:tcPr>
            <w:tcW w:w="2029" w:type="dxa"/>
            <w:shd w:val="clear" w:color="auto" w:fill="C4EFCE"/>
            <w:vAlign w:val="center"/>
          </w:tcPr>
          <w:p w14:paraId="0E21AFE0" w14:textId="774900D8" w:rsidR="00776A1F" w:rsidRDefault="00D8574B">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3D64CFE9" w14:textId="46B248A4" w:rsidR="00776A1F" w:rsidRDefault="00D8574B">
            <w:pPr>
              <w:pStyle w:val="P68B1DB1-Normal12"/>
              <w:spacing w:after="0" w:line="240" w:lineRule="auto"/>
              <w:jc w:val="center"/>
              <w:rPr>
                <w:rFonts w:cstheme="minorHAnsi"/>
                <w:noProof/>
              </w:rPr>
            </w:pPr>
            <w:r>
              <w:rPr>
                <w:noProof/>
              </w:rPr>
              <w:t>Skaits</w:t>
            </w:r>
          </w:p>
        </w:tc>
        <w:tc>
          <w:tcPr>
            <w:tcW w:w="982" w:type="dxa"/>
            <w:shd w:val="clear" w:color="auto" w:fill="C4EFCE"/>
            <w:vAlign w:val="center"/>
          </w:tcPr>
          <w:p w14:paraId="5F88E593" w14:textId="4099A441" w:rsidR="00776A1F" w:rsidRDefault="00D8574B">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21DC20A1" w14:textId="13A50267" w:rsidR="00776A1F" w:rsidRDefault="00D8574B">
            <w:pPr>
              <w:pStyle w:val="P68B1DB1-Normal12"/>
              <w:spacing w:after="0" w:line="240" w:lineRule="auto"/>
              <w:jc w:val="center"/>
              <w:rPr>
                <w:noProof/>
                <w:highlight w:val="cyan"/>
              </w:rPr>
            </w:pPr>
            <w:r>
              <w:rPr>
                <w:noProof/>
              </w:rPr>
              <w:t>144</w:t>
            </w:r>
          </w:p>
        </w:tc>
        <w:tc>
          <w:tcPr>
            <w:tcW w:w="514" w:type="dxa"/>
            <w:shd w:val="clear" w:color="auto" w:fill="C4EFCE"/>
            <w:vAlign w:val="center"/>
          </w:tcPr>
          <w:p w14:paraId="14DC8D5E" w14:textId="4E1FC6D6" w:rsidR="00776A1F" w:rsidRDefault="00D8574B">
            <w:pPr>
              <w:pStyle w:val="P68B1DB1-Normal12"/>
              <w:spacing w:after="0" w:line="240" w:lineRule="auto"/>
              <w:jc w:val="center"/>
              <w:rPr>
                <w:rFonts w:cstheme="minorHAnsi"/>
                <w:noProof/>
              </w:rPr>
            </w:pPr>
            <w:r>
              <w:rPr>
                <w:noProof/>
              </w:rPr>
              <w:t>1. CET.</w:t>
            </w:r>
          </w:p>
        </w:tc>
        <w:tc>
          <w:tcPr>
            <w:tcW w:w="747" w:type="dxa"/>
            <w:shd w:val="clear" w:color="auto" w:fill="C4EFCE"/>
            <w:vAlign w:val="center"/>
          </w:tcPr>
          <w:p w14:paraId="6C28108F" w14:textId="341BEB1E" w:rsidR="00776A1F" w:rsidRDefault="00D8574B">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3741DF14" w14:textId="79BB2D5C" w:rsidR="00776A1F" w:rsidRDefault="00D8574B">
            <w:pPr>
              <w:pStyle w:val="P68B1DB1-Normal12"/>
              <w:spacing w:after="0" w:line="240" w:lineRule="auto"/>
              <w:jc w:val="both"/>
              <w:rPr>
                <w:noProof/>
              </w:rPr>
            </w:pPr>
            <w:r>
              <w:rPr>
                <w:noProof/>
              </w:rPr>
              <w:t xml:space="preserve">94 projektu pabeigšana, kurus finansē kā daļu no pētniecības un izstrādes programmas valsts pārvaldē (tostarp mākslīgā intelekta (MI), kiberdrošības un datu zinātnes jomā). </w:t>
            </w:r>
          </w:p>
          <w:p w14:paraId="222B1DF4" w14:textId="507AAE05" w:rsidR="00776A1F" w:rsidRDefault="00776A1F">
            <w:pPr>
              <w:spacing w:after="0" w:line="240" w:lineRule="auto"/>
              <w:jc w:val="both"/>
              <w:rPr>
                <w:noProof/>
                <w:sz w:val="16"/>
              </w:rPr>
            </w:pPr>
          </w:p>
          <w:p w14:paraId="58102DBE" w14:textId="173B1D60" w:rsidR="00776A1F" w:rsidRDefault="00D8574B">
            <w:pPr>
              <w:pStyle w:val="P68B1DB1-Normal12"/>
              <w:spacing w:after="0" w:line="240" w:lineRule="auto"/>
              <w:jc w:val="both"/>
              <w:rPr>
                <w:noProof/>
              </w:rPr>
            </w:pPr>
            <w:r>
              <w:rPr>
                <w:noProof/>
              </w:rPr>
              <w:t>50 jauni kursi, kas tiek piedāvāti, izmantojot Valsts platformu masu tiešsaistes kursiem (NAU), izmantojot jaunizstrādāto tehnoloģisko infrastruktūru.</w:t>
            </w:r>
          </w:p>
        </w:tc>
      </w:tr>
      <w:tr w:rsidR="00776A1F" w14:paraId="3CFFEAB5" w14:textId="77777777">
        <w:trPr>
          <w:trHeight w:val="67"/>
        </w:trPr>
        <w:tc>
          <w:tcPr>
            <w:tcW w:w="1134" w:type="dxa"/>
            <w:shd w:val="clear" w:color="auto" w:fill="C4EFCE"/>
            <w:vAlign w:val="center"/>
          </w:tcPr>
          <w:p w14:paraId="02998C93" w14:textId="7BC372D7" w:rsidR="00776A1F" w:rsidRDefault="00D8574B">
            <w:pPr>
              <w:pStyle w:val="P68B1DB1-Normal11"/>
              <w:spacing w:after="0" w:line="240" w:lineRule="auto"/>
              <w:jc w:val="center"/>
              <w:rPr>
                <w:rFonts w:cstheme="minorHAnsi"/>
                <w:noProof/>
              </w:rPr>
            </w:pPr>
            <w:r>
              <w:rPr>
                <w:noProof/>
              </w:rPr>
              <w:t>5.37</w:t>
            </w:r>
          </w:p>
        </w:tc>
        <w:tc>
          <w:tcPr>
            <w:tcW w:w="1165" w:type="dxa"/>
            <w:shd w:val="clear" w:color="auto" w:fill="C4EFCE"/>
            <w:vAlign w:val="center"/>
          </w:tcPr>
          <w:p w14:paraId="57B2A843" w14:textId="724532F4" w:rsidR="00776A1F" w:rsidRDefault="00D8574B">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BEDE968" w14:textId="63C0C0AF" w:rsidR="00776A1F" w:rsidRDefault="00D8574B">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71202E2B" w14:textId="74ACF820" w:rsidR="00776A1F" w:rsidRDefault="00D8574B">
            <w:pPr>
              <w:pStyle w:val="P68B1DB1-Normal12"/>
              <w:spacing w:after="0" w:line="240" w:lineRule="auto"/>
              <w:jc w:val="center"/>
              <w:rPr>
                <w:rFonts w:cstheme="minorHAnsi"/>
                <w:noProof/>
              </w:rPr>
            </w:pPr>
            <w:r>
              <w:rPr>
                <w:noProof/>
              </w:rPr>
              <w:t>Valsts progresīvās datošanas centra (CNCA) izveide.</w:t>
            </w:r>
          </w:p>
        </w:tc>
        <w:tc>
          <w:tcPr>
            <w:tcW w:w="2029" w:type="dxa"/>
            <w:shd w:val="clear" w:color="auto" w:fill="C4EFCE"/>
            <w:vAlign w:val="center"/>
          </w:tcPr>
          <w:p w14:paraId="7A981D55" w14:textId="2AB7DBD0" w:rsidR="00776A1F" w:rsidRDefault="00D8574B">
            <w:pPr>
              <w:pStyle w:val="P68B1DB1-Normal12"/>
              <w:spacing w:after="0" w:line="240" w:lineRule="auto"/>
              <w:jc w:val="center"/>
              <w:rPr>
                <w:rFonts w:cstheme="minorHAnsi"/>
                <w:noProof/>
              </w:rPr>
            </w:pPr>
            <w:r>
              <w:rPr>
                <w:noProof/>
              </w:rPr>
              <w:t>Valsts progresīvās datošanas centra izveide</w:t>
            </w:r>
          </w:p>
        </w:tc>
        <w:tc>
          <w:tcPr>
            <w:tcW w:w="982" w:type="dxa"/>
            <w:shd w:val="clear" w:color="auto" w:fill="C4EFCE"/>
            <w:vAlign w:val="center"/>
          </w:tcPr>
          <w:p w14:paraId="38AA2D81" w14:textId="77777777" w:rsidR="00776A1F" w:rsidRDefault="00776A1F">
            <w:pPr>
              <w:spacing w:after="0" w:line="240" w:lineRule="auto"/>
              <w:jc w:val="center"/>
              <w:rPr>
                <w:rFonts w:cstheme="minorHAnsi"/>
                <w:noProof/>
                <w:sz w:val="16"/>
              </w:rPr>
            </w:pPr>
          </w:p>
        </w:tc>
        <w:tc>
          <w:tcPr>
            <w:tcW w:w="982" w:type="dxa"/>
            <w:shd w:val="clear" w:color="auto" w:fill="C4EFCE"/>
            <w:vAlign w:val="center"/>
          </w:tcPr>
          <w:p w14:paraId="73A08FCB" w14:textId="77777777" w:rsidR="00776A1F" w:rsidRDefault="00776A1F">
            <w:pPr>
              <w:spacing w:after="0" w:line="240" w:lineRule="auto"/>
              <w:jc w:val="center"/>
              <w:rPr>
                <w:rFonts w:cstheme="minorHAnsi"/>
                <w:noProof/>
                <w:sz w:val="16"/>
              </w:rPr>
            </w:pPr>
          </w:p>
        </w:tc>
        <w:tc>
          <w:tcPr>
            <w:tcW w:w="626" w:type="dxa"/>
            <w:shd w:val="clear" w:color="auto" w:fill="C4EFCE"/>
            <w:vAlign w:val="center"/>
          </w:tcPr>
          <w:p w14:paraId="71B94818" w14:textId="77777777" w:rsidR="00776A1F" w:rsidRDefault="00776A1F">
            <w:pPr>
              <w:spacing w:after="0" w:line="240" w:lineRule="auto"/>
              <w:jc w:val="center"/>
              <w:rPr>
                <w:rFonts w:cstheme="minorHAnsi"/>
                <w:noProof/>
                <w:sz w:val="16"/>
                <w:highlight w:val="cyan"/>
              </w:rPr>
            </w:pPr>
          </w:p>
        </w:tc>
        <w:tc>
          <w:tcPr>
            <w:tcW w:w="514" w:type="dxa"/>
            <w:shd w:val="clear" w:color="auto" w:fill="C4EFCE"/>
            <w:vAlign w:val="center"/>
          </w:tcPr>
          <w:p w14:paraId="6C0FA98B" w14:textId="6A787B86" w:rsidR="00776A1F" w:rsidRDefault="00D8574B">
            <w:pPr>
              <w:pStyle w:val="P68B1DB1-Normal12"/>
              <w:spacing w:after="0" w:line="240" w:lineRule="auto"/>
              <w:jc w:val="center"/>
              <w:rPr>
                <w:rFonts w:cstheme="minorHAnsi"/>
                <w:noProof/>
              </w:rPr>
            </w:pPr>
            <w:r>
              <w:rPr>
                <w:noProof/>
              </w:rPr>
              <w:t>4. CET.</w:t>
            </w:r>
          </w:p>
        </w:tc>
        <w:tc>
          <w:tcPr>
            <w:tcW w:w="747" w:type="dxa"/>
            <w:shd w:val="clear" w:color="auto" w:fill="C4EFCE"/>
            <w:vAlign w:val="center"/>
          </w:tcPr>
          <w:p w14:paraId="2FE817D5" w14:textId="2B27B007" w:rsidR="00776A1F" w:rsidRDefault="00D8574B">
            <w:pPr>
              <w:pStyle w:val="P68B1DB1-Normal12"/>
              <w:spacing w:after="0" w:line="240" w:lineRule="auto"/>
              <w:jc w:val="center"/>
              <w:rPr>
                <w:rFonts w:cstheme="minorHAnsi"/>
                <w:noProof/>
              </w:rPr>
            </w:pPr>
            <w:r>
              <w:rPr>
                <w:noProof/>
              </w:rPr>
              <w:t>2024 </w:t>
            </w:r>
          </w:p>
        </w:tc>
        <w:tc>
          <w:tcPr>
            <w:tcW w:w="3919" w:type="dxa"/>
            <w:shd w:val="clear" w:color="auto" w:fill="C4EFCE"/>
            <w:vAlign w:val="center"/>
          </w:tcPr>
          <w:p w14:paraId="75E7143A" w14:textId="7709FF39" w:rsidR="00776A1F" w:rsidRDefault="00D8574B">
            <w:pPr>
              <w:pStyle w:val="P68B1DB1-Normal12"/>
              <w:spacing w:after="0" w:line="240" w:lineRule="auto"/>
              <w:jc w:val="both"/>
              <w:rPr>
                <w:rFonts w:cstheme="minorHAnsi"/>
                <w:noProof/>
              </w:rPr>
            </w:pPr>
            <w:r>
              <w:rPr>
                <w:noProof/>
              </w:rPr>
              <w:t>Valsts progresīvās datošanas centra izveide, kas pārveidos esošos Portugāles datošanas tīklus un centrus vienā vienībā; divu superdatoru (Deucalion un Mare Nostrum 5) darbības atbalstīšana.</w:t>
            </w:r>
          </w:p>
        </w:tc>
      </w:tr>
      <w:tr w:rsidR="00776A1F" w14:paraId="1168D75D" w14:textId="77777777">
        <w:trPr>
          <w:trHeight w:val="67"/>
        </w:trPr>
        <w:tc>
          <w:tcPr>
            <w:tcW w:w="1134" w:type="dxa"/>
            <w:shd w:val="clear" w:color="auto" w:fill="C4EFCE"/>
            <w:vAlign w:val="center"/>
          </w:tcPr>
          <w:p w14:paraId="6355B752" w14:textId="337B4A60" w:rsidR="00776A1F" w:rsidRDefault="00D8574B">
            <w:pPr>
              <w:pStyle w:val="P68B1DB1-Normal11"/>
              <w:spacing w:after="0" w:line="240" w:lineRule="auto"/>
              <w:jc w:val="center"/>
              <w:rPr>
                <w:rFonts w:cstheme="minorHAnsi"/>
                <w:noProof/>
              </w:rPr>
            </w:pPr>
            <w:r>
              <w:rPr>
                <w:noProof/>
              </w:rPr>
              <w:t>5.38</w:t>
            </w:r>
          </w:p>
        </w:tc>
        <w:tc>
          <w:tcPr>
            <w:tcW w:w="1165" w:type="dxa"/>
            <w:shd w:val="clear" w:color="auto" w:fill="C4EFCE"/>
            <w:vAlign w:val="center"/>
          </w:tcPr>
          <w:p w14:paraId="6A66A585" w14:textId="1CB84C87" w:rsidR="00776A1F" w:rsidRDefault="00D8574B">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EE8CC42" w14:textId="655C9C80" w:rsidR="00776A1F" w:rsidRDefault="00D8574B">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43F1043A" w14:textId="587CA9BE" w:rsidR="00776A1F" w:rsidRDefault="00D8574B">
            <w:pPr>
              <w:pStyle w:val="P68B1DB1-Normal12"/>
              <w:spacing w:after="0" w:line="240" w:lineRule="auto"/>
              <w:jc w:val="center"/>
              <w:rPr>
                <w:rFonts w:cstheme="minorHAnsi"/>
                <w:noProof/>
              </w:rPr>
            </w:pPr>
            <w:r>
              <w:rPr>
                <w:noProof/>
              </w:rPr>
              <w:t>Valsts progresīvās datošanas centra atbalsta infrastruktūras un datu centra pabeigšana</w:t>
            </w:r>
          </w:p>
        </w:tc>
        <w:tc>
          <w:tcPr>
            <w:tcW w:w="2029" w:type="dxa"/>
            <w:shd w:val="clear" w:color="auto" w:fill="C4EFCE"/>
            <w:vAlign w:val="center"/>
          </w:tcPr>
          <w:p w14:paraId="103BEF7A" w14:textId="505B7CAB" w:rsidR="00776A1F" w:rsidRDefault="00D8574B">
            <w:pPr>
              <w:pStyle w:val="P68B1DB1-Normal12"/>
              <w:spacing w:after="0" w:line="240" w:lineRule="auto"/>
              <w:jc w:val="center"/>
              <w:rPr>
                <w:rFonts w:cstheme="minorHAnsi"/>
                <w:noProof/>
              </w:rPr>
            </w:pPr>
            <w:r>
              <w:rPr>
                <w:noProof/>
              </w:rPr>
              <w:t xml:space="preserve"> Valsts progresīvās datošanas centra atbalsta infrastruktūras un datu centra pabeigšana</w:t>
            </w:r>
          </w:p>
        </w:tc>
        <w:tc>
          <w:tcPr>
            <w:tcW w:w="982" w:type="dxa"/>
            <w:shd w:val="clear" w:color="auto" w:fill="C4EFCE"/>
            <w:vAlign w:val="center"/>
          </w:tcPr>
          <w:p w14:paraId="665EDCF5" w14:textId="77777777" w:rsidR="00776A1F" w:rsidRDefault="00776A1F">
            <w:pPr>
              <w:spacing w:after="0" w:line="240" w:lineRule="auto"/>
              <w:jc w:val="center"/>
              <w:rPr>
                <w:rFonts w:cstheme="minorHAnsi"/>
                <w:noProof/>
                <w:sz w:val="16"/>
              </w:rPr>
            </w:pPr>
          </w:p>
        </w:tc>
        <w:tc>
          <w:tcPr>
            <w:tcW w:w="982" w:type="dxa"/>
            <w:shd w:val="clear" w:color="auto" w:fill="C4EFCE"/>
            <w:vAlign w:val="center"/>
          </w:tcPr>
          <w:p w14:paraId="604F8156" w14:textId="77777777" w:rsidR="00776A1F" w:rsidRDefault="00776A1F">
            <w:pPr>
              <w:spacing w:after="0" w:line="240" w:lineRule="auto"/>
              <w:jc w:val="center"/>
              <w:rPr>
                <w:rFonts w:cstheme="minorHAnsi"/>
                <w:noProof/>
                <w:sz w:val="16"/>
              </w:rPr>
            </w:pPr>
          </w:p>
        </w:tc>
        <w:tc>
          <w:tcPr>
            <w:tcW w:w="626" w:type="dxa"/>
            <w:shd w:val="clear" w:color="auto" w:fill="C4EFCE"/>
            <w:vAlign w:val="center"/>
          </w:tcPr>
          <w:p w14:paraId="6521B461" w14:textId="77777777" w:rsidR="00776A1F" w:rsidRDefault="00776A1F">
            <w:pPr>
              <w:spacing w:after="0" w:line="240" w:lineRule="auto"/>
              <w:jc w:val="center"/>
              <w:rPr>
                <w:rFonts w:cstheme="minorHAnsi"/>
                <w:noProof/>
                <w:sz w:val="16"/>
                <w:highlight w:val="cyan"/>
              </w:rPr>
            </w:pPr>
          </w:p>
        </w:tc>
        <w:tc>
          <w:tcPr>
            <w:tcW w:w="514" w:type="dxa"/>
            <w:shd w:val="clear" w:color="auto" w:fill="C4EFCE"/>
            <w:vAlign w:val="center"/>
          </w:tcPr>
          <w:p w14:paraId="5911DBE8" w14:textId="2778B2F0" w:rsidR="00776A1F" w:rsidRDefault="00D8574B">
            <w:pPr>
              <w:pStyle w:val="P68B1DB1-Normal12"/>
              <w:spacing w:after="0" w:line="240" w:lineRule="auto"/>
              <w:jc w:val="center"/>
              <w:rPr>
                <w:rFonts w:cstheme="minorHAnsi"/>
                <w:noProof/>
              </w:rPr>
            </w:pPr>
            <w:r>
              <w:rPr>
                <w:noProof/>
              </w:rPr>
              <w:t>1. CET.</w:t>
            </w:r>
          </w:p>
        </w:tc>
        <w:tc>
          <w:tcPr>
            <w:tcW w:w="747" w:type="dxa"/>
            <w:shd w:val="clear" w:color="auto" w:fill="C4EFCE"/>
            <w:vAlign w:val="center"/>
          </w:tcPr>
          <w:p w14:paraId="1D2E37FD" w14:textId="5C75696B" w:rsidR="00776A1F" w:rsidRDefault="00D8574B">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11269D2F" w14:textId="53F8063F" w:rsidR="00776A1F" w:rsidRDefault="00D8574B">
            <w:pPr>
              <w:pStyle w:val="P68B1DB1-Bodytext1013"/>
              <w:spacing w:line="256" w:lineRule="auto"/>
              <w:rPr>
                <w:rFonts w:cstheme="minorHAnsi"/>
                <w:noProof/>
              </w:rPr>
            </w:pPr>
            <w:r>
              <w:rPr>
                <w:noProof/>
              </w:rPr>
              <w:t>Valsts progresīvās datošanas centra atbalsta infrastruktūras un datu centra pabeigšana </w:t>
            </w:r>
          </w:p>
        </w:tc>
      </w:tr>
      <w:tr w:rsidR="00776A1F" w14:paraId="3AE6E34A" w14:textId="77777777">
        <w:trPr>
          <w:trHeight w:val="67"/>
        </w:trPr>
        <w:tc>
          <w:tcPr>
            <w:tcW w:w="1134" w:type="dxa"/>
            <w:shd w:val="clear" w:color="auto" w:fill="C4EFCE"/>
            <w:vAlign w:val="center"/>
          </w:tcPr>
          <w:p w14:paraId="55867E7C" w14:textId="373DE81E" w:rsidR="00776A1F" w:rsidRDefault="00D8574B">
            <w:pPr>
              <w:pStyle w:val="P68B1DB1-Normal11"/>
              <w:spacing w:after="0" w:line="240" w:lineRule="auto"/>
              <w:jc w:val="center"/>
              <w:rPr>
                <w:rFonts w:cstheme="minorHAnsi"/>
                <w:noProof/>
              </w:rPr>
            </w:pPr>
            <w:r>
              <w:rPr>
                <w:noProof/>
              </w:rPr>
              <w:t>5.39</w:t>
            </w:r>
          </w:p>
        </w:tc>
        <w:tc>
          <w:tcPr>
            <w:tcW w:w="1165" w:type="dxa"/>
            <w:shd w:val="clear" w:color="auto" w:fill="C4EFCE"/>
            <w:vAlign w:val="center"/>
          </w:tcPr>
          <w:p w14:paraId="23AF3018" w14:textId="0A8EDF3B" w:rsidR="00776A1F" w:rsidRDefault="00D8574B">
            <w:pPr>
              <w:pStyle w:val="P68B1DB1-Normal12"/>
              <w:spacing w:after="0" w:line="240" w:lineRule="auto"/>
              <w:jc w:val="center"/>
              <w:rPr>
                <w:rFonts w:cstheme="minorHAnsi"/>
                <w:noProof/>
              </w:rPr>
            </w:pPr>
            <w:r>
              <w:rPr>
                <w:noProof/>
              </w:rPr>
              <w:t>Re-C05-i09</w:t>
            </w:r>
          </w:p>
        </w:tc>
        <w:tc>
          <w:tcPr>
            <w:tcW w:w="976" w:type="dxa"/>
            <w:shd w:val="clear" w:color="auto" w:fill="C4EFCE"/>
            <w:vAlign w:val="center"/>
          </w:tcPr>
          <w:p w14:paraId="12D4C26B" w14:textId="71E2271E" w:rsidR="00776A1F" w:rsidRDefault="00D8574B">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0733311B" w14:textId="4DAD6F17" w:rsidR="00776A1F" w:rsidRDefault="00D8574B">
            <w:pPr>
              <w:pStyle w:val="P68B1DB1-Bodytext1013"/>
              <w:spacing w:line="256" w:lineRule="auto"/>
              <w:jc w:val="center"/>
              <w:rPr>
                <w:rFonts w:cstheme="minorHAnsi"/>
                <w:noProof/>
              </w:rPr>
            </w:pPr>
            <w:r>
              <w:rPr>
                <w:noProof/>
              </w:rPr>
              <w:t>Līgumu noslēgšana par jaunu produktu, procesu vai pakalpojumu izstrādi attiecīgajās stratēģiskajās jomās (inovācijas programmas).</w:t>
            </w:r>
          </w:p>
        </w:tc>
        <w:tc>
          <w:tcPr>
            <w:tcW w:w="2029" w:type="dxa"/>
            <w:shd w:val="clear" w:color="auto" w:fill="C4EFCE"/>
            <w:vAlign w:val="center"/>
          </w:tcPr>
          <w:p w14:paraId="51EF8F0E" w14:textId="406D3CE7" w:rsidR="00776A1F" w:rsidRDefault="00776A1F">
            <w:pPr>
              <w:spacing w:after="0" w:line="240" w:lineRule="auto"/>
              <w:jc w:val="center"/>
              <w:rPr>
                <w:rFonts w:cstheme="minorHAnsi"/>
                <w:noProof/>
                <w:sz w:val="16"/>
              </w:rPr>
            </w:pPr>
          </w:p>
        </w:tc>
        <w:tc>
          <w:tcPr>
            <w:tcW w:w="982" w:type="dxa"/>
            <w:shd w:val="clear" w:color="auto" w:fill="C4EFCE"/>
            <w:vAlign w:val="center"/>
          </w:tcPr>
          <w:p w14:paraId="6E4FF967" w14:textId="04C05558" w:rsidR="00776A1F" w:rsidRDefault="00D8574B">
            <w:pPr>
              <w:pStyle w:val="P68B1DB1-Normal12"/>
              <w:spacing w:after="0" w:line="240" w:lineRule="auto"/>
              <w:jc w:val="center"/>
              <w:rPr>
                <w:rFonts w:cstheme="minorHAnsi"/>
                <w:noProof/>
              </w:rPr>
            </w:pPr>
            <w:r>
              <w:rPr>
                <w:noProof/>
              </w:rPr>
              <w:t>Skaits</w:t>
            </w:r>
          </w:p>
        </w:tc>
        <w:tc>
          <w:tcPr>
            <w:tcW w:w="982" w:type="dxa"/>
            <w:shd w:val="clear" w:color="auto" w:fill="C4EFCE"/>
            <w:vAlign w:val="center"/>
          </w:tcPr>
          <w:p w14:paraId="0D1FE526" w14:textId="0994B876" w:rsidR="00776A1F" w:rsidRDefault="00D8574B">
            <w:pPr>
              <w:pStyle w:val="P68B1DB1-Normal12"/>
              <w:spacing w:after="0" w:line="240" w:lineRule="auto"/>
              <w:jc w:val="center"/>
              <w:rPr>
                <w:rFonts w:cstheme="minorHAnsi"/>
                <w:noProof/>
              </w:rPr>
            </w:pPr>
            <w:r>
              <w:rPr>
                <w:noProof/>
              </w:rPr>
              <w:t>6</w:t>
            </w:r>
          </w:p>
        </w:tc>
        <w:tc>
          <w:tcPr>
            <w:tcW w:w="626" w:type="dxa"/>
            <w:shd w:val="clear" w:color="auto" w:fill="C4EFCE"/>
            <w:vAlign w:val="center"/>
          </w:tcPr>
          <w:p w14:paraId="1BA698AE" w14:textId="4F2BA1A9" w:rsidR="00776A1F" w:rsidRDefault="00D8574B">
            <w:pPr>
              <w:pStyle w:val="P68B1DB1-Normal12"/>
              <w:spacing w:after="0" w:line="240" w:lineRule="auto"/>
              <w:jc w:val="center"/>
              <w:rPr>
                <w:rFonts w:cstheme="minorHAnsi"/>
                <w:noProof/>
              </w:rPr>
            </w:pPr>
            <w:r>
              <w:rPr>
                <w:noProof/>
              </w:rPr>
              <w:t>12</w:t>
            </w:r>
          </w:p>
        </w:tc>
        <w:tc>
          <w:tcPr>
            <w:tcW w:w="514" w:type="dxa"/>
            <w:shd w:val="clear" w:color="auto" w:fill="C4EFCE"/>
            <w:vAlign w:val="center"/>
          </w:tcPr>
          <w:p w14:paraId="613C15B0" w14:textId="65072EBB" w:rsidR="00776A1F" w:rsidRDefault="00D8574B">
            <w:pPr>
              <w:pStyle w:val="P68B1DB1-Normal12"/>
              <w:spacing w:after="0" w:line="240" w:lineRule="auto"/>
              <w:jc w:val="center"/>
              <w:rPr>
                <w:noProof/>
              </w:rPr>
            </w:pPr>
            <w:r>
              <w:rPr>
                <w:noProof/>
              </w:rPr>
              <w:t>2. CET.</w:t>
            </w:r>
          </w:p>
        </w:tc>
        <w:tc>
          <w:tcPr>
            <w:tcW w:w="747" w:type="dxa"/>
            <w:shd w:val="clear" w:color="auto" w:fill="C4EFCE"/>
            <w:vAlign w:val="center"/>
          </w:tcPr>
          <w:p w14:paraId="5918EFE8" w14:textId="585FC784" w:rsidR="00776A1F" w:rsidRDefault="00D8574B">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6D75FE2C" w14:textId="033B317C" w:rsidR="00776A1F" w:rsidRDefault="00D8574B">
            <w:pPr>
              <w:pStyle w:val="P68B1DB1-Bodytext1013"/>
              <w:spacing w:after="0" w:line="256" w:lineRule="auto"/>
              <w:rPr>
                <w:rFonts w:cstheme="minorHAnsi"/>
                <w:noProof/>
              </w:rPr>
            </w:pPr>
            <w:r>
              <w:rPr>
                <w:noProof/>
              </w:rPr>
              <w:t>Sešu papildu līgumu (inovācijas paktu vai mobilizācijas projektu) noslēgšana ar konsorcijiem, kas ietver:</w:t>
            </w:r>
          </w:p>
          <w:p w14:paraId="62A4DB6A" w14:textId="77777777" w:rsidR="00776A1F" w:rsidRDefault="00D8574B">
            <w:pPr>
              <w:pStyle w:val="P68B1DB1-Bodytext1013"/>
              <w:spacing w:after="0" w:line="256" w:lineRule="auto"/>
              <w:rPr>
                <w:rFonts w:cstheme="minorHAnsi"/>
                <w:noProof/>
              </w:rPr>
            </w:pPr>
            <w:r>
              <w:rPr>
                <w:noProof/>
              </w:rPr>
              <w:t>• Konsorcija sastāvā esošo vienību identifikācija;</w:t>
            </w:r>
          </w:p>
          <w:p w14:paraId="69824E0B" w14:textId="77777777" w:rsidR="00776A1F" w:rsidRDefault="00D8574B">
            <w:pPr>
              <w:pStyle w:val="P68B1DB1-Bodytext1013"/>
              <w:spacing w:after="0" w:line="256" w:lineRule="auto"/>
              <w:rPr>
                <w:rFonts w:cstheme="minorHAnsi"/>
                <w:noProof/>
              </w:rPr>
            </w:pPr>
            <w:r>
              <w:rPr>
                <w:noProof/>
              </w:rPr>
              <w:t>• Uzņēmējdarbības plāns/ieguldījums;</w:t>
            </w:r>
          </w:p>
          <w:p w14:paraId="46F8E259" w14:textId="77777777" w:rsidR="00776A1F" w:rsidRDefault="00D8574B">
            <w:pPr>
              <w:pStyle w:val="P68B1DB1-Bodytext1013"/>
              <w:spacing w:after="0" w:line="256" w:lineRule="auto"/>
              <w:rPr>
                <w:rFonts w:cstheme="minorHAnsi"/>
                <w:noProof/>
              </w:rPr>
            </w:pPr>
            <w:r>
              <w:rPr>
                <w:noProof/>
              </w:rPr>
              <w:t>• Finansējuma apjoms;</w:t>
            </w:r>
          </w:p>
          <w:p w14:paraId="55104ED1" w14:textId="77777777" w:rsidR="00776A1F" w:rsidRDefault="00D8574B">
            <w:pPr>
              <w:pStyle w:val="P68B1DB1-Bodytext1013"/>
              <w:spacing w:after="0" w:line="256" w:lineRule="auto"/>
              <w:rPr>
                <w:rFonts w:cstheme="minorHAnsi"/>
                <w:noProof/>
              </w:rPr>
            </w:pPr>
            <w:r>
              <w:rPr>
                <w:noProof/>
              </w:rPr>
              <w:t>• Mērķi, kas saņēmējam ir saistoši;</w:t>
            </w:r>
          </w:p>
          <w:p w14:paraId="6DAC83A3" w14:textId="77777777" w:rsidR="00776A1F" w:rsidRDefault="00D8574B">
            <w:pPr>
              <w:pStyle w:val="P68B1DB1-Bodytext1013"/>
              <w:spacing w:after="0" w:line="256" w:lineRule="auto"/>
              <w:rPr>
                <w:rFonts w:cstheme="minorHAnsi"/>
                <w:noProof/>
              </w:rPr>
            </w:pPr>
            <w:r>
              <w:rPr>
                <w:noProof/>
              </w:rPr>
              <w:t xml:space="preserve">• Uzraudzības veids. </w:t>
            </w:r>
          </w:p>
          <w:p w14:paraId="5CFD5ACF" w14:textId="7A86A58C" w:rsidR="00776A1F" w:rsidRDefault="00776A1F">
            <w:pPr>
              <w:pStyle w:val="Bodytext10"/>
              <w:spacing w:after="0" w:line="256" w:lineRule="auto"/>
              <w:rPr>
                <w:rFonts w:asciiTheme="minorHAnsi" w:hAnsiTheme="minorHAnsi" w:cstheme="minorHAnsi"/>
                <w:noProof/>
                <w:sz w:val="16"/>
              </w:rPr>
            </w:pPr>
          </w:p>
          <w:p w14:paraId="0E42EAA5" w14:textId="7A444261" w:rsidR="00776A1F" w:rsidRDefault="00D8574B">
            <w:pPr>
              <w:pStyle w:val="P68B1DB1-Bodytext1013"/>
              <w:spacing w:after="0" w:line="256" w:lineRule="auto"/>
              <w:rPr>
                <w:rFonts w:cstheme="minorHAnsi"/>
                <w:noProof/>
              </w:rPr>
            </w:pPr>
            <w:r>
              <w:rPr>
                <w:noProof/>
              </w:rPr>
              <w:t>Līgumi kopumā attiecas uz vismaz 168 produktiem, procesiem vai pakalpojumiem. Darba uzdevums ietver atbilstības kritērijus, kas nodrošina, ka atlasītie projekti atbilst Tehniskajiem norādījumiem “nenodari būtisku kaitējumu” (2021/C58/01), izmantojot izslēgšanas sarakstu un prasību par atbilstību attiecīgajiem ES un valsts tiesību aktiem vides jomā.</w:t>
            </w:r>
          </w:p>
          <w:p w14:paraId="2CB8717F" w14:textId="38307B1B" w:rsidR="00776A1F" w:rsidRDefault="00D8574B">
            <w:pPr>
              <w:pStyle w:val="P68B1DB1-Normal12"/>
              <w:spacing w:after="0" w:line="240" w:lineRule="auto"/>
              <w:jc w:val="both"/>
              <w:rPr>
                <w:rFonts w:cstheme="minorHAnsi"/>
                <w:noProof/>
              </w:rPr>
            </w:pPr>
            <w:r>
              <w:rPr>
                <w:noProof/>
              </w:rPr>
              <w:t>Līgumi papildina RE-C05-i01.01.01 īstenotos līgumus.</w:t>
            </w:r>
          </w:p>
        </w:tc>
      </w:tr>
      <w:tr w:rsidR="00776A1F" w14:paraId="79996882" w14:textId="77777777">
        <w:trPr>
          <w:trHeight w:val="67"/>
        </w:trPr>
        <w:tc>
          <w:tcPr>
            <w:tcW w:w="1134" w:type="dxa"/>
            <w:shd w:val="clear" w:color="auto" w:fill="C4EFCE"/>
            <w:vAlign w:val="center"/>
          </w:tcPr>
          <w:p w14:paraId="1F809E62" w14:textId="68C8C255" w:rsidR="00776A1F" w:rsidRDefault="00D8574B">
            <w:pPr>
              <w:pStyle w:val="P68B1DB1-Normal11"/>
              <w:spacing w:after="0" w:line="240" w:lineRule="auto"/>
              <w:jc w:val="center"/>
              <w:rPr>
                <w:rFonts w:cstheme="minorHAnsi"/>
                <w:noProof/>
              </w:rPr>
            </w:pPr>
            <w:r>
              <w:rPr>
                <w:noProof/>
              </w:rPr>
              <w:t>5.40</w:t>
            </w:r>
          </w:p>
        </w:tc>
        <w:tc>
          <w:tcPr>
            <w:tcW w:w="1165" w:type="dxa"/>
            <w:shd w:val="clear" w:color="auto" w:fill="C4EFCE"/>
            <w:vAlign w:val="center"/>
          </w:tcPr>
          <w:p w14:paraId="2448D13F" w14:textId="7FECC704" w:rsidR="00776A1F" w:rsidRDefault="00D8574B">
            <w:pPr>
              <w:pStyle w:val="P68B1DB1-Normal12"/>
              <w:spacing w:after="0" w:line="240" w:lineRule="auto"/>
              <w:jc w:val="center"/>
              <w:rPr>
                <w:rFonts w:cstheme="minorHAnsi"/>
                <w:noProof/>
              </w:rPr>
            </w:pPr>
            <w:r>
              <w:rPr>
                <w:noProof/>
              </w:rPr>
              <w:t>Re-C05-i09</w:t>
            </w:r>
          </w:p>
        </w:tc>
        <w:tc>
          <w:tcPr>
            <w:tcW w:w="976" w:type="dxa"/>
            <w:shd w:val="clear" w:color="auto" w:fill="C4EFCE"/>
            <w:vAlign w:val="center"/>
          </w:tcPr>
          <w:p w14:paraId="189027D8" w14:textId="2A50F1CB" w:rsidR="00776A1F" w:rsidRDefault="00D8574B">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6D5547A8" w14:textId="2F88C75C" w:rsidR="00776A1F" w:rsidRDefault="00D8574B">
            <w:pPr>
              <w:pStyle w:val="P68B1DB1-Normal12"/>
              <w:spacing w:after="0" w:line="240" w:lineRule="auto"/>
              <w:jc w:val="center"/>
              <w:rPr>
                <w:rFonts w:cstheme="minorHAnsi"/>
                <w:noProof/>
              </w:rPr>
            </w:pPr>
            <w:r>
              <w:rPr>
                <w:noProof/>
              </w:rPr>
              <w:t xml:space="preserve">168 produktu, procesu vai pakalpojumu pabeigšana.  </w:t>
            </w:r>
          </w:p>
        </w:tc>
        <w:tc>
          <w:tcPr>
            <w:tcW w:w="2029" w:type="dxa"/>
            <w:shd w:val="clear" w:color="auto" w:fill="C4EFCE"/>
            <w:vAlign w:val="center"/>
          </w:tcPr>
          <w:p w14:paraId="7BAAEF17" w14:textId="54FC47FA" w:rsidR="00776A1F" w:rsidRDefault="00D8574B">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67A33752" w14:textId="6D621BE2" w:rsidR="00776A1F" w:rsidRDefault="00D8574B">
            <w:pPr>
              <w:pStyle w:val="P68B1DB1-Normal12"/>
              <w:spacing w:after="0" w:line="240" w:lineRule="auto"/>
              <w:jc w:val="center"/>
              <w:rPr>
                <w:rFonts w:cstheme="minorHAnsi"/>
                <w:noProof/>
              </w:rPr>
            </w:pPr>
            <w:r>
              <w:rPr>
                <w:noProof/>
              </w:rPr>
              <w:t>Skaits</w:t>
            </w:r>
          </w:p>
        </w:tc>
        <w:tc>
          <w:tcPr>
            <w:tcW w:w="982" w:type="dxa"/>
            <w:shd w:val="clear" w:color="auto" w:fill="C4EFCE"/>
            <w:vAlign w:val="center"/>
          </w:tcPr>
          <w:p w14:paraId="7B8E2944" w14:textId="7F3E3842" w:rsidR="00776A1F" w:rsidRDefault="00D8574B">
            <w:pPr>
              <w:pStyle w:val="P68B1DB1-Normal12"/>
              <w:spacing w:after="0" w:line="240" w:lineRule="auto"/>
              <w:jc w:val="center"/>
              <w:rPr>
                <w:rFonts w:cstheme="minorHAnsi"/>
                <w:noProof/>
              </w:rPr>
            </w:pPr>
            <w:r>
              <w:rPr>
                <w:noProof/>
              </w:rPr>
              <w:t>60</w:t>
            </w:r>
          </w:p>
        </w:tc>
        <w:tc>
          <w:tcPr>
            <w:tcW w:w="626" w:type="dxa"/>
            <w:shd w:val="clear" w:color="auto" w:fill="C4EFCE"/>
            <w:vAlign w:val="center"/>
          </w:tcPr>
          <w:p w14:paraId="17D205CC" w14:textId="6F573DC8" w:rsidR="00776A1F" w:rsidRDefault="00D8574B">
            <w:pPr>
              <w:pStyle w:val="P68B1DB1-Normal12"/>
              <w:spacing w:after="0" w:line="240" w:lineRule="auto"/>
              <w:jc w:val="center"/>
              <w:rPr>
                <w:rFonts w:cstheme="minorHAnsi"/>
                <w:noProof/>
              </w:rPr>
            </w:pPr>
            <w:r>
              <w:rPr>
                <w:noProof/>
              </w:rPr>
              <w:t xml:space="preserve"> 228</w:t>
            </w:r>
          </w:p>
        </w:tc>
        <w:tc>
          <w:tcPr>
            <w:tcW w:w="514" w:type="dxa"/>
            <w:shd w:val="clear" w:color="auto" w:fill="C4EFCE"/>
            <w:vAlign w:val="center"/>
          </w:tcPr>
          <w:p w14:paraId="6F3532C1" w14:textId="289AE2F2" w:rsidR="00776A1F" w:rsidRDefault="00D8574B">
            <w:pPr>
              <w:pStyle w:val="P68B1DB1-Normal12"/>
              <w:spacing w:after="0" w:line="240" w:lineRule="auto"/>
              <w:jc w:val="center"/>
              <w:rPr>
                <w:rFonts w:cstheme="minorHAnsi"/>
                <w:noProof/>
              </w:rPr>
            </w:pPr>
            <w:r>
              <w:rPr>
                <w:noProof/>
              </w:rPr>
              <w:t>4. CET.</w:t>
            </w:r>
          </w:p>
        </w:tc>
        <w:tc>
          <w:tcPr>
            <w:tcW w:w="747" w:type="dxa"/>
            <w:shd w:val="clear" w:color="auto" w:fill="C4EFCE"/>
            <w:vAlign w:val="center"/>
          </w:tcPr>
          <w:p w14:paraId="66E91989" w14:textId="59013342" w:rsidR="00776A1F" w:rsidRDefault="00D8574B">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5634C65C" w14:textId="1CC82B3E" w:rsidR="00776A1F" w:rsidRDefault="00D8574B">
            <w:pPr>
              <w:pStyle w:val="P68B1DB1-Normal12"/>
              <w:spacing w:after="0" w:line="240" w:lineRule="auto"/>
              <w:jc w:val="both"/>
              <w:rPr>
                <w:rFonts w:cstheme="minorHAnsi"/>
                <w:noProof/>
              </w:rPr>
            </w:pPr>
            <w:r>
              <w:rPr>
                <w:noProof/>
              </w:rPr>
              <w:t xml:space="preserve">168 produktu, procesu vai pakalpojumu pabeigšana attiecīgajās stratēģiskajās jomās, kas izriet no līgumu (inovācijas paktu vai mobilizācijas projektu) īstenošanas, kas noslēgti ar konsorcijiem. </w:t>
            </w:r>
          </w:p>
          <w:p w14:paraId="17858DB0" w14:textId="3D72F028" w:rsidR="00776A1F" w:rsidRDefault="00D8574B">
            <w:pPr>
              <w:pStyle w:val="P68B1DB1-Normal12"/>
              <w:spacing w:after="0" w:line="240" w:lineRule="auto"/>
              <w:jc w:val="both"/>
              <w:rPr>
                <w:rFonts w:cstheme="minorHAnsi"/>
                <w:noProof/>
              </w:rPr>
            </w:pPr>
            <w:r>
              <w:rPr>
                <w:noProof/>
              </w:rPr>
              <w:t>PPS papildina PPS, ko īsteno RE-C05-i01.01.01.</w:t>
            </w:r>
          </w:p>
        </w:tc>
      </w:tr>
      <w:tr w:rsidR="00776A1F" w14:paraId="54F09D51" w14:textId="77777777">
        <w:trPr>
          <w:trHeight w:val="67"/>
        </w:trPr>
        <w:tc>
          <w:tcPr>
            <w:tcW w:w="1134" w:type="dxa"/>
            <w:shd w:val="clear" w:color="auto" w:fill="C4EFCE"/>
            <w:vAlign w:val="center"/>
          </w:tcPr>
          <w:p w14:paraId="4437149E" w14:textId="3BA835D1" w:rsidR="00776A1F" w:rsidRDefault="00D8574B">
            <w:pPr>
              <w:pStyle w:val="P68B1DB1-Normal11"/>
              <w:spacing w:after="0" w:line="240" w:lineRule="auto"/>
              <w:jc w:val="center"/>
              <w:rPr>
                <w:rFonts w:cstheme="minorHAnsi"/>
                <w:noProof/>
              </w:rPr>
            </w:pPr>
            <w:r>
              <w:rPr>
                <w:noProof/>
              </w:rPr>
              <w:t>5.41</w:t>
            </w:r>
          </w:p>
        </w:tc>
        <w:tc>
          <w:tcPr>
            <w:tcW w:w="1165" w:type="dxa"/>
            <w:shd w:val="clear" w:color="auto" w:fill="C4EFCE"/>
            <w:vAlign w:val="center"/>
          </w:tcPr>
          <w:p w14:paraId="101EC2D9" w14:textId="6518B9EE" w:rsidR="00776A1F" w:rsidRDefault="00D8574B">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0725C352" w14:textId="063CCE63" w:rsidR="00776A1F" w:rsidRDefault="00D8574B">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EC2D503" w14:textId="59A7F5B4" w:rsidR="00776A1F" w:rsidRDefault="00D8574B">
            <w:pPr>
              <w:pStyle w:val="P68B1DB1-Normal12"/>
              <w:spacing w:after="0" w:line="240" w:lineRule="auto"/>
              <w:jc w:val="center"/>
              <w:rPr>
                <w:rFonts w:cstheme="minorHAnsi"/>
                <w:noProof/>
              </w:rPr>
            </w:pPr>
            <w:r>
              <w:rPr>
                <w:noProof/>
              </w:rPr>
              <w:t>Līgumu noslēgšana par jaunu produktu, procesu vai pakalpojumu izstrādi stratēģiskās jomās, kas saistītas ar mazoglekļa ekonomiku, noturību un pielāgošanos klimata pārmaiņām.</w:t>
            </w:r>
          </w:p>
        </w:tc>
        <w:tc>
          <w:tcPr>
            <w:tcW w:w="2029" w:type="dxa"/>
            <w:shd w:val="clear" w:color="auto" w:fill="C4EFCE"/>
            <w:vAlign w:val="center"/>
          </w:tcPr>
          <w:p w14:paraId="2372C515" w14:textId="07E910F9" w:rsidR="00776A1F" w:rsidRDefault="00D8574B">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04FF8D2D" w14:textId="133CE3BF" w:rsidR="00776A1F" w:rsidRDefault="00D8574B">
            <w:pPr>
              <w:pStyle w:val="P68B1DB1-Normal12"/>
              <w:spacing w:after="0" w:line="240" w:lineRule="auto"/>
              <w:jc w:val="center"/>
              <w:rPr>
                <w:rFonts w:cstheme="minorHAnsi"/>
                <w:noProof/>
              </w:rPr>
            </w:pPr>
            <w:r>
              <w:rPr>
                <w:noProof/>
              </w:rPr>
              <w:t>Skaits</w:t>
            </w:r>
          </w:p>
        </w:tc>
        <w:tc>
          <w:tcPr>
            <w:tcW w:w="982" w:type="dxa"/>
            <w:shd w:val="clear" w:color="auto" w:fill="C4EFCE"/>
            <w:vAlign w:val="center"/>
          </w:tcPr>
          <w:p w14:paraId="5AD7A2F4" w14:textId="21F9CE36" w:rsidR="00776A1F" w:rsidRDefault="00D8574B">
            <w:pPr>
              <w:pStyle w:val="P68B1DB1-Normal12"/>
              <w:spacing w:after="0" w:line="240" w:lineRule="auto"/>
              <w:jc w:val="center"/>
              <w:rPr>
                <w:rFonts w:cstheme="minorHAnsi"/>
                <w:noProof/>
              </w:rPr>
            </w:pPr>
            <w:r>
              <w:rPr>
                <w:noProof/>
              </w:rPr>
              <w:t>4</w:t>
            </w:r>
          </w:p>
        </w:tc>
        <w:tc>
          <w:tcPr>
            <w:tcW w:w="626" w:type="dxa"/>
            <w:shd w:val="clear" w:color="auto" w:fill="C4EFCE"/>
            <w:vAlign w:val="center"/>
          </w:tcPr>
          <w:p w14:paraId="1D935FE8" w14:textId="05F0796F" w:rsidR="00776A1F" w:rsidRDefault="00D8574B">
            <w:pPr>
              <w:pStyle w:val="P68B1DB1-Normal12"/>
              <w:spacing w:after="0" w:line="240" w:lineRule="auto"/>
              <w:jc w:val="center"/>
              <w:rPr>
                <w:rFonts w:cstheme="minorHAnsi"/>
                <w:noProof/>
              </w:rPr>
            </w:pPr>
            <w:r>
              <w:rPr>
                <w:noProof/>
              </w:rPr>
              <w:t>10</w:t>
            </w:r>
          </w:p>
        </w:tc>
        <w:tc>
          <w:tcPr>
            <w:tcW w:w="514" w:type="dxa"/>
            <w:shd w:val="clear" w:color="auto" w:fill="C4EFCE"/>
            <w:vAlign w:val="center"/>
          </w:tcPr>
          <w:p w14:paraId="39D30506" w14:textId="0975D809" w:rsidR="00776A1F" w:rsidRDefault="00D8574B">
            <w:pPr>
              <w:pStyle w:val="P68B1DB1-Normal12"/>
              <w:spacing w:after="0" w:line="240" w:lineRule="auto"/>
              <w:jc w:val="center"/>
              <w:rPr>
                <w:noProof/>
              </w:rPr>
            </w:pPr>
            <w:r>
              <w:rPr>
                <w:noProof/>
              </w:rPr>
              <w:t>2. CET.</w:t>
            </w:r>
          </w:p>
        </w:tc>
        <w:tc>
          <w:tcPr>
            <w:tcW w:w="747" w:type="dxa"/>
            <w:shd w:val="clear" w:color="auto" w:fill="C4EFCE"/>
            <w:vAlign w:val="center"/>
          </w:tcPr>
          <w:p w14:paraId="6F74846E" w14:textId="4FBFD7C9" w:rsidR="00776A1F" w:rsidRDefault="00D8574B">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0DC61D27" w14:textId="2F8F2DAB" w:rsidR="00776A1F" w:rsidRDefault="00D8574B">
            <w:pPr>
              <w:pStyle w:val="P68B1DB1-Bodytext1013"/>
              <w:spacing w:after="0" w:line="256" w:lineRule="auto"/>
              <w:rPr>
                <w:rFonts w:eastAsiaTheme="minorEastAsia" w:cstheme="minorBidi"/>
                <w:noProof/>
              </w:rPr>
            </w:pPr>
            <w:r>
              <w:rPr>
                <w:noProof/>
              </w:rPr>
              <w:t xml:space="preserve"> Sešu papildu līgumu (inovācijas paktu vai mobilizācijas projektu) noslēgšana ar konsorcijiem, kas ietver:</w:t>
            </w:r>
          </w:p>
          <w:p w14:paraId="04592090" w14:textId="77777777" w:rsidR="00776A1F" w:rsidRDefault="00D8574B">
            <w:pPr>
              <w:pStyle w:val="P68B1DB1-Bodytext1013"/>
              <w:spacing w:after="0" w:line="256" w:lineRule="auto"/>
              <w:rPr>
                <w:rFonts w:cstheme="minorHAnsi"/>
                <w:noProof/>
              </w:rPr>
            </w:pPr>
            <w:r>
              <w:rPr>
                <w:noProof/>
              </w:rPr>
              <w:t>• Konsorcija sastāvā esošo vienību identifikācija;</w:t>
            </w:r>
          </w:p>
          <w:p w14:paraId="6A42DB0C" w14:textId="77777777" w:rsidR="00776A1F" w:rsidRDefault="00D8574B">
            <w:pPr>
              <w:pStyle w:val="P68B1DB1-Bodytext1013"/>
              <w:spacing w:after="0" w:line="256" w:lineRule="auto"/>
              <w:rPr>
                <w:rFonts w:cstheme="minorHAnsi"/>
                <w:noProof/>
              </w:rPr>
            </w:pPr>
            <w:r>
              <w:rPr>
                <w:noProof/>
              </w:rPr>
              <w:t>• Uzņēmējdarbības plāns/ieguldījums;</w:t>
            </w:r>
          </w:p>
          <w:p w14:paraId="21DA580B" w14:textId="77777777" w:rsidR="00776A1F" w:rsidRDefault="00D8574B">
            <w:pPr>
              <w:pStyle w:val="P68B1DB1-Bodytext1013"/>
              <w:spacing w:after="0" w:line="256" w:lineRule="auto"/>
              <w:rPr>
                <w:rFonts w:cstheme="minorHAnsi"/>
                <w:noProof/>
              </w:rPr>
            </w:pPr>
            <w:r>
              <w:rPr>
                <w:noProof/>
              </w:rPr>
              <w:t>• Finansējuma apjoms;</w:t>
            </w:r>
          </w:p>
          <w:p w14:paraId="50705B10" w14:textId="77777777" w:rsidR="00776A1F" w:rsidRDefault="00D8574B">
            <w:pPr>
              <w:pStyle w:val="P68B1DB1-Bodytext1013"/>
              <w:spacing w:after="0" w:line="256" w:lineRule="auto"/>
              <w:rPr>
                <w:rFonts w:cstheme="minorHAnsi"/>
                <w:noProof/>
              </w:rPr>
            </w:pPr>
            <w:r>
              <w:rPr>
                <w:noProof/>
              </w:rPr>
              <w:t>• Mērķi, kas saņēmējam ir saistoši;</w:t>
            </w:r>
          </w:p>
          <w:p w14:paraId="01625014" w14:textId="77777777" w:rsidR="00776A1F" w:rsidRDefault="00D8574B">
            <w:pPr>
              <w:pStyle w:val="P68B1DB1-Bodytext1013"/>
              <w:spacing w:after="0" w:line="256" w:lineRule="auto"/>
              <w:rPr>
                <w:rFonts w:cstheme="minorHAnsi"/>
                <w:noProof/>
              </w:rPr>
            </w:pPr>
            <w:r>
              <w:rPr>
                <w:noProof/>
              </w:rPr>
              <w:t xml:space="preserve">• Uzraudzības veids. </w:t>
            </w:r>
          </w:p>
          <w:p w14:paraId="4B9F41BD" w14:textId="09DF7CAF" w:rsidR="00776A1F" w:rsidRDefault="00776A1F">
            <w:pPr>
              <w:pStyle w:val="Bodytext10"/>
              <w:spacing w:after="0" w:line="256" w:lineRule="auto"/>
              <w:rPr>
                <w:rFonts w:asciiTheme="minorHAnsi" w:hAnsiTheme="minorHAnsi" w:cstheme="minorBidi"/>
                <w:noProof/>
                <w:sz w:val="16"/>
              </w:rPr>
            </w:pPr>
          </w:p>
          <w:p w14:paraId="20E874EC" w14:textId="6019E06D" w:rsidR="00776A1F" w:rsidRDefault="00D8574B">
            <w:pPr>
              <w:pStyle w:val="P68B1DB1-Bodytext1013"/>
              <w:spacing w:after="0" w:line="256" w:lineRule="auto"/>
              <w:rPr>
                <w:rFonts w:cstheme="minorHAnsi"/>
                <w:noProof/>
              </w:rPr>
            </w:pPr>
            <w:r>
              <w:rPr>
                <w:noProof/>
              </w:rPr>
              <w:t>Līgumi atbalsta kopumā vismaz 98 produktus, procesus vai pakalpojumus un saskaņo ar intervences jomu 022 (Pētniecības un inovācijas procesi, tehnoloģiju nodošana un sadarbība starp uzņēmumiem, īpašu uzmanību pievēršot mazoglekļa ekonomikai un noturībai un pielāgošanās klimata pārmaiņām). Darba uzdevumā iekļauj atbilstības kritērijus, kas nodrošina, ka atlasītie projekti atbilst tehniskajiem norādījumiem “Nenodari būtisku kaitējumu” (2021/C58/01), izmantojot izslēgšanas sarakstu un prasību par atbilstību attiecīgajiem ES un valsts tiesību aktiem vides jomā.</w:t>
            </w:r>
          </w:p>
          <w:p w14:paraId="64095437" w14:textId="10DA3C38" w:rsidR="00776A1F" w:rsidRDefault="00D8574B">
            <w:pPr>
              <w:pStyle w:val="P68B1DB1-Normal12"/>
              <w:spacing w:after="0" w:line="240" w:lineRule="auto"/>
              <w:jc w:val="both"/>
              <w:rPr>
                <w:rFonts w:cstheme="minorHAnsi"/>
                <w:noProof/>
              </w:rPr>
            </w:pPr>
            <w:r>
              <w:rPr>
                <w:noProof/>
              </w:rPr>
              <w:t>Līgumi papildina RE-C05-i01.02 īstenotos līgumus.</w:t>
            </w:r>
          </w:p>
        </w:tc>
      </w:tr>
      <w:tr w:rsidR="00776A1F" w14:paraId="2CFB1DE4" w14:textId="77777777">
        <w:trPr>
          <w:trHeight w:val="67"/>
        </w:trPr>
        <w:tc>
          <w:tcPr>
            <w:tcW w:w="1134" w:type="dxa"/>
            <w:shd w:val="clear" w:color="auto" w:fill="C4EFCE"/>
            <w:vAlign w:val="center"/>
          </w:tcPr>
          <w:p w14:paraId="0F626A07" w14:textId="1AAA4C66" w:rsidR="00776A1F" w:rsidRDefault="00D8574B">
            <w:pPr>
              <w:pStyle w:val="P68B1DB1-Normal11"/>
              <w:spacing w:after="0" w:line="240" w:lineRule="auto"/>
              <w:jc w:val="center"/>
              <w:rPr>
                <w:rFonts w:cstheme="minorHAnsi"/>
                <w:noProof/>
              </w:rPr>
            </w:pPr>
            <w:r>
              <w:rPr>
                <w:noProof/>
              </w:rPr>
              <w:t>5.42</w:t>
            </w:r>
          </w:p>
        </w:tc>
        <w:tc>
          <w:tcPr>
            <w:tcW w:w="1165" w:type="dxa"/>
            <w:shd w:val="clear" w:color="auto" w:fill="C4EFCE"/>
            <w:vAlign w:val="center"/>
          </w:tcPr>
          <w:p w14:paraId="4D8A4205" w14:textId="197B1A16" w:rsidR="00776A1F" w:rsidRDefault="00D8574B">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4C138B7D" w14:textId="446CCEF5" w:rsidR="00776A1F" w:rsidRDefault="00D8574B">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24DB13CD" w14:textId="5E486B06" w:rsidR="00776A1F" w:rsidRDefault="00D8574B">
            <w:pPr>
              <w:pStyle w:val="P68B1DB1-Normal12"/>
              <w:spacing w:after="0" w:line="240" w:lineRule="auto"/>
              <w:jc w:val="center"/>
              <w:rPr>
                <w:rFonts w:cstheme="minorHAnsi"/>
                <w:noProof/>
              </w:rPr>
            </w:pPr>
            <w:r>
              <w:rPr>
                <w:noProof/>
              </w:rPr>
              <w:t>Tādu produktu, procesu vai pakalpojumu (PSL) pabeigšana, kas attiecas uz mazoglekļa ekonomiku, noturību un pielāgošanos klimata pārmaiņām.</w:t>
            </w:r>
          </w:p>
        </w:tc>
        <w:tc>
          <w:tcPr>
            <w:tcW w:w="2029" w:type="dxa"/>
            <w:shd w:val="clear" w:color="auto" w:fill="C4EFCE"/>
            <w:vAlign w:val="center"/>
          </w:tcPr>
          <w:p w14:paraId="03936DB4" w14:textId="5D309DC9" w:rsidR="00776A1F" w:rsidRDefault="00D8574B">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49E437C8" w14:textId="2D221C76" w:rsidR="00776A1F" w:rsidRDefault="00D8574B">
            <w:pPr>
              <w:pStyle w:val="P68B1DB1-Normal12"/>
              <w:spacing w:after="0" w:line="240" w:lineRule="auto"/>
              <w:jc w:val="center"/>
              <w:rPr>
                <w:rFonts w:cstheme="minorHAnsi"/>
                <w:noProof/>
              </w:rPr>
            </w:pPr>
            <w:r>
              <w:rPr>
                <w:noProof/>
              </w:rPr>
              <w:t>Skaits</w:t>
            </w:r>
          </w:p>
        </w:tc>
        <w:tc>
          <w:tcPr>
            <w:tcW w:w="982" w:type="dxa"/>
            <w:shd w:val="clear" w:color="auto" w:fill="C4EFCE"/>
            <w:vAlign w:val="center"/>
          </w:tcPr>
          <w:p w14:paraId="533CBFA2" w14:textId="10AA98B0" w:rsidR="00776A1F" w:rsidRDefault="00D8574B">
            <w:pPr>
              <w:pStyle w:val="P68B1DB1-Normal12"/>
              <w:spacing w:after="0" w:line="240" w:lineRule="auto"/>
              <w:jc w:val="center"/>
              <w:rPr>
                <w:rFonts w:cstheme="minorHAnsi"/>
                <w:noProof/>
              </w:rPr>
            </w:pPr>
            <w:r>
              <w:rPr>
                <w:noProof/>
              </w:rPr>
              <w:t>40</w:t>
            </w:r>
          </w:p>
        </w:tc>
        <w:tc>
          <w:tcPr>
            <w:tcW w:w="626" w:type="dxa"/>
            <w:shd w:val="clear" w:color="auto" w:fill="C4EFCE"/>
            <w:vAlign w:val="center"/>
          </w:tcPr>
          <w:p w14:paraId="5C908ABC" w14:textId="0CD01BA3" w:rsidR="00776A1F" w:rsidRDefault="00D8574B">
            <w:pPr>
              <w:pStyle w:val="P68B1DB1-Normal12"/>
              <w:spacing w:after="0" w:line="240" w:lineRule="auto"/>
              <w:jc w:val="center"/>
              <w:rPr>
                <w:rFonts w:cstheme="minorHAnsi"/>
                <w:noProof/>
              </w:rPr>
            </w:pPr>
            <w:r>
              <w:rPr>
                <w:noProof/>
              </w:rPr>
              <w:t>138</w:t>
            </w:r>
          </w:p>
        </w:tc>
        <w:tc>
          <w:tcPr>
            <w:tcW w:w="514" w:type="dxa"/>
            <w:shd w:val="clear" w:color="auto" w:fill="C4EFCE"/>
            <w:vAlign w:val="center"/>
          </w:tcPr>
          <w:p w14:paraId="302722D1" w14:textId="34725CE1" w:rsidR="00776A1F" w:rsidRDefault="00D8574B">
            <w:pPr>
              <w:pStyle w:val="P68B1DB1-Normal12"/>
              <w:spacing w:after="0" w:line="240" w:lineRule="auto"/>
              <w:jc w:val="center"/>
              <w:rPr>
                <w:rFonts w:cstheme="minorHAnsi"/>
                <w:noProof/>
              </w:rPr>
            </w:pPr>
            <w:r>
              <w:rPr>
                <w:noProof/>
              </w:rPr>
              <w:t>4. CET.</w:t>
            </w:r>
          </w:p>
        </w:tc>
        <w:tc>
          <w:tcPr>
            <w:tcW w:w="747" w:type="dxa"/>
            <w:shd w:val="clear" w:color="auto" w:fill="C4EFCE"/>
            <w:vAlign w:val="center"/>
          </w:tcPr>
          <w:p w14:paraId="686F8191" w14:textId="1900D775" w:rsidR="00776A1F" w:rsidRDefault="00D8574B">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3637E13E" w14:textId="77777777" w:rsidR="00776A1F" w:rsidRDefault="00D8574B">
            <w:pPr>
              <w:pStyle w:val="P68B1DB1-Normal12"/>
              <w:spacing w:after="0" w:line="240" w:lineRule="auto"/>
              <w:jc w:val="both"/>
              <w:rPr>
                <w:rFonts w:cstheme="minorHAnsi"/>
                <w:noProof/>
              </w:rPr>
            </w:pPr>
            <w:r>
              <w:rPr>
                <w:noProof/>
              </w:rPr>
              <w:t>98 produktu, procesu vai pakalpojumu (PPS) pabeigšana, kas izriet no līgumu (inovācijas paktu vai mobilizācijas projektu) īstenošanas, kuri noslēgti ar konsorcijiem un kuri atbilst intervences jomai 022 (Pētniecības un inovācijas procesi, tehnoloģiju nodošana un sadarbība starp uzņēmumiem, koncentrējoties uz ekonomiku ar zemu oglekļa dioksīda emisiju līmeni un noturību un pielāgošanos klimata pārmaiņām).</w:t>
            </w:r>
          </w:p>
          <w:p w14:paraId="18CA891F" w14:textId="60AEF0E8" w:rsidR="00776A1F" w:rsidRDefault="00D8574B">
            <w:pPr>
              <w:pStyle w:val="P68B1DB1-Normal12"/>
              <w:spacing w:after="0" w:line="240" w:lineRule="auto"/>
              <w:jc w:val="both"/>
              <w:rPr>
                <w:rFonts w:cstheme="minorHAnsi"/>
                <w:noProof/>
              </w:rPr>
            </w:pPr>
            <w:r>
              <w:rPr>
                <w:noProof/>
              </w:rPr>
              <w:t>PPS ir papildu PPS, ko īsteno RE-C05-i01.02.</w:t>
            </w:r>
          </w:p>
        </w:tc>
      </w:tr>
    </w:tbl>
    <w:p w14:paraId="1934ED30" w14:textId="77777777" w:rsidR="00776A1F" w:rsidRDefault="00776A1F">
      <w:pPr>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102"/>
          <w:headerReference w:type="default" r:id="rId103"/>
          <w:footerReference w:type="even" r:id="rId104"/>
          <w:footerReference w:type="default" r:id="rId105"/>
          <w:headerReference w:type="first" r:id="rId106"/>
          <w:footerReference w:type="first" r:id="rId107"/>
          <w:pgSz w:w="16839" w:h="11907" w:orient="landscape"/>
          <w:pgMar w:top="1134" w:right="1134" w:bottom="1134" w:left="1134" w:header="567" w:footer="567" w:gutter="0"/>
          <w:cols w:space="720"/>
          <w:docGrid w:linePitch="360"/>
        </w:sectPr>
      </w:pPr>
    </w:p>
    <w:p w14:paraId="1E7C10B9" w14:textId="20E4EE7B" w:rsidR="00776A1F" w:rsidRDefault="00D8574B">
      <w:pPr>
        <w:pStyle w:val="P68B1DB1-Normal3"/>
        <w:spacing w:before="40" w:after="0" w:line="259" w:lineRule="auto"/>
        <w:ind w:left="130" w:firstLine="720"/>
        <w:jc w:val="both"/>
        <w:outlineLvl w:val="2"/>
        <w:rPr>
          <w:rFonts w:eastAsiaTheme="minorEastAsia" w:cs="Times New Roman"/>
          <w:noProof/>
        </w:rPr>
      </w:pPr>
      <w:r>
        <w:rPr>
          <w:noProof/>
        </w:rPr>
        <w:t xml:space="preserve">E.3. Aizdevumam pieteikto reformu un investīciju apraksts </w:t>
      </w:r>
    </w:p>
    <w:p w14:paraId="189A4B39"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Reforma RE-r10: Banco Português de Fomento izveide un attīstība.</w:t>
      </w:r>
    </w:p>
    <w:p w14:paraId="72447E27" w14:textId="77777777" w:rsidR="00776A1F" w:rsidRDefault="00D8574B">
      <w:pPr>
        <w:pStyle w:val="P68B1DB1-Normal4"/>
        <w:spacing w:before="40" w:after="0" w:line="259" w:lineRule="auto"/>
        <w:jc w:val="both"/>
        <w:rPr>
          <w:rFonts w:eastAsiaTheme="minorEastAsia" w:cs="Times New Roman"/>
          <w:noProof/>
        </w:rPr>
      </w:pPr>
      <w:r>
        <w:rPr>
          <w:noProof/>
        </w:rPr>
        <w:t xml:space="preserve">Pasākuma mērķis ir atvieglot Portugāles uzņēmumu piekļuvi finansējumam, samazinot valsts atbalstīto korporatīvo finanšu produktu sarežģītību un veicinot valsts stratēģisko interešu projektus. Šajā nolūkā </w:t>
      </w:r>
      <w:r>
        <w:rPr>
          <w:i/>
          <w:noProof/>
        </w:rPr>
        <w:t>Banco Português de Fomento</w:t>
      </w:r>
      <w:r>
        <w:rPr>
          <w:noProof/>
        </w:rPr>
        <w:t xml:space="preserve"> tika izveidota 2020. gada 7. septembrī un sāka darboties 2020. gada novembrī kā valstij piederoša Valsts attīstību veicinoša banka. Papildus tās galvenajam un ilgstošajam uzdevumam banka ir svarīga struktūra saimnieciskās darbības atsākšanas procesā pēc Covid-19 pandēmijas, jo īpaši ļaujot Portugāles uzņēmumiem gūt labumu no valsts un Eiropas stratēģiskajām atveseļošanas darbībām. </w:t>
      </w:r>
    </w:p>
    <w:p w14:paraId="48A8A411" w14:textId="77777777" w:rsidR="00776A1F" w:rsidRDefault="00D8574B">
      <w:pPr>
        <w:pStyle w:val="P68B1DB1-Normal4"/>
        <w:spacing w:before="40" w:after="0" w:line="259" w:lineRule="auto"/>
        <w:jc w:val="both"/>
        <w:rPr>
          <w:rFonts w:eastAsiaTheme="minorEastAsia" w:cs="Times New Roman"/>
          <w:noProof/>
        </w:rPr>
      </w:pPr>
      <w:r>
        <w:rPr>
          <w:noProof/>
        </w:rPr>
        <w:t xml:space="preserve">Reforma ietver </w:t>
      </w:r>
      <w:r>
        <w:rPr>
          <w:i/>
          <w:noProof/>
        </w:rPr>
        <w:t>Banco Português de Fomento</w:t>
      </w:r>
      <w:r>
        <w:rPr>
          <w:noProof/>
        </w:rPr>
        <w:t xml:space="preserve"> juridisko izveidi. </w:t>
      </w:r>
    </w:p>
    <w:p w14:paraId="08AAEA6F" w14:textId="77777777" w:rsidR="00776A1F" w:rsidRDefault="00D8574B">
      <w:pPr>
        <w:pStyle w:val="P68B1DB1-Normal4"/>
        <w:spacing w:before="40" w:after="0" w:line="259" w:lineRule="auto"/>
        <w:jc w:val="both"/>
        <w:rPr>
          <w:rFonts w:eastAsiaTheme="minorEastAsia" w:cs="Times New Roman"/>
          <w:noProof/>
        </w:rPr>
      </w:pPr>
      <w:r>
        <w:rPr>
          <w:noProof/>
        </w:rPr>
        <w:t>Reformas īstenošana tika pabeigta līdz 2020. gada 31. decembrim.</w:t>
      </w:r>
    </w:p>
    <w:p w14:paraId="1FF05807"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 xml:space="preserve">Reforma RE-r13: Kapitāla tirgus attīstība un nefinanšu uzņēmumu kapitalizācijas veicināšana </w:t>
      </w:r>
    </w:p>
    <w:p w14:paraId="626DC4C1" w14:textId="77777777" w:rsidR="00776A1F" w:rsidRDefault="00D8574B">
      <w:pPr>
        <w:pStyle w:val="P68B1DB1-Normal4"/>
        <w:spacing w:before="40" w:after="0" w:line="259" w:lineRule="auto"/>
        <w:jc w:val="both"/>
        <w:rPr>
          <w:rFonts w:eastAsiaTheme="minorEastAsia" w:cs="Times New Roman"/>
          <w:noProof/>
        </w:rPr>
      </w:pPr>
      <w:r>
        <w:rPr>
          <w:noProof/>
        </w:rPr>
        <w:t xml:space="preserve">Pasākuma mērķis ir veicināt Portugāles kapitāla tirgu un veicināt uzņēmumu kapitalizāciju, īpašu uzmanību pievēršot vērtspapīru ieguldījumu sabiedrībām ekonomikas attīstībai (SIMFE), kolektīvo ieguldījumu uzņēmumiem un vērtspapīru kodeksa pārskatīšanai. </w:t>
      </w:r>
    </w:p>
    <w:p w14:paraId="28221381" w14:textId="77777777" w:rsidR="00776A1F" w:rsidRDefault="00D8574B">
      <w:pPr>
        <w:pStyle w:val="P68B1DB1-Normal4"/>
        <w:spacing w:before="40" w:after="0" w:line="259" w:lineRule="auto"/>
        <w:jc w:val="both"/>
        <w:rPr>
          <w:rFonts w:eastAsiaTheme="minorEastAsia" w:cs="Times New Roman"/>
          <w:noProof/>
        </w:rPr>
      </w:pPr>
      <w:r>
        <w:rPr>
          <w:noProof/>
        </w:rPr>
        <w:t xml:space="preserve">Šī reforma ietver spēkā esošā tiesiskā regulējuma pārskatīšanu un jaunu tiesību aktu pieņemšanu, kas ir daļa no valdības holistu pieejas, lai radītu labvēlīgāku uzņēmējdarbības vidi un sniegtu reālus stimulus ieguldījumiem, uzņēmumu kapitalizācijai un nozaru konsolidācijai. Šīs reformas īstenošana ietver šādus pasākumus: </w:t>
      </w:r>
    </w:p>
    <w:p w14:paraId="3E530B36" w14:textId="77777777" w:rsidR="00776A1F" w:rsidRDefault="00D8574B">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kapitāla tirgus attīstība; </w:t>
      </w:r>
    </w:p>
    <w:p w14:paraId="12E1FE2C" w14:textId="77777777" w:rsidR="00776A1F" w:rsidRDefault="00D8574B">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veicināt vērtspapīru ieguldījumu sabiedrības ekonomikas attīstībai (SIMFEs); </w:t>
      </w:r>
    </w:p>
    <w:p w14:paraId="02E09283" w14:textId="77777777" w:rsidR="00776A1F" w:rsidRDefault="00D8574B">
      <w:pPr>
        <w:pStyle w:val="P68B1DB1-Normal4"/>
        <w:keepNext/>
        <w:numPr>
          <w:ilvl w:val="0"/>
          <w:numId w:val="41"/>
        </w:numPr>
        <w:spacing w:before="40" w:after="160" w:line="259" w:lineRule="auto"/>
        <w:contextualSpacing/>
        <w:jc w:val="both"/>
        <w:rPr>
          <w:rFonts w:eastAsiaTheme="minorEastAsia" w:cs="Times New Roman"/>
          <w:noProof/>
        </w:rPr>
      </w:pPr>
      <w:r>
        <w:rPr>
          <w:noProof/>
        </w:rPr>
        <w:t>regulatīvā un administratīvā vienkāršošana;</w:t>
      </w:r>
    </w:p>
    <w:p w14:paraId="7C616BBA" w14:textId="77777777" w:rsidR="00776A1F" w:rsidRDefault="00D8574B">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kolektīvo ieguldījumu uzņēmumu tiesiskā regulējuma pārskatīšana; un </w:t>
      </w:r>
    </w:p>
    <w:p w14:paraId="406EAAFF" w14:textId="77777777" w:rsidR="00776A1F" w:rsidRDefault="00D8574B">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kapitalizācijas stimuli (atskaitīšana par saglabāto un atkārtoti ieguldīto peļņu). </w:t>
      </w:r>
    </w:p>
    <w:p w14:paraId="70A2BCBE" w14:textId="77777777" w:rsidR="00776A1F" w:rsidRDefault="00D8574B">
      <w:pPr>
        <w:pStyle w:val="P68B1DB1-Normal4"/>
        <w:spacing w:before="40" w:after="0" w:line="259" w:lineRule="auto"/>
        <w:jc w:val="both"/>
        <w:rPr>
          <w:rFonts w:eastAsiaTheme="minorEastAsia"/>
          <w:noProof/>
        </w:rPr>
      </w:pPr>
      <w:r>
        <w:rPr>
          <w:noProof/>
        </w:rPr>
        <w:t xml:space="preserve">Reformas īstenošanu pabeidz līdz 2023. gada 31. decembrim. </w:t>
      </w:r>
    </w:p>
    <w:p w14:paraId="2E2FC980"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 xml:space="preserve">Ieguldījums RE-C05–06: Uzņēmumu kapitalizācija un finansiālā noturība/Banco Português de Fomento </w:t>
      </w:r>
    </w:p>
    <w:p w14:paraId="7A51EC5E" w14:textId="23C16BB1" w:rsidR="00776A1F" w:rsidRDefault="00D8574B">
      <w:pPr>
        <w:pStyle w:val="P68B1DB1-Normal4"/>
        <w:spacing w:before="40" w:after="0" w:line="259" w:lineRule="auto"/>
        <w:jc w:val="both"/>
        <w:rPr>
          <w:rFonts w:eastAsiaTheme="minorEastAsia" w:cs="Times New Roman"/>
          <w:noProof/>
        </w:rPr>
      </w:pPr>
      <w:r>
        <w:rPr>
          <w:noProof/>
        </w:rPr>
        <w:t xml:space="preserve">Pasākuma mērķis ir risināt strukturālo problēmu, kas saistīta ar uzņēmumu nepietiekamu kapitalizāciju. Ieguldījums nodrošina </w:t>
      </w:r>
      <w:r>
        <w:rPr>
          <w:i/>
          <w:noProof/>
        </w:rPr>
        <w:t>Banco Português de Fomento</w:t>
      </w:r>
      <w:r>
        <w:rPr>
          <w:noProof/>
        </w:rPr>
        <w:t xml:space="preserve">, kuras mērķis ir kļūt par InvestEU īstenošanas partneri, kapitāla rezervi 250 000 000 EUR apmērā. Turklāt izveido īpašam nolūkam dibinātu sabiedrību, kas pēc tam iegulda EUR 1300000000 dzīvotspējīgos Portugāles uzņēmumos pašu kapitāla un kvazikapitāla veidā. </w:t>
      </w:r>
    </w:p>
    <w:p w14:paraId="33E5CD2F" w14:textId="77777777" w:rsidR="00776A1F" w:rsidRDefault="00D8574B">
      <w:pPr>
        <w:pStyle w:val="P68B1DB1-Normal4"/>
        <w:spacing w:before="40" w:after="0" w:line="259" w:lineRule="auto"/>
        <w:jc w:val="both"/>
        <w:rPr>
          <w:rFonts w:eastAsiaTheme="minorEastAsia" w:cs="Times New Roman"/>
          <w:noProof/>
        </w:rPr>
      </w:pPr>
      <w:r>
        <w:rPr>
          <w:noProof/>
        </w:rPr>
        <w:t xml:space="preserve">Portugāle ir apņēmusies, ka ieguldījumu politikas dokumentā, kas saistīts ar instrumentu 1 300 000 000 EUR un ko Banco Português de </w:t>
      </w:r>
      <w:r>
        <w:rPr>
          <w:i/>
          <w:noProof/>
        </w:rPr>
        <w:t>Fomento pieņems kā īpašam nolūkam dibinātas sabiedrības vadības</w:t>
      </w:r>
      <w:r>
        <w:rPr>
          <w:noProof/>
        </w:rPr>
        <w:t xml:space="preserve"> struktūra, sīki izklāsta atbalstīto uzņēmumu atlases/atbilstības kritērijus, nodrošinot Atveseļošanas un noturības mehānisma klimata un vides prasību ievērošanu, tostarp atbilstību NBK tehniskajiem norādījumiem (2021/C58/01) par atbalstītajiem aktīviem/darbībām un/vai uzņēmumiem un precizējot ieguldījumu mērķus un mērķorientētu atdevi. Lai nodrošinātu atbalstīto uzņēmumu atbilstību NBK tehniskajiem norādījumiem (2021/C58/01), ieguldījumu politikā ir prasīts: </w:t>
      </w:r>
    </w:p>
    <w:p w14:paraId="11FD4172" w14:textId="77777777" w:rsidR="00776A1F" w:rsidRDefault="00D8574B">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ilgtspējas pārbaudes izmantošana, </w:t>
      </w:r>
    </w:p>
    <w:p w14:paraId="3BC45CD3" w14:textId="77777777" w:rsidR="00776A1F" w:rsidRDefault="00D8574B">
      <w:pPr>
        <w:pStyle w:val="P68B1DB1-Normal4"/>
        <w:keepNext/>
        <w:numPr>
          <w:ilvl w:val="0"/>
          <w:numId w:val="58"/>
        </w:numPr>
        <w:spacing w:before="40" w:after="160" w:line="259" w:lineRule="auto"/>
        <w:contextualSpacing/>
        <w:jc w:val="both"/>
        <w:rPr>
          <w:rFonts w:eastAsiaTheme="minorEastAsia" w:cs="Times New Roman"/>
          <w:noProof/>
        </w:rPr>
      </w:pPr>
      <w:r>
        <w:rPr>
          <w:noProof/>
        </w:rPr>
        <w:t>izslēgšanas saraksts, kurā ir šādi elementi:</w:t>
      </w:r>
    </w:p>
    <w:p w14:paraId="7729DD25" w14:textId="77777777" w:rsidR="00776A1F" w:rsidRDefault="00D8574B">
      <w:pPr>
        <w:pStyle w:val="P68B1DB1-Normal4"/>
        <w:keepNext/>
        <w:numPr>
          <w:ilvl w:val="0"/>
          <w:numId w:val="65"/>
        </w:numPr>
        <w:spacing w:before="40" w:after="160" w:line="259" w:lineRule="auto"/>
        <w:contextualSpacing/>
        <w:jc w:val="both"/>
        <w:rPr>
          <w:rFonts w:eastAsiaTheme="minorEastAsia" w:cs="Times New Roman"/>
          <w:noProof/>
        </w:rPr>
      </w:pPr>
      <w:r>
        <w:rPr>
          <w:noProof/>
        </w:rPr>
        <w:t>Darbības, kas saistītas ar fosilajiem kurināmajiem, tostarp pakārtota izmantošana</w:t>
      </w:r>
      <w:r>
        <w:rPr>
          <w:noProof/>
        </w:rPr>
        <w:footnoteReference w:id="35"/>
      </w:r>
      <w:r>
        <w:rPr>
          <w:noProof/>
        </w:rPr>
        <w:t xml:space="preserve">; </w:t>
      </w:r>
    </w:p>
    <w:p w14:paraId="0C777086" w14:textId="77777777" w:rsidR="00776A1F" w:rsidRDefault="00D8574B">
      <w:pPr>
        <w:pStyle w:val="P68B1DB1-Normal4"/>
        <w:keepNext/>
        <w:numPr>
          <w:ilvl w:val="0"/>
          <w:numId w:val="65"/>
        </w:numPr>
        <w:spacing w:before="40" w:after="160" w:line="259" w:lineRule="auto"/>
        <w:contextualSpacing/>
        <w:jc w:val="both"/>
        <w:rPr>
          <w:rFonts w:eastAsiaTheme="minorEastAsia" w:cs="Times New Roman"/>
          <w:noProof/>
        </w:rPr>
      </w:pPr>
      <w:r>
        <w:rPr>
          <w:noProof/>
        </w:rPr>
        <w:t>Darbības saskaņā ar ES emisijas kvotu tirdzniecības sistēmu (ETS), lai sasniegtu prognozētās siltumnīcefekta gāzu emisijas, kas nav zemākas par attiecīgajām līmeņatzīmēm</w:t>
      </w:r>
      <w:r>
        <w:rPr>
          <w:noProof/>
        </w:rPr>
        <w:footnoteReference w:id="36"/>
      </w:r>
      <w:r>
        <w:rPr>
          <w:noProof/>
        </w:rPr>
        <w:t xml:space="preserve">; </w:t>
      </w:r>
    </w:p>
    <w:p w14:paraId="59A41967" w14:textId="77777777" w:rsidR="00776A1F" w:rsidRDefault="00D8574B">
      <w:pPr>
        <w:pStyle w:val="P68B1DB1-Normal4"/>
        <w:keepNext/>
        <w:numPr>
          <w:ilvl w:val="0"/>
          <w:numId w:val="65"/>
        </w:numPr>
        <w:spacing w:before="40" w:after="160" w:line="259" w:lineRule="auto"/>
        <w:contextualSpacing/>
        <w:jc w:val="both"/>
        <w:rPr>
          <w:rFonts w:eastAsiaTheme="minorEastAsia" w:cs="Times New Roman"/>
          <w:noProof/>
        </w:rPr>
      </w:pPr>
      <w:r>
        <w:rPr>
          <w:noProof/>
        </w:rPr>
        <w:t>Darbības, kas saistītas ar atkritumu poligoniem, atkritumu sadedzināšanas iekārtām</w:t>
      </w:r>
      <w:r>
        <w:rPr>
          <w:noProof/>
        </w:rPr>
        <w:footnoteReference w:id="37"/>
      </w:r>
      <w:r>
        <w:rPr>
          <w:noProof/>
        </w:rPr>
        <w:t xml:space="preserve"> un mehāniski bioloģiskās apstrādes iekārtām</w:t>
      </w:r>
      <w:r>
        <w:rPr>
          <w:noProof/>
        </w:rPr>
        <w:footnoteReference w:id="38"/>
      </w:r>
      <w:r>
        <w:rPr>
          <w:noProof/>
        </w:rPr>
        <w:t xml:space="preserve">; </w:t>
      </w:r>
    </w:p>
    <w:p w14:paraId="3EE29B47" w14:textId="77777777" w:rsidR="00776A1F" w:rsidRDefault="00D8574B">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Darbības, kurās atkritumu ilgtermiņa apglabāšana var radīt ilgtermiņa kaitējumu videi, piemēram, kodolatkritumus; un </w:t>
      </w:r>
    </w:p>
    <w:p w14:paraId="166BCF7B" w14:textId="77777777" w:rsidR="00776A1F" w:rsidRDefault="00D8574B">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Pētniecībai, izstrādei un inovācijai, kas paredzēta iepriekš minētajiem aktīviem un darbībām. </w:t>
      </w:r>
    </w:p>
    <w:p w14:paraId="41036F9C" w14:textId="77777777" w:rsidR="00776A1F" w:rsidRDefault="00D8574B">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obligātas juridiskās atbilstības pārbaudes, ko veic </w:t>
      </w:r>
      <w:r>
        <w:rPr>
          <w:i/>
          <w:noProof/>
        </w:rPr>
        <w:t>Banco Português de Fomento</w:t>
      </w:r>
      <w:r>
        <w:rPr>
          <w:noProof/>
        </w:rPr>
        <w:t xml:space="preserve"> un/vai tās izraudzītie finanšu starpnieki attiecībā uz darījumiem, kas ir atbrīvoti no ilgtspējas pārbaudes; un </w:t>
      </w:r>
    </w:p>
    <w:p w14:paraId="3BDD89EA" w14:textId="77777777" w:rsidR="00776A1F" w:rsidRDefault="00D8574B">
      <w:pPr>
        <w:pStyle w:val="P68B1DB1-Normal4"/>
        <w:keepNext/>
        <w:numPr>
          <w:ilvl w:val="0"/>
          <w:numId w:val="58"/>
        </w:numPr>
        <w:spacing w:before="40" w:after="160" w:line="259" w:lineRule="auto"/>
        <w:contextualSpacing/>
        <w:jc w:val="both"/>
        <w:rPr>
          <w:rFonts w:eastAsiaTheme="minorEastAsia" w:cs="Times New Roman"/>
          <w:noProof/>
        </w:rPr>
      </w:pPr>
      <w:r>
        <w:rPr>
          <w:noProof/>
        </w:rPr>
        <w:t>tāda pašu kapitāla atbalsta saņēmējiem, kuri vismaz 50 % no saviem ieņēmumiem gūst no izslēgšanas sarakstā uzskaitītajām darbībām, lai pieņemtu un publicētu zaļās pārkārtošanās plānus.</w:t>
      </w:r>
    </w:p>
    <w:p w14:paraId="3D00B278" w14:textId="77777777" w:rsidR="00776A1F" w:rsidRDefault="00D8574B">
      <w:pPr>
        <w:pStyle w:val="P68B1DB1-Normal4"/>
        <w:spacing w:before="40" w:after="0" w:line="259" w:lineRule="auto"/>
        <w:jc w:val="both"/>
        <w:rPr>
          <w:rFonts w:eastAsiaTheme="minorEastAsia" w:cs="Times New Roman"/>
          <w:noProof/>
        </w:rPr>
      </w:pPr>
      <w:r>
        <w:rPr>
          <w:noProof/>
        </w:rPr>
        <w:t xml:space="preserve">Ieguldījumu īstenošanu pabeidz līdz 2025. gada 31. decembrim. </w:t>
      </w:r>
    </w:p>
    <w:p w14:paraId="29F83CA1" w14:textId="5D9194AF" w:rsidR="00776A1F" w:rsidRDefault="00D8574B">
      <w:pPr>
        <w:pStyle w:val="P68B1DB1-Normal5"/>
        <w:spacing w:before="240" w:after="0" w:line="259" w:lineRule="auto"/>
        <w:ind w:left="851"/>
        <w:jc w:val="both"/>
        <w:outlineLvl w:val="3"/>
        <w:rPr>
          <w:rFonts w:eastAsiaTheme="minorEastAsia" w:cs="Times New Roman"/>
          <w:noProof/>
        </w:rPr>
      </w:pPr>
      <w:bookmarkStart w:id="14" w:name="_Toc137472450"/>
      <w:r>
        <w:rPr>
          <w:noProof/>
        </w:rPr>
        <w:t>Ieguldījums RE-C05-i11 — Paplašināšanās: Mobilizācijas programmas/asociācijas uzņēmējdarbības inovācijai</w:t>
      </w:r>
      <w:bookmarkEnd w:id="14"/>
      <w:r>
        <w:rPr>
          <w:noProof/>
        </w:rPr>
        <w:t xml:space="preserve"> (aizdevumi)</w:t>
      </w:r>
    </w:p>
    <w:p w14:paraId="1A18BEC2" w14:textId="77777777" w:rsidR="00776A1F" w:rsidRDefault="00D8574B">
      <w:pPr>
        <w:pStyle w:val="P68B1DB1-Normal4"/>
        <w:spacing w:after="0"/>
        <w:jc w:val="both"/>
        <w:rPr>
          <w:rFonts w:cs="Times New Roman"/>
          <w:noProof/>
        </w:rPr>
      </w:pPr>
      <w:r>
        <w:rPr>
          <w:noProof/>
        </w:rPr>
        <w:t xml:space="preserve">Šā ieguldījuma mērķis ir palielināt ieguldījumus RE-C05-i01.01 5. komponentā. Pasākuma paplašinātā daļa palielina to produktu, procesu vai pakalpojumu skaitu, kas iegūti Mobilizācijas programmās/asociācijās uzņēmējdarbības inovācijai. </w:t>
      </w:r>
    </w:p>
    <w:p w14:paraId="6E30F4B5" w14:textId="68C2F408" w:rsidR="00776A1F" w:rsidRDefault="00D8574B">
      <w:pPr>
        <w:pStyle w:val="P68B1DB1-Normal4"/>
        <w:spacing w:after="0"/>
        <w:jc w:val="both"/>
        <w:rPr>
          <w:rFonts w:cs="Times New Roman"/>
          <w:noProof/>
        </w:rPr>
      </w:pPr>
      <w:r>
        <w:rPr>
          <w:noProof/>
        </w:rPr>
        <w:t>Vismaz 366 no produktiem, procesiem vai pakalpojumiem, ko īsteno saskaņā ar šo investīciju, saskaņo ar Atveseļošanas un noturības mehānisma regulas pielikuma 021. intervences jomu.</w:t>
      </w:r>
    </w:p>
    <w:p w14:paraId="6728AAA1" w14:textId="77777777" w:rsidR="00776A1F" w:rsidRDefault="00D8574B">
      <w:pPr>
        <w:pStyle w:val="P68B1DB1-Normal4"/>
        <w:spacing w:after="0"/>
        <w:jc w:val="both"/>
        <w:rPr>
          <w:rFonts w:eastAsiaTheme="minorEastAsia" w:cs="Times New Roman"/>
          <w:noProof/>
        </w:rPr>
      </w:pPr>
      <w:r>
        <w:rPr>
          <w:noProof/>
        </w:rPr>
        <w:t>Ieguldījumu īstenošanu pabeidz līdz 2025. gada 31. decembrim.</w:t>
      </w:r>
    </w:p>
    <w:p w14:paraId="6840A33A" w14:textId="77777777" w:rsidR="00776A1F" w:rsidRDefault="00776A1F">
      <w:pPr>
        <w:spacing w:after="0"/>
        <w:jc w:val="both"/>
        <w:rPr>
          <w:rFonts w:ascii="Times New Roman" w:eastAsiaTheme="minorEastAsia" w:hAnsi="Times New Roman" w:cs="Times New Roman"/>
          <w:noProof/>
          <w:sz w:val="24"/>
        </w:rPr>
      </w:pPr>
    </w:p>
    <w:p w14:paraId="1E26CB77" w14:textId="3501F04A" w:rsidR="00776A1F" w:rsidRDefault="00D8574B">
      <w:pPr>
        <w:pStyle w:val="P68B1DB1-Heading214"/>
        <w:rPr>
          <w:noProof/>
        </w:rPr>
      </w:pPr>
      <w:bookmarkStart w:id="15" w:name="_Toc137472486"/>
      <w:r>
        <w:rPr>
          <w:noProof/>
        </w:rPr>
        <w:t>Ieguldījums RP-C05-i12– — palielinājums: Zaļās programmas/asociācijas uzņēmumu inovācijai (aizdevumi</w:t>
      </w:r>
      <w:bookmarkEnd w:id="15"/>
      <w:r>
        <w:rPr>
          <w:noProof/>
        </w:rPr>
        <w:t>)</w:t>
      </w:r>
    </w:p>
    <w:p w14:paraId="51585A10" w14:textId="788869BD" w:rsidR="00776A1F" w:rsidRDefault="00D8574B">
      <w:pPr>
        <w:pStyle w:val="P68B1DB1-Normal4"/>
        <w:spacing w:after="0"/>
        <w:jc w:val="both"/>
        <w:rPr>
          <w:rFonts w:cs="Times New Roman"/>
          <w:noProof/>
        </w:rPr>
      </w:pPr>
      <w:r>
        <w:rPr>
          <w:noProof/>
        </w:rPr>
        <w:t>Šā ieguldījuma mērķis ir palielināt ieguldījumus RE-C05-i01.02 5. komponentā. Pasākuma paplašināšana palielina zaļajās programmās iekļauto produktu, procesu vai pakalpojumu skaitu.</w:t>
      </w:r>
    </w:p>
    <w:p w14:paraId="5ECB84FA" w14:textId="2CE97D40" w:rsidR="00776A1F" w:rsidRDefault="00D8574B">
      <w:pPr>
        <w:pStyle w:val="P68B1DB1-Normal4"/>
        <w:spacing w:after="0"/>
        <w:jc w:val="both"/>
        <w:rPr>
          <w:rFonts w:eastAsiaTheme="minorEastAsia" w:cs="Times New Roman"/>
          <w:noProof/>
        </w:rPr>
      </w:pPr>
      <w:r>
        <w:rPr>
          <w:noProof/>
        </w:rPr>
        <w:t xml:space="preserve">Ieguldījumu īstenošanu pabeidz līdz 2025. gada 31. decembrim. </w:t>
      </w:r>
    </w:p>
    <w:p w14:paraId="4B8C6875"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108"/>
          <w:headerReference w:type="default" r:id="rId109"/>
          <w:footerReference w:type="even" r:id="rId110"/>
          <w:footerReference w:type="default" r:id="rId111"/>
          <w:headerReference w:type="first" r:id="rId112"/>
          <w:footerReference w:type="first" r:id="rId113"/>
          <w:pgSz w:w="11907" w:h="16839"/>
          <w:pgMar w:top="1134" w:right="1134" w:bottom="1134" w:left="1134" w:header="567" w:footer="567" w:gutter="0"/>
          <w:cols w:space="720"/>
          <w:docGrid w:linePitch="360"/>
        </w:sectPr>
      </w:pPr>
    </w:p>
    <w:p w14:paraId="6490240C" w14:textId="77777777" w:rsidR="00776A1F" w:rsidRDefault="00D8574B">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E.4. </w:t>
      </w:r>
      <w:r>
        <w:rPr>
          <w:noProof/>
        </w:rPr>
        <w:tab/>
      </w:r>
      <w:r>
        <w:rPr>
          <w:rFonts w:ascii="Times New Roman" w:hAnsi="Times New Roman"/>
          <w:b/>
          <w:noProof/>
          <w:sz w:val="24"/>
          <w:u w:val="single"/>
        </w:rPr>
        <w:t>Atskaites punkti, mērķrādītāji, citi rādītāji un aizdevuma uzraudzības un īstenošanas grafiks</w:t>
      </w:r>
    </w:p>
    <w:p w14:paraId="08C3CE82" w14:textId="77777777" w:rsidR="00776A1F" w:rsidRDefault="00776A1F">
      <w:pPr>
        <w:keepNext/>
        <w:spacing w:before="40" w:after="0" w:line="259" w:lineRule="auto"/>
        <w:jc w:val="both"/>
        <w:rPr>
          <w:rFonts w:ascii="Times New Roman" w:hAnsi="Times New Roman" w:cs="Times New Roman"/>
          <w:noProof/>
          <w:sz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246"/>
        <w:gridCol w:w="1108"/>
        <w:gridCol w:w="1659"/>
        <w:gridCol w:w="1245"/>
        <w:gridCol w:w="972"/>
        <w:gridCol w:w="971"/>
        <w:gridCol w:w="695"/>
        <w:gridCol w:w="557"/>
        <w:gridCol w:w="694"/>
        <w:gridCol w:w="4908"/>
      </w:tblGrid>
      <w:tr w:rsidR="00776A1F" w14:paraId="235CFC6B" w14:textId="77777777">
        <w:trPr>
          <w:trHeight w:val="300"/>
          <w:tblHeader/>
        </w:trPr>
        <w:tc>
          <w:tcPr>
            <w:tcW w:w="1113" w:type="dxa"/>
            <w:vMerge w:val="restart"/>
            <w:shd w:val="clear" w:color="auto" w:fill="BDD6EE"/>
            <w:vAlign w:val="center"/>
            <w:hideMark/>
          </w:tcPr>
          <w:p w14:paraId="5AD60527"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46" w:type="dxa"/>
            <w:vMerge w:val="restart"/>
            <w:shd w:val="clear" w:color="auto" w:fill="BDD6EE"/>
            <w:noWrap/>
            <w:vAlign w:val="center"/>
            <w:hideMark/>
          </w:tcPr>
          <w:p w14:paraId="5F907E49"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08" w:type="dxa"/>
            <w:vMerge w:val="restart"/>
            <w:shd w:val="clear" w:color="auto" w:fill="BDD6EE"/>
            <w:noWrap/>
            <w:vAlign w:val="center"/>
            <w:hideMark/>
          </w:tcPr>
          <w:p w14:paraId="0F0CD791"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p w14:paraId="45499D8C" w14:textId="7AB69549" w:rsidR="00776A1F" w:rsidRDefault="00D8574B">
            <w:pPr>
              <w:pStyle w:val="P68B1DB1-Normal9"/>
              <w:spacing w:after="0" w:line="240" w:lineRule="auto"/>
              <w:rPr>
                <w:rFonts w:ascii="Times New Roman" w:eastAsia="Times New Roman" w:hAnsi="Times New Roman" w:cs="Times New Roman"/>
                <w:b/>
                <w:noProof/>
                <w:sz w:val="18"/>
              </w:rPr>
            </w:pPr>
            <w:r>
              <w:rPr>
                <w:noProof/>
              </w:rPr>
              <w:t> </w:t>
            </w:r>
          </w:p>
        </w:tc>
        <w:tc>
          <w:tcPr>
            <w:tcW w:w="1659" w:type="dxa"/>
            <w:vMerge w:val="restart"/>
            <w:shd w:val="clear" w:color="auto" w:fill="BDD6EE"/>
            <w:noWrap/>
            <w:vAlign w:val="center"/>
            <w:hideMark/>
          </w:tcPr>
          <w:p w14:paraId="342DD455"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45" w:type="dxa"/>
            <w:vMerge w:val="restart"/>
            <w:shd w:val="clear" w:color="auto" w:fill="BDD6EE"/>
            <w:noWrap/>
            <w:vAlign w:val="center"/>
            <w:hideMark/>
          </w:tcPr>
          <w:p w14:paraId="5D379DDD"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38" w:type="dxa"/>
            <w:gridSpan w:val="3"/>
            <w:shd w:val="clear" w:color="auto" w:fill="BDD6EE"/>
            <w:noWrap/>
            <w:vAlign w:val="center"/>
            <w:hideMark/>
          </w:tcPr>
          <w:p w14:paraId="39B01116"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51" w:type="dxa"/>
            <w:gridSpan w:val="2"/>
            <w:shd w:val="clear" w:color="auto" w:fill="BDD6EE"/>
            <w:noWrap/>
            <w:vAlign w:val="center"/>
            <w:hideMark/>
          </w:tcPr>
          <w:p w14:paraId="328C3EC0"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908" w:type="dxa"/>
            <w:vMerge w:val="restart"/>
            <w:shd w:val="clear" w:color="auto" w:fill="BDD6EE"/>
            <w:noWrap/>
            <w:vAlign w:val="center"/>
            <w:hideMark/>
          </w:tcPr>
          <w:p w14:paraId="495029B6"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77B89938" w14:textId="77777777">
        <w:trPr>
          <w:trHeight w:val="600"/>
          <w:tblHeader/>
        </w:trPr>
        <w:tc>
          <w:tcPr>
            <w:tcW w:w="1113" w:type="dxa"/>
            <w:vMerge/>
            <w:vAlign w:val="center"/>
            <w:hideMark/>
          </w:tcPr>
          <w:p w14:paraId="414C4B6B" w14:textId="77777777" w:rsidR="00776A1F" w:rsidRDefault="00776A1F">
            <w:pPr>
              <w:spacing w:after="0" w:line="240" w:lineRule="auto"/>
              <w:rPr>
                <w:rFonts w:ascii="Times New Roman" w:eastAsia="Times New Roman" w:hAnsi="Times New Roman" w:cs="Times New Roman"/>
                <w:b/>
                <w:noProof/>
                <w:sz w:val="18"/>
              </w:rPr>
            </w:pPr>
          </w:p>
        </w:tc>
        <w:tc>
          <w:tcPr>
            <w:tcW w:w="1246" w:type="dxa"/>
            <w:vMerge/>
            <w:vAlign w:val="center"/>
            <w:hideMark/>
          </w:tcPr>
          <w:p w14:paraId="26F62AB4" w14:textId="77777777" w:rsidR="00776A1F" w:rsidRDefault="00776A1F">
            <w:pPr>
              <w:spacing w:after="0" w:line="240" w:lineRule="auto"/>
              <w:rPr>
                <w:rFonts w:ascii="Times New Roman" w:eastAsia="Times New Roman" w:hAnsi="Times New Roman" w:cs="Times New Roman"/>
                <w:b/>
                <w:noProof/>
                <w:sz w:val="18"/>
              </w:rPr>
            </w:pPr>
          </w:p>
        </w:tc>
        <w:tc>
          <w:tcPr>
            <w:tcW w:w="1108" w:type="dxa"/>
            <w:vMerge/>
            <w:noWrap/>
            <w:vAlign w:val="center"/>
            <w:hideMark/>
          </w:tcPr>
          <w:p w14:paraId="4CD10545" w14:textId="36059408" w:rsidR="00776A1F" w:rsidRDefault="00776A1F">
            <w:pPr>
              <w:spacing w:after="0" w:line="240" w:lineRule="auto"/>
              <w:rPr>
                <w:rFonts w:ascii="Times New Roman" w:eastAsia="Times New Roman" w:hAnsi="Times New Roman" w:cs="Times New Roman"/>
                <w:b/>
                <w:noProof/>
                <w:sz w:val="18"/>
              </w:rPr>
            </w:pPr>
          </w:p>
        </w:tc>
        <w:tc>
          <w:tcPr>
            <w:tcW w:w="1659" w:type="dxa"/>
            <w:vMerge/>
            <w:vAlign w:val="center"/>
            <w:hideMark/>
          </w:tcPr>
          <w:p w14:paraId="09C405A8" w14:textId="77777777" w:rsidR="00776A1F" w:rsidRDefault="00776A1F">
            <w:pPr>
              <w:spacing w:after="0" w:line="240" w:lineRule="auto"/>
              <w:rPr>
                <w:rFonts w:ascii="Times New Roman" w:eastAsia="Times New Roman" w:hAnsi="Times New Roman" w:cs="Times New Roman"/>
                <w:b/>
                <w:noProof/>
                <w:sz w:val="18"/>
              </w:rPr>
            </w:pPr>
          </w:p>
        </w:tc>
        <w:tc>
          <w:tcPr>
            <w:tcW w:w="1245" w:type="dxa"/>
            <w:vMerge/>
            <w:vAlign w:val="center"/>
            <w:hideMark/>
          </w:tcPr>
          <w:p w14:paraId="4019AC7D" w14:textId="77777777" w:rsidR="00776A1F" w:rsidRDefault="00776A1F">
            <w:pPr>
              <w:spacing w:after="0" w:line="240" w:lineRule="auto"/>
              <w:rPr>
                <w:rFonts w:ascii="Times New Roman" w:eastAsia="Times New Roman" w:hAnsi="Times New Roman" w:cs="Times New Roman"/>
                <w:b/>
                <w:noProof/>
                <w:sz w:val="18"/>
              </w:rPr>
            </w:pPr>
          </w:p>
        </w:tc>
        <w:tc>
          <w:tcPr>
            <w:tcW w:w="972" w:type="dxa"/>
            <w:tcBorders>
              <w:bottom w:val="single" w:sz="4" w:space="0" w:color="auto"/>
            </w:tcBorders>
            <w:shd w:val="clear" w:color="auto" w:fill="BDD6EE"/>
            <w:noWrap/>
            <w:vAlign w:val="center"/>
            <w:hideMark/>
          </w:tcPr>
          <w:p w14:paraId="33FB0290"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71" w:type="dxa"/>
            <w:tcBorders>
              <w:bottom w:val="single" w:sz="4" w:space="0" w:color="auto"/>
            </w:tcBorders>
            <w:shd w:val="clear" w:color="auto" w:fill="BDD6EE"/>
            <w:noWrap/>
            <w:vAlign w:val="center"/>
            <w:hideMark/>
          </w:tcPr>
          <w:p w14:paraId="3F9E2F45"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695" w:type="dxa"/>
            <w:tcBorders>
              <w:bottom w:val="single" w:sz="4" w:space="0" w:color="auto"/>
            </w:tcBorders>
            <w:shd w:val="clear" w:color="auto" w:fill="BDD6EE"/>
            <w:noWrap/>
            <w:vAlign w:val="center"/>
            <w:hideMark/>
          </w:tcPr>
          <w:p w14:paraId="3288458E"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57" w:type="dxa"/>
            <w:tcBorders>
              <w:bottom w:val="single" w:sz="4" w:space="0" w:color="auto"/>
            </w:tcBorders>
            <w:shd w:val="clear" w:color="auto" w:fill="BDD6EE"/>
            <w:noWrap/>
            <w:vAlign w:val="center"/>
            <w:hideMark/>
          </w:tcPr>
          <w:p w14:paraId="30E12A1C" w14:textId="77777777" w:rsidR="00776A1F" w:rsidRDefault="00D8574B">
            <w:pPr>
              <w:pStyle w:val="P68B1DB1-Normal6"/>
              <w:spacing w:after="0" w:line="240" w:lineRule="auto"/>
              <w:jc w:val="center"/>
              <w:rPr>
                <w:rFonts w:eastAsia="Times New Roman" w:cs="Times New Roman"/>
                <w:noProof/>
              </w:rPr>
            </w:pPr>
            <w:r>
              <w:rPr>
                <w:noProof/>
              </w:rPr>
              <w:t>Q</w:t>
            </w:r>
          </w:p>
        </w:tc>
        <w:tc>
          <w:tcPr>
            <w:tcW w:w="694" w:type="dxa"/>
            <w:tcBorders>
              <w:bottom w:val="single" w:sz="4" w:space="0" w:color="auto"/>
            </w:tcBorders>
            <w:shd w:val="clear" w:color="auto" w:fill="BDD6EE"/>
            <w:noWrap/>
            <w:vAlign w:val="center"/>
            <w:hideMark/>
          </w:tcPr>
          <w:p w14:paraId="49193FA0"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908" w:type="dxa"/>
            <w:vMerge/>
            <w:vAlign w:val="center"/>
            <w:hideMark/>
          </w:tcPr>
          <w:p w14:paraId="68AAB397" w14:textId="77777777" w:rsidR="00776A1F" w:rsidRDefault="00776A1F">
            <w:pPr>
              <w:spacing w:after="0" w:line="240" w:lineRule="auto"/>
              <w:rPr>
                <w:rFonts w:ascii="Times New Roman" w:eastAsia="Times New Roman" w:hAnsi="Times New Roman" w:cs="Times New Roman"/>
                <w:b/>
                <w:noProof/>
                <w:sz w:val="18"/>
              </w:rPr>
            </w:pPr>
          </w:p>
        </w:tc>
      </w:tr>
      <w:tr w:rsidR="00776A1F" w14:paraId="62E78A68" w14:textId="77777777">
        <w:trPr>
          <w:trHeight w:val="509"/>
        </w:trPr>
        <w:tc>
          <w:tcPr>
            <w:tcW w:w="1113" w:type="dxa"/>
            <w:shd w:val="clear" w:color="auto" w:fill="C4EFCE"/>
            <w:vAlign w:val="center"/>
            <w:hideMark/>
          </w:tcPr>
          <w:p w14:paraId="1CD6A056" w14:textId="77777777" w:rsidR="00776A1F" w:rsidRDefault="00D8574B">
            <w:pPr>
              <w:pStyle w:val="P68B1DB1-Normal7"/>
              <w:spacing w:after="0" w:line="240" w:lineRule="auto"/>
              <w:jc w:val="center"/>
              <w:rPr>
                <w:rFonts w:eastAsia="Times New Roman" w:cs="Calibri"/>
                <w:noProof/>
              </w:rPr>
            </w:pPr>
            <w:r>
              <w:rPr>
                <w:noProof/>
              </w:rPr>
              <w:t>5.23</w:t>
            </w:r>
          </w:p>
        </w:tc>
        <w:tc>
          <w:tcPr>
            <w:tcW w:w="1246" w:type="dxa"/>
            <w:shd w:val="clear" w:color="auto" w:fill="C4EFCE"/>
            <w:vAlign w:val="center"/>
            <w:hideMark/>
          </w:tcPr>
          <w:p w14:paraId="70D1D549" w14:textId="77777777" w:rsidR="00776A1F" w:rsidRDefault="00D8574B">
            <w:pPr>
              <w:pStyle w:val="P68B1DB1-Normal8"/>
              <w:spacing w:after="0" w:line="240" w:lineRule="auto"/>
              <w:jc w:val="center"/>
              <w:rPr>
                <w:rFonts w:eastAsia="Times New Roman" w:cs="Calibri"/>
                <w:noProof/>
              </w:rPr>
            </w:pPr>
            <w:r>
              <w:rPr>
                <w:noProof/>
              </w:rPr>
              <w:t>Re-C05-r10</w:t>
            </w:r>
          </w:p>
        </w:tc>
        <w:tc>
          <w:tcPr>
            <w:tcW w:w="1108" w:type="dxa"/>
            <w:shd w:val="clear" w:color="auto" w:fill="C4EFCE"/>
            <w:vAlign w:val="center"/>
            <w:hideMark/>
          </w:tcPr>
          <w:p w14:paraId="3CF04DC0"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69E39EE1" w14:textId="77777777" w:rsidR="00776A1F" w:rsidRDefault="00D8574B">
            <w:pPr>
              <w:pStyle w:val="P68B1DB1-Normal8"/>
              <w:spacing w:after="0" w:line="240" w:lineRule="auto"/>
              <w:jc w:val="center"/>
              <w:rPr>
                <w:rFonts w:eastAsia="Times New Roman" w:cs="Calibri"/>
                <w:noProof/>
              </w:rPr>
            </w:pPr>
            <w:r>
              <w:rPr>
                <w:noProof/>
              </w:rPr>
              <w:t xml:space="preserve">Regulas, ar ko nosaka </w:t>
            </w:r>
            <w:r>
              <w:rPr>
                <w:i/>
                <w:noProof/>
              </w:rPr>
              <w:t>Banco Português de Fomento</w:t>
            </w:r>
            <w:r>
              <w:rPr>
                <w:noProof/>
              </w:rPr>
              <w:t xml:space="preserve"> (BPF) darbības un statūtus, stāšanās spēkā</w:t>
            </w:r>
          </w:p>
        </w:tc>
        <w:tc>
          <w:tcPr>
            <w:tcW w:w="1245" w:type="dxa"/>
            <w:shd w:val="clear" w:color="auto" w:fill="C4EFCE"/>
            <w:vAlign w:val="center"/>
            <w:hideMark/>
          </w:tcPr>
          <w:p w14:paraId="5C531FAA" w14:textId="77777777" w:rsidR="00776A1F" w:rsidRDefault="00D8574B">
            <w:pPr>
              <w:pStyle w:val="P68B1DB1-Normal8"/>
              <w:spacing w:after="0" w:line="240" w:lineRule="auto"/>
              <w:jc w:val="center"/>
              <w:rPr>
                <w:rFonts w:eastAsia="Times New Roman" w:cs="Calibri"/>
                <w:noProof/>
              </w:rPr>
            </w:pPr>
            <w:r>
              <w:rPr>
                <w:noProof/>
              </w:rPr>
              <w:t>Stājas spēkā Dekrētlikums Nr. 63/2020, ar ko nosaka BPF darbību un statūtus</w:t>
            </w:r>
          </w:p>
        </w:tc>
        <w:tc>
          <w:tcPr>
            <w:tcW w:w="972" w:type="dxa"/>
            <w:shd w:val="clear" w:color="auto" w:fill="C4EFCE"/>
            <w:vAlign w:val="center"/>
            <w:hideMark/>
          </w:tcPr>
          <w:p w14:paraId="7BF2953F"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547F95"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58AF4DF8"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584F10F0"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vAlign w:val="center"/>
            <w:hideMark/>
          </w:tcPr>
          <w:p w14:paraId="6C49ABF7" w14:textId="77777777" w:rsidR="00776A1F" w:rsidRDefault="00D8574B">
            <w:pPr>
              <w:pStyle w:val="P68B1DB1-Normal8"/>
              <w:spacing w:after="0" w:line="240" w:lineRule="auto"/>
              <w:jc w:val="center"/>
              <w:rPr>
                <w:rFonts w:eastAsia="Times New Roman" w:cs="Calibri"/>
                <w:noProof/>
              </w:rPr>
            </w:pPr>
            <w:r>
              <w:rPr>
                <w:noProof/>
              </w:rPr>
              <w:t>2020</w:t>
            </w:r>
          </w:p>
        </w:tc>
        <w:tc>
          <w:tcPr>
            <w:tcW w:w="4908" w:type="dxa"/>
            <w:shd w:val="clear" w:color="auto" w:fill="C4EFCE"/>
            <w:vAlign w:val="center"/>
            <w:hideMark/>
          </w:tcPr>
          <w:p w14:paraId="61570855" w14:textId="77777777" w:rsidR="00776A1F" w:rsidRDefault="00D8574B">
            <w:pPr>
              <w:pStyle w:val="P68B1DB1-Normal8"/>
              <w:spacing w:after="0" w:line="240" w:lineRule="auto"/>
              <w:jc w:val="both"/>
              <w:rPr>
                <w:rFonts w:eastAsia="Times New Roman" w:cs="Calibri"/>
                <w:noProof/>
              </w:rPr>
            </w:pPr>
            <w:r>
              <w:rPr>
                <w:noProof/>
              </w:rPr>
              <w:t>Portugāles Republikas valdības publikācija un Dekrētlikuma Nr. 63/2020, kas reglamentē BPF darbību un darbību un apstiprina tā statūtus, stāšanās spēkā.</w:t>
            </w:r>
          </w:p>
        </w:tc>
      </w:tr>
      <w:tr w:rsidR="00776A1F" w14:paraId="661774E0" w14:textId="77777777">
        <w:trPr>
          <w:trHeight w:val="1220"/>
        </w:trPr>
        <w:tc>
          <w:tcPr>
            <w:tcW w:w="1113" w:type="dxa"/>
            <w:shd w:val="clear" w:color="auto" w:fill="C4EFCE"/>
            <w:vAlign w:val="center"/>
            <w:hideMark/>
          </w:tcPr>
          <w:p w14:paraId="66190338" w14:textId="77777777" w:rsidR="00776A1F" w:rsidRDefault="00D8574B">
            <w:pPr>
              <w:pStyle w:val="P68B1DB1-Normal7"/>
              <w:spacing w:after="0" w:line="240" w:lineRule="auto"/>
              <w:jc w:val="center"/>
              <w:rPr>
                <w:rFonts w:eastAsia="Times New Roman" w:cs="Calibri"/>
                <w:noProof/>
              </w:rPr>
            </w:pPr>
            <w:r>
              <w:rPr>
                <w:noProof/>
              </w:rPr>
              <w:t>5.24</w:t>
            </w:r>
          </w:p>
        </w:tc>
        <w:tc>
          <w:tcPr>
            <w:tcW w:w="1246" w:type="dxa"/>
            <w:shd w:val="clear" w:color="auto" w:fill="C4EFCE"/>
            <w:vAlign w:val="center"/>
            <w:hideMark/>
          </w:tcPr>
          <w:p w14:paraId="689D69C9" w14:textId="77777777" w:rsidR="00776A1F" w:rsidRDefault="00D8574B">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9F03A2E"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FF4E1B6" w14:textId="77777777" w:rsidR="00776A1F" w:rsidRDefault="00D8574B">
            <w:pPr>
              <w:pStyle w:val="P68B1DB1-Normal8"/>
              <w:spacing w:after="0" w:line="240" w:lineRule="auto"/>
              <w:jc w:val="center"/>
              <w:rPr>
                <w:rFonts w:eastAsia="Times New Roman" w:cs="Calibri"/>
                <w:noProof/>
              </w:rPr>
            </w:pPr>
            <w:r>
              <w:rPr>
                <w:noProof/>
              </w:rPr>
              <w:t xml:space="preserve"> Kolektīvo ieguldījumu uzņēmumu tiesiskā regulējuma pārskatīšanas stāšanās spēkā </w:t>
            </w:r>
          </w:p>
        </w:tc>
        <w:tc>
          <w:tcPr>
            <w:tcW w:w="1245" w:type="dxa"/>
            <w:shd w:val="clear" w:color="auto" w:fill="C4EFCE"/>
            <w:vAlign w:val="center"/>
            <w:hideMark/>
          </w:tcPr>
          <w:p w14:paraId="4083C547" w14:textId="77777777" w:rsidR="00776A1F" w:rsidRDefault="00D8574B">
            <w:pPr>
              <w:pStyle w:val="P68B1DB1-Normal8"/>
              <w:spacing w:after="0" w:line="240" w:lineRule="auto"/>
              <w:jc w:val="center"/>
              <w:rPr>
                <w:rFonts w:eastAsia="Times New Roman" w:cs="Calibri"/>
                <w:noProof/>
              </w:rPr>
            </w:pPr>
            <w:r>
              <w:rPr>
                <w:noProof/>
              </w:rPr>
              <w:t xml:space="preserve">Kolektīvo ieguldījumu uzņēmumu tiesiskā regulējuma pārskatīšanas stāšanās spēkā </w:t>
            </w:r>
          </w:p>
        </w:tc>
        <w:tc>
          <w:tcPr>
            <w:tcW w:w="972" w:type="dxa"/>
            <w:shd w:val="clear" w:color="auto" w:fill="C4EFCE"/>
            <w:vAlign w:val="center"/>
            <w:hideMark/>
          </w:tcPr>
          <w:p w14:paraId="1A341D8C"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5C5E34C9"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51BF450"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3C786D1E"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vAlign w:val="center"/>
            <w:hideMark/>
          </w:tcPr>
          <w:p w14:paraId="72FED962" w14:textId="77777777" w:rsidR="00776A1F" w:rsidRDefault="00D8574B">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5E67B5D" w14:textId="77777777" w:rsidR="00776A1F" w:rsidRDefault="00D8574B">
            <w:pPr>
              <w:pStyle w:val="P68B1DB1-Normal8"/>
              <w:spacing w:after="0" w:line="240" w:lineRule="auto"/>
              <w:jc w:val="both"/>
              <w:rPr>
                <w:rFonts w:eastAsia="Times New Roman" w:cs="Calibri"/>
                <w:noProof/>
              </w:rPr>
            </w:pPr>
            <w:r>
              <w:rPr>
                <w:noProof/>
              </w:rPr>
              <w:t>Likums stājas spēkā pēc tam, kad Republikas Asambleja pieņēma likumu. Tā pārskata kolektīvo ieguldījumu uzņēmumu tiesisko regulējumu, lai panāktu regulatīvo un administratīvo vienkāršošanu.</w:t>
            </w:r>
          </w:p>
        </w:tc>
      </w:tr>
      <w:tr w:rsidR="00776A1F" w14:paraId="7FAB8FF7" w14:textId="77777777">
        <w:trPr>
          <w:trHeight w:val="1060"/>
        </w:trPr>
        <w:tc>
          <w:tcPr>
            <w:tcW w:w="1113" w:type="dxa"/>
            <w:shd w:val="clear" w:color="auto" w:fill="C4EFCE"/>
            <w:vAlign w:val="center"/>
            <w:hideMark/>
          </w:tcPr>
          <w:p w14:paraId="2CEBAA44" w14:textId="77777777" w:rsidR="00776A1F" w:rsidRDefault="00D8574B">
            <w:pPr>
              <w:pStyle w:val="P68B1DB1-Normal7"/>
              <w:spacing w:after="0" w:line="240" w:lineRule="auto"/>
              <w:jc w:val="center"/>
              <w:rPr>
                <w:rFonts w:eastAsia="Times New Roman" w:cs="Calibri"/>
                <w:noProof/>
              </w:rPr>
            </w:pPr>
            <w:r>
              <w:rPr>
                <w:noProof/>
              </w:rPr>
              <w:t>5.25</w:t>
            </w:r>
          </w:p>
        </w:tc>
        <w:tc>
          <w:tcPr>
            <w:tcW w:w="1246" w:type="dxa"/>
            <w:shd w:val="clear" w:color="auto" w:fill="C4EFCE"/>
            <w:vAlign w:val="center"/>
            <w:hideMark/>
          </w:tcPr>
          <w:p w14:paraId="67EFB3F7" w14:textId="77777777" w:rsidR="00776A1F" w:rsidRDefault="00D8574B">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1D7EC96"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39C18E1" w14:textId="77777777" w:rsidR="00776A1F" w:rsidRDefault="00D8574B">
            <w:pPr>
              <w:pStyle w:val="P68B1DB1-Normal8"/>
              <w:spacing w:after="0" w:line="240" w:lineRule="auto"/>
              <w:jc w:val="center"/>
              <w:rPr>
                <w:rFonts w:eastAsia="Times New Roman" w:cs="Calibri"/>
                <w:noProof/>
              </w:rPr>
            </w:pPr>
            <w:r>
              <w:rPr>
                <w:noProof/>
              </w:rPr>
              <w:t>Vērtspapīru kodeksa likuma pārskatīšanas stāšanās spēkā</w:t>
            </w:r>
          </w:p>
        </w:tc>
        <w:tc>
          <w:tcPr>
            <w:tcW w:w="1245" w:type="dxa"/>
            <w:shd w:val="clear" w:color="auto" w:fill="C4EFCE"/>
            <w:vAlign w:val="center"/>
            <w:hideMark/>
          </w:tcPr>
          <w:p w14:paraId="16730FE3" w14:textId="77777777" w:rsidR="00776A1F" w:rsidRDefault="00D8574B">
            <w:pPr>
              <w:pStyle w:val="P68B1DB1-Normal8"/>
              <w:spacing w:after="0" w:line="240" w:lineRule="auto"/>
              <w:jc w:val="center"/>
              <w:rPr>
                <w:rFonts w:eastAsia="Times New Roman" w:cs="Calibri"/>
                <w:noProof/>
              </w:rPr>
            </w:pPr>
            <w:r>
              <w:rPr>
                <w:noProof/>
              </w:rPr>
              <w:t xml:space="preserve">Vērtspapīru kodeksa likuma pārskatīšanas stāšanās spēkā </w:t>
            </w:r>
          </w:p>
        </w:tc>
        <w:tc>
          <w:tcPr>
            <w:tcW w:w="972" w:type="dxa"/>
            <w:shd w:val="clear" w:color="auto" w:fill="C4EFCE"/>
            <w:vAlign w:val="center"/>
            <w:hideMark/>
          </w:tcPr>
          <w:p w14:paraId="57352804"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D4D1645"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15C0F5D"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3C62266"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vAlign w:val="center"/>
            <w:hideMark/>
          </w:tcPr>
          <w:p w14:paraId="23228510" w14:textId="77777777" w:rsidR="00776A1F" w:rsidRDefault="00D8574B">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7E578C3A" w14:textId="77777777" w:rsidR="00776A1F" w:rsidRDefault="00D8574B">
            <w:pPr>
              <w:pStyle w:val="P68B1DB1-Normal8"/>
              <w:spacing w:after="0" w:line="240" w:lineRule="auto"/>
              <w:jc w:val="both"/>
              <w:rPr>
                <w:rFonts w:eastAsia="Times New Roman" w:cs="Calibri"/>
                <w:noProof/>
              </w:rPr>
            </w:pPr>
            <w:r>
              <w:rPr>
                <w:noProof/>
              </w:rPr>
              <w:t>Likums stājas spēkā pēc tam, kad Republikas Asambleja ir pieņēmusi likumu. Vērtspapīru kodeksa pārskatīšanas mērķis ir regulatīvā un administratīvā vienkāršošana, lai saskaņotu valsts regulējumu ar Savienības tiesību aktiem attiecībā uz mērķi palielināt Portugāles kapitāla tirgus konkurētspēju.</w:t>
            </w:r>
          </w:p>
        </w:tc>
      </w:tr>
      <w:tr w:rsidR="00776A1F" w14:paraId="71EC5849" w14:textId="77777777">
        <w:trPr>
          <w:trHeight w:val="67"/>
        </w:trPr>
        <w:tc>
          <w:tcPr>
            <w:tcW w:w="1113" w:type="dxa"/>
            <w:shd w:val="clear" w:color="auto" w:fill="C4EFCE"/>
            <w:vAlign w:val="center"/>
            <w:hideMark/>
          </w:tcPr>
          <w:p w14:paraId="73BF0385" w14:textId="77777777" w:rsidR="00776A1F" w:rsidRDefault="00D8574B">
            <w:pPr>
              <w:pStyle w:val="P68B1DB1-Normal7"/>
              <w:spacing w:after="0" w:line="240" w:lineRule="auto"/>
              <w:jc w:val="center"/>
              <w:rPr>
                <w:rFonts w:eastAsia="Times New Roman" w:cs="Calibri"/>
                <w:noProof/>
              </w:rPr>
            </w:pPr>
            <w:r>
              <w:rPr>
                <w:noProof/>
              </w:rPr>
              <w:t>5.26</w:t>
            </w:r>
          </w:p>
        </w:tc>
        <w:tc>
          <w:tcPr>
            <w:tcW w:w="1246" w:type="dxa"/>
            <w:shd w:val="clear" w:color="auto" w:fill="C4EFCE"/>
            <w:vAlign w:val="center"/>
            <w:hideMark/>
          </w:tcPr>
          <w:p w14:paraId="01F6EAD9" w14:textId="77777777" w:rsidR="00776A1F" w:rsidRDefault="00D8574B">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89C3F1A"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1D2DB219" w14:textId="77777777" w:rsidR="00776A1F" w:rsidRDefault="00D8574B">
            <w:pPr>
              <w:pStyle w:val="P68B1DB1-Normal8"/>
              <w:spacing w:after="0" w:line="240" w:lineRule="auto"/>
              <w:jc w:val="center"/>
              <w:rPr>
                <w:rFonts w:eastAsia="Times New Roman" w:cs="Calibri"/>
                <w:noProof/>
              </w:rPr>
            </w:pPr>
            <w:r>
              <w:rPr>
                <w:noProof/>
              </w:rPr>
              <w:t xml:space="preserve">Kapitāla tirgus attīstība — tiesību aktu stāšanās spēkā </w:t>
            </w:r>
          </w:p>
        </w:tc>
        <w:tc>
          <w:tcPr>
            <w:tcW w:w="1245" w:type="dxa"/>
            <w:shd w:val="clear" w:color="auto" w:fill="C4EFCE"/>
            <w:vAlign w:val="center"/>
            <w:hideMark/>
          </w:tcPr>
          <w:p w14:paraId="7D1637FA" w14:textId="77777777" w:rsidR="00776A1F" w:rsidRDefault="00D8574B">
            <w:pPr>
              <w:pStyle w:val="P68B1DB1-Normal8"/>
              <w:spacing w:after="0" w:line="240" w:lineRule="auto"/>
              <w:jc w:val="center"/>
              <w:rPr>
                <w:rFonts w:eastAsia="Times New Roman" w:cs="Calibri"/>
                <w:noProof/>
              </w:rPr>
            </w:pPr>
            <w:r>
              <w:rPr>
                <w:noProof/>
              </w:rPr>
              <w:t>Kapitāla tirgus attīstības tiesību aktu stāšanās spēkā</w:t>
            </w:r>
          </w:p>
        </w:tc>
        <w:tc>
          <w:tcPr>
            <w:tcW w:w="972" w:type="dxa"/>
            <w:shd w:val="clear" w:color="auto" w:fill="C4EFCE"/>
            <w:vAlign w:val="center"/>
            <w:hideMark/>
          </w:tcPr>
          <w:p w14:paraId="586E7C49"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1A2F023"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2E32C9C"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6033117F"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vAlign w:val="center"/>
            <w:hideMark/>
          </w:tcPr>
          <w:p w14:paraId="22331127" w14:textId="77777777" w:rsidR="00776A1F" w:rsidRDefault="00D8574B">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hideMark/>
          </w:tcPr>
          <w:p w14:paraId="1C25D1BF" w14:textId="77777777" w:rsidR="00776A1F" w:rsidRDefault="00D8574B">
            <w:pPr>
              <w:pStyle w:val="P68B1DB1-Normal8"/>
              <w:spacing w:after="0" w:line="240" w:lineRule="auto"/>
              <w:jc w:val="both"/>
              <w:rPr>
                <w:rFonts w:eastAsia="Times New Roman" w:cs="Calibri"/>
                <w:noProof/>
              </w:rPr>
            </w:pPr>
            <w:r>
              <w:rPr>
                <w:noProof/>
              </w:rPr>
              <w:t>Pēc tirgus dalībnieku ieguldījuma stāšanās spēkā tiesību akti par kapitāla tirgus attīstību. Vienlaikus saglabājot Kapitāla tirgus stiprināšanas darba grupas (ko izveidoja Ekonomikas un digitālās pārkārtošanās ministrija un Finanšu valsts sekretārs) darba brīvību, ir paredzēts, ka tiesību aktos galvenā uzmanība tiks pievērsta stimulu radīšanai cita starpā i) kapitāla piekļuvei kapitāla tirgum, ii) tādas vides radīšanai, kas veicina uzņēmējdarbības izaugsmi, iii) aizņēmuma finansēšanai tirgū, iv) ieguldītāju līdzdalībai.</w:t>
            </w:r>
          </w:p>
        </w:tc>
      </w:tr>
      <w:tr w:rsidR="00776A1F" w14:paraId="2E453268" w14:textId="77777777">
        <w:trPr>
          <w:trHeight w:val="1984"/>
        </w:trPr>
        <w:tc>
          <w:tcPr>
            <w:tcW w:w="1113" w:type="dxa"/>
            <w:shd w:val="clear" w:color="auto" w:fill="C4EFCE"/>
            <w:vAlign w:val="center"/>
            <w:hideMark/>
          </w:tcPr>
          <w:p w14:paraId="1303E8CD" w14:textId="77777777" w:rsidR="00776A1F" w:rsidRDefault="00D8574B">
            <w:pPr>
              <w:pStyle w:val="P68B1DB1-Normal7"/>
              <w:spacing w:after="0" w:line="240" w:lineRule="auto"/>
              <w:jc w:val="center"/>
              <w:rPr>
                <w:rFonts w:eastAsia="Times New Roman" w:cs="Calibri"/>
                <w:noProof/>
              </w:rPr>
            </w:pPr>
            <w:r>
              <w:rPr>
                <w:noProof/>
              </w:rPr>
              <w:t>5.27</w:t>
            </w:r>
          </w:p>
        </w:tc>
        <w:tc>
          <w:tcPr>
            <w:tcW w:w="1246" w:type="dxa"/>
            <w:shd w:val="clear" w:color="auto" w:fill="C4EFCE"/>
            <w:vAlign w:val="center"/>
            <w:hideMark/>
          </w:tcPr>
          <w:p w14:paraId="1806B2C1" w14:textId="77777777"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4044504"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42D89F6B" w14:textId="77777777" w:rsidR="00776A1F" w:rsidRDefault="00D8574B">
            <w:pPr>
              <w:pStyle w:val="P68B1DB1-Normal8"/>
              <w:spacing w:after="0" w:line="240" w:lineRule="auto"/>
              <w:jc w:val="center"/>
              <w:rPr>
                <w:rFonts w:eastAsia="Times New Roman" w:cs="Calibri"/>
                <w:noProof/>
              </w:rPr>
            </w:pPr>
            <w:r>
              <w:rPr>
                <w:noProof/>
              </w:rPr>
              <w:t xml:space="preserve">Stājas spēkā dekrētlikums, kas reglamentē BPF kapitalizācijas pasākumu </w:t>
            </w:r>
          </w:p>
        </w:tc>
        <w:tc>
          <w:tcPr>
            <w:tcW w:w="1245" w:type="dxa"/>
            <w:shd w:val="clear" w:color="auto" w:fill="C4EFCE"/>
            <w:vAlign w:val="center"/>
            <w:hideMark/>
          </w:tcPr>
          <w:p w14:paraId="0B68941B" w14:textId="77777777" w:rsidR="00776A1F" w:rsidRDefault="00D8574B">
            <w:pPr>
              <w:pStyle w:val="P68B1DB1-Normal8"/>
              <w:spacing w:after="0" w:line="240" w:lineRule="auto"/>
              <w:jc w:val="center"/>
              <w:rPr>
                <w:rFonts w:eastAsia="Times New Roman" w:cs="Calibri"/>
                <w:noProof/>
              </w:rPr>
            </w:pPr>
            <w:r>
              <w:rPr>
                <w:noProof/>
              </w:rPr>
              <w:t>Stājas spēkā dekrētlikums, kas reglamentē BPF kapitalizācijas pasākumu</w:t>
            </w:r>
          </w:p>
        </w:tc>
        <w:tc>
          <w:tcPr>
            <w:tcW w:w="972" w:type="dxa"/>
            <w:shd w:val="clear" w:color="auto" w:fill="C4EFCE"/>
            <w:vAlign w:val="center"/>
            <w:hideMark/>
          </w:tcPr>
          <w:p w14:paraId="4606872E"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1F8011" w14:textId="77777777" w:rsidR="00776A1F" w:rsidRDefault="00D8574B">
            <w:pPr>
              <w:pStyle w:val="P68B1DB1-Normal8"/>
              <w:spacing w:after="0" w:line="240" w:lineRule="auto"/>
              <w:jc w:val="center"/>
              <w:rPr>
                <w:rFonts w:eastAsia="Times New Roman" w:cs="Calibri"/>
                <w:noProof/>
              </w:rPr>
            </w:pPr>
            <w:r>
              <w:rPr>
                <w:noProof/>
              </w:rPr>
              <w:t> </w:t>
            </w:r>
          </w:p>
          <w:p w14:paraId="568C3E8E" w14:textId="77777777" w:rsidR="00776A1F" w:rsidRDefault="00776A1F">
            <w:pPr>
              <w:rPr>
                <w:rFonts w:ascii="Calibri" w:eastAsia="Times New Roman" w:hAnsi="Calibri" w:cs="Calibri"/>
                <w:noProof/>
                <w:sz w:val="16"/>
              </w:rPr>
            </w:pPr>
          </w:p>
          <w:p w14:paraId="4A2BB129" w14:textId="77777777" w:rsidR="00776A1F" w:rsidRDefault="00776A1F">
            <w:pPr>
              <w:rPr>
                <w:rFonts w:ascii="Calibri" w:eastAsia="Times New Roman" w:hAnsi="Calibri" w:cs="Calibri"/>
                <w:noProof/>
                <w:sz w:val="16"/>
              </w:rPr>
            </w:pPr>
          </w:p>
          <w:p w14:paraId="528CDCA3" w14:textId="77777777" w:rsidR="00776A1F" w:rsidRDefault="00776A1F">
            <w:pPr>
              <w:rPr>
                <w:rFonts w:ascii="Calibri" w:eastAsia="Times New Roman" w:hAnsi="Calibri" w:cs="Calibri"/>
                <w:noProof/>
                <w:sz w:val="16"/>
              </w:rPr>
            </w:pPr>
          </w:p>
          <w:p w14:paraId="73EBE8F6" w14:textId="77777777" w:rsidR="00776A1F" w:rsidRDefault="00776A1F">
            <w:pPr>
              <w:rPr>
                <w:rFonts w:ascii="Calibri" w:eastAsia="Times New Roman" w:hAnsi="Calibri" w:cs="Calibri"/>
                <w:noProof/>
                <w:sz w:val="16"/>
              </w:rPr>
            </w:pPr>
          </w:p>
          <w:p w14:paraId="037CD278" w14:textId="00F93827" w:rsidR="00776A1F" w:rsidRDefault="00776A1F">
            <w:pPr>
              <w:rPr>
                <w:rFonts w:ascii="Calibri" w:eastAsia="Times New Roman" w:hAnsi="Calibri" w:cs="Calibri"/>
                <w:noProof/>
                <w:sz w:val="16"/>
              </w:rPr>
            </w:pPr>
          </w:p>
        </w:tc>
        <w:tc>
          <w:tcPr>
            <w:tcW w:w="695" w:type="dxa"/>
            <w:shd w:val="clear" w:color="auto" w:fill="C4EFCE"/>
            <w:vAlign w:val="center"/>
            <w:hideMark/>
          </w:tcPr>
          <w:p w14:paraId="66A30881"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78A1E93"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vAlign w:val="center"/>
            <w:hideMark/>
          </w:tcPr>
          <w:p w14:paraId="28C39B7C" w14:textId="77777777" w:rsidR="00776A1F" w:rsidRDefault="00D8574B">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7330B2B8" w14:textId="77777777" w:rsidR="00776A1F" w:rsidRDefault="00D8574B">
            <w:pPr>
              <w:pStyle w:val="P68B1DB1-Normal8"/>
              <w:spacing w:after="0" w:line="240" w:lineRule="auto"/>
              <w:jc w:val="both"/>
              <w:rPr>
                <w:rFonts w:eastAsia="Times New Roman" w:cs="Calibri"/>
                <w:noProof/>
              </w:rPr>
            </w:pPr>
            <w:r>
              <w:rPr>
                <w:noProof/>
              </w:rPr>
              <w:t xml:space="preserve">Stājas spēkā dekrētlikums, kas reglamentē kapitalizācijas pasākumu, nosakot nepieciešamību izveidot ieguldījumu politiku, kurā cita starpā ir noteikti atbalsta saņēmēju uzņēmumu atbilstības un atlases kritēriji  </w:t>
            </w:r>
          </w:p>
        </w:tc>
      </w:tr>
      <w:tr w:rsidR="00776A1F" w14:paraId="13FEB03E" w14:textId="77777777">
        <w:trPr>
          <w:trHeight w:val="1470"/>
        </w:trPr>
        <w:tc>
          <w:tcPr>
            <w:tcW w:w="1113" w:type="dxa"/>
            <w:shd w:val="clear" w:color="auto" w:fill="C4EFCE"/>
            <w:vAlign w:val="center"/>
            <w:hideMark/>
          </w:tcPr>
          <w:p w14:paraId="2FAB9979" w14:textId="77777777" w:rsidR="00776A1F" w:rsidRDefault="00D8574B">
            <w:pPr>
              <w:pStyle w:val="P68B1DB1-Normal7"/>
              <w:spacing w:after="0" w:line="240" w:lineRule="auto"/>
              <w:jc w:val="center"/>
              <w:rPr>
                <w:rFonts w:eastAsia="Times New Roman" w:cs="Calibri"/>
                <w:noProof/>
              </w:rPr>
            </w:pPr>
            <w:r>
              <w:rPr>
                <w:noProof/>
              </w:rPr>
              <w:t>5.28</w:t>
            </w:r>
          </w:p>
        </w:tc>
        <w:tc>
          <w:tcPr>
            <w:tcW w:w="1246" w:type="dxa"/>
            <w:shd w:val="clear" w:color="auto" w:fill="C4EFCE"/>
            <w:vAlign w:val="center"/>
            <w:hideMark/>
          </w:tcPr>
          <w:p w14:paraId="652B7AB1" w14:textId="77777777"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00EB9EF"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FFFD34C" w14:textId="77777777" w:rsidR="00776A1F" w:rsidRDefault="00D8574B">
            <w:pPr>
              <w:pStyle w:val="P68B1DB1-Normal8"/>
              <w:spacing w:after="0" w:line="240" w:lineRule="auto"/>
              <w:jc w:val="center"/>
              <w:rPr>
                <w:rFonts w:eastAsia="Times New Roman" w:cs="Calibri"/>
                <w:noProof/>
              </w:rPr>
            </w:pPr>
            <w:r>
              <w:rPr>
                <w:noProof/>
              </w:rPr>
              <w:t> </w:t>
            </w:r>
          </w:p>
          <w:p w14:paraId="745A03C4" w14:textId="77777777" w:rsidR="00776A1F" w:rsidRDefault="00D8574B">
            <w:pPr>
              <w:pStyle w:val="P68B1DB1-Normal8"/>
              <w:spacing w:after="0" w:line="240" w:lineRule="auto"/>
              <w:jc w:val="center"/>
              <w:rPr>
                <w:rFonts w:eastAsia="Times New Roman" w:cs="Calibri"/>
                <w:noProof/>
              </w:rPr>
            </w:pPr>
            <w:r>
              <w:rPr>
                <w:noProof/>
              </w:rPr>
              <w:t>Ieguldījumu politikas izstrāde (kapitalizācija) un pieņemšana, ko veic transportlīdzekļu pārvaldītājs</w:t>
            </w:r>
          </w:p>
        </w:tc>
        <w:tc>
          <w:tcPr>
            <w:tcW w:w="1245" w:type="dxa"/>
            <w:shd w:val="clear" w:color="auto" w:fill="C4EFCE"/>
            <w:vAlign w:val="center"/>
            <w:hideMark/>
          </w:tcPr>
          <w:p w14:paraId="3C4F6B64" w14:textId="77777777" w:rsidR="00776A1F" w:rsidRDefault="00D8574B">
            <w:pPr>
              <w:pStyle w:val="P68B1DB1-Normal8"/>
              <w:spacing w:after="0" w:line="240" w:lineRule="auto"/>
              <w:jc w:val="center"/>
              <w:rPr>
                <w:rFonts w:eastAsia="Times New Roman" w:cs="Calibri"/>
                <w:noProof/>
              </w:rPr>
            </w:pPr>
            <w:r>
              <w:rPr>
                <w:noProof/>
              </w:rPr>
              <w:t>Ieguldījumu politika (kapitalizācija), ko izstrādājusi BPF un pieņēmusi struktūra, kas izveidota, lai pārvaldītu līdzdalības, kuras izriet no īstenotajiem finanšu instrumentiem</w:t>
            </w:r>
          </w:p>
        </w:tc>
        <w:tc>
          <w:tcPr>
            <w:tcW w:w="972" w:type="dxa"/>
            <w:shd w:val="clear" w:color="auto" w:fill="C4EFCE"/>
            <w:vAlign w:val="center"/>
            <w:hideMark/>
          </w:tcPr>
          <w:p w14:paraId="4DD7B877"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67CC7E9A"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B21BDD4"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87C265D"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vAlign w:val="center"/>
            <w:hideMark/>
          </w:tcPr>
          <w:p w14:paraId="5DD8880A" w14:textId="77777777" w:rsidR="00776A1F" w:rsidRDefault="00D8574B">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41B0778D" w14:textId="77777777" w:rsidR="00776A1F" w:rsidRDefault="00D8574B">
            <w:pPr>
              <w:pStyle w:val="P68B1DB1-Normal8"/>
              <w:spacing w:after="0" w:line="240" w:lineRule="auto"/>
              <w:jc w:val="both"/>
              <w:rPr>
                <w:rFonts w:eastAsia="Times New Roman" w:cs="Calibri"/>
                <w:noProof/>
              </w:rPr>
            </w:pPr>
            <w:r>
              <w:rPr>
                <w:noProof/>
              </w:rPr>
              <w:t xml:space="preserve">Ieguldījumu politikas izstrāde (kapitalizācija) un pieņemšana, ko veic transportlīdzekļu pārvaldītājs. Investīciju politiku izstrādā un pieņem BPF kā tāda instrumenta vadības struktūra, kas izveidots, lai pārvaldītu līdzdalības, kuras izriet no finanšu instrumentiem, kas īstenoti, lai atbalstītu par saņēmējiem izraudzītos uzņēmumus, un tajā sīki izklāsta atbalstīto uzņēmumu atlases/atbilstības kritērijus, nodrošinot ANM klimata un vides prasību ievērošanu, tostarp atbilstību NBK tehniskajiem norādījumiem (2021/C58/01) par atbalstītajiem aktīviem/darbībām un/vai uzņēmumiem un precizējot investīciju mērķrādītājus un mērķorientētu atdevi. </w:t>
            </w:r>
          </w:p>
          <w:p w14:paraId="361DDA87" w14:textId="77777777" w:rsidR="00776A1F" w:rsidRDefault="00D8574B">
            <w:pPr>
              <w:pStyle w:val="P68B1DB1-Normal8"/>
              <w:spacing w:after="0" w:line="240" w:lineRule="auto"/>
              <w:jc w:val="both"/>
              <w:rPr>
                <w:rFonts w:eastAsia="Times New Roman" w:cs="Calibri"/>
                <w:noProof/>
              </w:rPr>
            </w:pPr>
            <w:r>
              <w:rPr>
                <w:noProof/>
              </w:rPr>
              <w:t xml:space="preserve">Lai nodrošinātu atbalstīto uzņēmumu atbilstību NBK tehniskajiem norādījumiem (2021/C58/01), ieguldījumu politikā ir prasīts: </w:t>
            </w:r>
          </w:p>
          <w:p w14:paraId="576E7270" w14:textId="77777777" w:rsidR="00776A1F" w:rsidRDefault="00D8574B">
            <w:pPr>
              <w:pStyle w:val="P68B1DB1-Normal8"/>
              <w:spacing w:after="0" w:line="240" w:lineRule="auto"/>
              <w:jc w:val="both"/>
              <w:rPr>
                <w:rFonts w:eastAsia="Times New Roman" w:cs="Calibri"/>
                <w:noProof/>
              </w:rPr>
            </w:pPr>
            <w:r>
              <w:rPr>
                <w:noProof/>
              </w:rPr>
              <w:t>ilgtspējas pārbaudes izmantošana</w:t>
            </w:r>
          </w:p>
          <w:p w14:paraId="35D2078D" w14:textId="77777777" w:rsidR="00776A1F" w:rsidRDefault="00D8574B">
            <w:pPr>
              <w:pStyle w:val="P68B1DB1-Normal8"/>
              <w:spacing w:after="0" w:line="240" w:lineRule="auto"/>
              <w:jc w:val="both"/>
              <w:rPr>
                <w:rFonts w:eastAsia="Times New Roman" w:cs="Calibri"/>
                <w:noProof/>
              </w:rPr>
            </w:pPr>
            <w:r>
              <w:rPr>
                <w:noProof/>
              </w:rPr>
              <w:t xml:space="preserve">izņēmumu saraksts, kurā ir šādi elementi: </w:t>
            </w:r>
          </w:p>
          <w:p w14:paraId="4A97B8D7" w14:textId="77777777" w:rsidR="00776A1F" w:rsidRDefault="00D8574B">
            <w:pPr>
              <w:pStyle w:val="P68B1DB1-Normal8"/>
              <w:spacing w:after="0" w:line="240" w:lineRule="auto"/>
              <w:jc w:val="both"/>
              <w:rPr>
                <w:rFonts w:eastAsia="Times New Roman" w:cs="Calibri"/>
                <w:noProof/>
              </w:rPr>
            </w:pPr>
            <w:r>
              <w:rPr>
                <w:noProof/>
              </w:rPr>
              <w:t>Investīcijas, kas saistītas ar fosilo kurināmo (tostarp lejupēju izmantošanu), izņemot siltumenerģiju/enerģiju, kas balstīta uz dabasgāzi un atbilst NBK vadlīniju III pielikumā izklāstītajiem nosacījumiem</w:t>
            </w:r>
          </w:p>
          <w:p w14:paraId="10F5B1AB" w14:textId="77777777" w:rsidR="00776A1F" w:rsidRDefault="00D8574B">
            <w:pPr>
              <w:pStyle w:val="P68B1DB1-Normal8"/>
              <w:spacing w:after="0" w:line="240" w:lineRule="auto"/>
              <w:jc w:val="both"/>
              <w:rPr>
                <w:rFonts w:eastAsia="Times New Roman" w:cs="Calibri"/>
                <w:noProof/>
              </w:rPr>
            </w:pPr>
            <w:r>
              <w:rPr>
                <w:noProof/>
              </w:rPr>
              <w:t>Darbības saskaņā ar ETS, kuru prognozētās CO2 ekvivalenta emisijas nav zemākas par attiecīgajām līmeņatzīmēm, kas noteiktas bezmaksas kvotu piešķiršanai.</w:t>
            </w:r>
          </w:p>
          <w:p w14:paraId="540A7716" w14:textId="3DF3C20F" w:rsidR="00776A1F" w:rsidRDefault="00D8574B">
            <w:pPr>
              <w:pStyle w:val="P68B1DB1-Normal8"/>
              <w:spacing w:after="0" w:line="240" w:lineRule="auto"/>
              <w:jc w:val="both"/>
              <w:rPr>
                <w:rFonts w:eastAsia="Times New Roman" w:cs="Calibri"/>
                <w:noProof/>
              </w:rPr>
            </w:pPr>
            <w:r>
              <w:rPr>
                <w:noProof/>
              </w:rPr>
              <w:t>Investīcijas atkritumu apglabāšanas iekārtās poligonos, mehāniskās bioloģiskās apstrādes (MBT) iekārtās un atkritumu apstrādes sadedzināšanas iekārtās. Izslēgšanas saraksts neattiecas uz iekārtām, kas paredzētas tikai nereciklējamu bīstamo atkritumu apstrādei; esošām iekārtām, ja ieguldījums ir paredzēts energoefektivitātes palielināšanai, izplūdes gāzu uztveršanai uzglabāšanai vai izmantošanai vai materiālu atgūšanai no incinerācijas pelniem, ar nosacījumu, ka šādu ieguldījumu rezultātā nepalielinās iekārtas atkritumu pārstrādes jauda vai nepagarinās iekārtas ekspluatācijas laiku.</w:t>
            </w:r>
          </w:p>
          <w:p w14:paraId="2D69FDF2" w14:textId="77777777" w:rsidR="00776A1F" w:rsidRDefault="00D8574B">
            <w:pPr>
              <w:pStyle w:val="P68B1DB1-Normal8"/>
              <w:spacing w:after="0" w:line="240" w:lineRule="auto"/>
              <w:jc w:val="both"/>
              <w:rPr>
                <w:rFonts w:eastAsia="Times New Roman" w:cs="Calibri"/>
                <w:noProof/>
              </w:rPr>
            </w:pPr>
            <w:r>
              <w:rPr>
                <w:noProof/>
              </w:rPr>
              <w:t>Darbības, kurās atkritumu ilgtermiņa apglabāšana var radīt ilgtermiņa kaitējumu videi (piemēram, kodolatkritumi).</w:t>
            </w:r>
          </w:p>
          <w:p w14:paraId="23225360" w14:textId="77777777" w:rsidR="00776A1F" w:rsidRDefault="00D8574B">
            <w:pPr>
              <w:pStyle w:val="P68B1DB1-Normal8"/>
              <w:spacing w:after="0" w:line="240" w:lineRule="auto"/>
              <w:jc w:val="both"/>
              <w:rPr>
                <w:rFonts w:eastAsia="Times New Roman" w:cs="Calibri"/>
                <w:noProof/>
              </w:rPr>
            </w:pPr>
            <w:r>
              <w:rPr>
                <w:noProof/>
              </w:rPr>
              <w:t>Pētniecībai, izstrādei un inovācijai, kas paredzēta iepriekš minētajiem aktīviem un darbībām.</w:t>
            </w:r>
          </w:p>
          <w:p w14:paraId="7D9E0256" w14:textId="77777777" w:rsidR="00776A1F" w:rsidRDefault="00D8574B">
            <w:pPr>
              <w:pStyle w:val="P68B1DB1-Normal8"/>
              <w:spacing w:after="0" w:line="240" w:lineRule="auto"/>
              <w:jc w:val="both"/>
              <w:rPr>
                <w:rFonts w:eastAsia="Times New Roman" w:cs="Calibri"/>
                <w:noProof/>
              </w:rPr>
            </w:pPr>
            <w:r>
              <w:rPr>
                <w:noProof/>
              </w:rPr>
              <w:t>obligātas juridiskās atbilstības pārbaudes, izmantojot BPF un/vai tā izvēlētos finanšu starpniekus attiecībā uz darījumiem, kas ir atbrīvoti no ilgtspējas pārbaudes;</w:t>
            </w:r>
          </w:p>
          <w:p w14:paraId="56E7C1B2" w14:textId="3ECBA876" w:rsidR="00776A1F" w:rsidRDefault="00D8574B">
            <w:pPr>
              <w:pStyle w:val="P68B1DB1-Normal8"/>
              <w:spacing w:after="0" w:line="240" w:lineRule="auto"/>
              <w:jc w:val="both"/>
              <w:rPr>
                <w:rFonts w:eastAsia="Times New Roman" w:cs="Calibri"/>
                <w:noProof/>
              </w:rPr>
            </w:pPr>
            <w:r>
              <w:rPr>
                <w:noProof/>
              </w:rPr>
              <w:t>pašu kapitāla atbalsta saņēmēji, kas vismaz 50 % no saviem ieņēmumiem gūst no izslēgšanas sarakstā uzskaitītajām darbībām, lai pieņemtu un publicētu zaļās pārkārtošanās plānus;</w:t>
            </w:r>
          </w:p>
        </w:tc>
      </w:tr>
      <w:tr w:rsidR="00776A1F" w14:paraId="58DAC7D8" w14:textId="77777777">
        <w:trPr>
          <w:trHeight w:val="1470"/>
        </w:trPr>
        <w:tc>
          <w:tcPr>
            <w:tcW w:w="1113" w:type="dxa"/>
            <w:shd w:val="clear" w:color="auto" w:fill="C4EFCE"/>
            <w:vAlign w:val="center"/>
          </w:tcPr>
          <w:p w14:paraId="7AAF1C31" w14:textId="2324AB83" w:rsidR="00776A1F" w:rsidRDefault="00D8574B">
            <w:pPr>
              <w:pStyle w:val="P68B1DB1-Normal7"/>
              <w:spacing w:after="0" w:line="240" w:lineRule="auto"/>
              <w:jc w:val="center"/>
              <w:rPr>
                <w:rFonts w:eastAsia="Times New Roman" w:cs="Calibri"/>
                <w:noProof/>
              </w:rPr>
            </w:pPr>
            <w:r>
              <w:rPr>
                <w:noProof/>
              </w:rPr>
              <w:t>5.43</w:t>
            </w:r>
          </w:p>
        </w:tc>
        <w:tc>
          <w:tcPr>
            <w:tcW w:w="1246" w:type="dxa"/>
            <w:shd w:val="clear" w:color="auto" w:fill="C4EFCE"/>
            <w:vAlign w:val="center"/>
          </w:tcPr>
          <w:p w14:paraId="2AD97864" w14:textId="565E1FAF"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tcPr>
          <w:p w14:paraId="73EC6014" w14:textId="73F26BD7" w:rsidR="00776A1F" w:rsidRDefault="00D8574B">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tcPr>
          <w:p w14:paraId="4E2ED19B" w14:textId="06E68B56" w:rsidR="00776A1F" w:rsidRDefault="00D8574B">
            <w:pPr>
              <w:pStyle w:val="P68B1DB1-Normal9"/>
              <w:spacing w:after="0" w:line="240" w:lineRule="auto"/>
              <w:jc w:val="center"/>
              <w:rPr>
                <w:rFonts w:eastAsia="Times New Roman" w:cs="Calibri"/>
                <w:noProof/>
                <w:sz w:val="16"/>
              </w:rPr>
            </w:pPr>
            <w:r>
              <w:rPr>
                <w:noProof/>
                <w:sz w:val="18"/>
              </w:rPr>
              <w:t>D elivery ar kapitalizācijas instrumentu par kopējo summu EUR 650000000 Portugāles nefinanšu sabiedrībām, sniedzot pašu kapitāla un kvazikapitāla atbalstu saskaņā ar tās ieguldījumu politiku.</w:t>
            </w:r>
          </w:p>
        </w:tc>
        <w:tc>
          <w:tcPr>
            <w:tcW w:w="1245" w:type="dxa"/>
            <w:shd w:val="clear" w:color="auto" w:fill="C4EFCE"/>
            <w:vAlign w:val="center"/>
          </w:tcPr>
          <w:p w14:paraId="752C0856" w14:textId="06A6F4D5" w:rsidR="00776A1F" w:rsidRDefault="00D8574B">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tcPr>
          <w:p w14:paraId="3548D410" w14:textId="4E0B55A9" w:rsidR="00776A1F" w:rsidRDefault="00D8574B">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tcPr>
          <w:p w14:paraId="45FC375D" w14:textId="23E21CC6" w:rsidR="00776A1F" w:rsidRDefault="00D8574B">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tcPr>
          <w:p w14:paraId="77E4C48C" w14:textId="34768C61" w:rsidR="00776A1F" w:rsidRDefault="00D8574B">
            <w:pPr>
              <w:pStyle w:val="P68B1DB1-Normal8"/>
              <w:spacing w:after="0" w:line="240" w:lineRule="auto"/>
              <w:jc w:val="center"/>
              <w:rPr>
                <w:rFonts w:eastAsia="Times New Roman" w:cs="Calibri"/>
                <w:noProof/>
              </w:rPr>
            </w:pPr>
            <w:r>
              <w:rPr>
                <w:noProof/>
              </w:rPr>
              <w:t>650 000 000</w:t>
            </w:r>
          </w:p>
        </w:tc>
        <w:tc>
          <w:tcPr>
            <w:tcW w:w="557" w:type="dxa"/>
            <w:shd w:val="clear" w:color="auto" w:fill="C4EFCE"/>
            <w:vAlign w:val="center"/>
          </w:tcPr>
          <w:p w14:paraId="1E551FEE" w14:textId="42F444C6"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vAlign w:val="center"/>
          </w:tcPr>
          <w:p w14:paraId="42B6A4AF" w14:textId="2FFF2A1C" w:rsidR="00776A1F" w:rsidRDefault="00D8574B">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tcPr>
          <w:p w14:paraId="73D8A264" w14:textId="5E5DE666" w:rsidR="00776A1F" w:rsidRDefault="00D8574B">
            <w:pPr>
              <w:pStyle w:val="P68B1DB1-Normal8"/>
              <w:spacing w:after="0" w:line="240" w:lineRule="auto"/>
              <w:jc w:val="both"/>
              <w:rPr>
                <w:rFonts w:eastAsia="Times New Roman" w:cs="Calibri"/>
                <w:noProof/>
              </w:rPr>
            </w:pPr>
            <w:r>
              <w:rPr>
                <w:noProof/>
              </w:rPr>
              <w:t xml:space="preserve">Piegādājot Portugāles nefinanšu sabiedrībām kopumā EUR 650000000 pašu kapitāla un kvazikapitāla atbalsta veidā saskaņā ar iepriekš noteikto BPF izstrādāto ieguldījumu politiku, tostarp summas, kas izmaksātas nefinanšu sabiedrībām kā tiešie ieguldījumi, un summas, kas piešķirtas finanšu starpniekiem kā netiešie ieguldījumi. </w:t>
            </w:r>
          </w:p>
        </w:tc>
      </w:tr>
      <w:tr w:rsidR="00776A1F" w14:paraId="5D9E6171" w14:textId="77777777">
        <w:trPr>
          <w:trHeight w:val="1960"/>
        </w:trPr>
        <w:tc>
          <w:tcPr>
            <w:tcW w:w="1113" w:type="dxa"/>
            <w:shd w:val="clear" w:color="auto" w:fill="C4EFCE"/>
            <w:vAlign w:val="center"/>
            <w:hideMark/>
          </w:tcPr>
          <w:p w14:paraId="4495AE84" w14:textId="77777777" w:rsidR="00776A1F" w:rsidRDefault="00D8574B">
            <w:pPr>
              <w:pStyle w:val="P68B1DB1-Normal7"/>
              <w:spacing w:after="0" w:line="240" w:lineRule="auto"/>
              <w:jc w:val="center"/>
              <w:rPr>
                <w:rFonts w:eastAsia="Times New Roman" w:cs="Calibri"/>
                <w:noProof/>
              </w:rPr>
            </w:pPr>
            <w:r>
              <w:rPr>
                <w:noProof/>
              </w:rPr>
              <w:t>5.29</w:t>
            </w:r>
          </w:p>
        </w:tc>
        <w:tc>
          <w:tcPr>
            <w:tcW w:w="1246" w:type="dxa"/>
            <w:shd w:val="clear" w:color="auto" w:fill="C4EFCE"/>
            <w:vAlign w:val="center"/>
            <w:hideMark/>
          </w:tcPr>
          <w:p w14:paraId="3D54CD9A" w14:textId="77777777"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79606A01" w14:textId="77777777" w:rsidR="00776A1F" w:rsidRDefault="00D8574B">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02CF9922" w14:textId="4B68928A" w:rsidR="00776A1F" w:rsidRDefault="00D8574B">
            <w:pPr>
              <w:pStyle w:val="P68B1DB1-Normal9"/>
              <w:spacing w:after="0" w:line="240" w:lineRule="auto"/>
              <w:jc w:val="center"/>
              <w:rPr>
                <w:rFonts w:eastAsia="Times New Roman" w:cs="Calibri"/>
                <w:noProof/>
                <w:sz w:val="18"/>
              </w:rPr>
            </w:pPr>
            <w:r>
              <w:rPr>
                <w:noProof/>
                <w:sz w:val="18"/>
              </w:rPr>
              <w:t>D elivery ar kapitalizācijas instrumentu par kopējo summu EUR 1300000000 Portugāles nefinanšu sabiedrībām, sniedzot pašu kapitāla un kvazikapitāla atbalstu saskaņā ar tās ieguldījumu politiku.</w:t>
            </w:r>
          </w:p>
        </w:tc>
        <w:tc>
          <w:tcPr>
            <w:tcW w:w="1245" w:type="dxa"/>
            <w:shd w:val="clear" w:color="auto" w:fill="C4EFCE"/>
            <w:vAlign w:val="center"/>
            <w:hideMark/>
          </w:tcPr>
          <w:p w14:paraId="71326F10" w14:textId="77777777" w:rsidR="00776A1F" w:rsidRDefault="00D8574B">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36DB9E1E" w14:textId="77777777" w:rsidR="00776A1F" w:rsidRDefault="00D8574B">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hideMark/>
          </w:tcPr>
          <w:p w14:paraId="224DC5A2" w14:textId="05CA90DA" w:rsidR="00776A1F" w:rsidRDefault="00D8574B">
            <w:pPr>
              <w:pStyle w:val="P68B1DB1-Normal8"/>
              <w:spacing w:after="0" w:line="240" w:lineRule="auto"/>
              <w:jc w:val="center"/>
              <w:rPr>
                <w:rFonts w:eastAsia="Times New Roman" w:cs="Calibri"/>
                <w:noProof/>
              </w:rPr>
            </w:pPr>
            <w:r>
              <w:rPr>
                <w:noProof/>
              </w:rPr>
              <w:t>650 000 000</w:t>
            </w:r>
          </w:p>
        </w:tc>
        <w:tc>
          <w:tcPr>
            <w:tcW w:w="695" w:type="dxa"/>
            <w:shd w:val="clear" w:color="auto" w:fill="C4EFCE"/>
            <w:vAlign w:val="center"/>
            <w:hideMark/>
          </w:tcPr>
          <w:p w14:paraId="1CA39E70" w14:textId="25FFDE82" w:rsidR="00776A1F" w:rsidRDefault="00D8574B">
            <w:pPr>
              <w:pStyle w:val="P68B1DB1-Normal8"/>
              <w:spacing w:after="0" w:line="240" w:lineRule="auto"/>
              <w:jc w:val="center"/>
              <w:rPr>
                <w:rFonts w:eastAsia="Times New Roman" w:cs="Calibri"/>
                <w:noProof/>
              </w:rPr>
            </w:pPr>
            <w:r>
              <w:rPr>
                <w:noProof/>
              </w:rPr>
              <w:t>1 300 000 000</w:t>
            </w:r>
          </w:p>
        </w:tc>
        <w:tc>
          <w:tcPr>
            <w:tcW w:w="557" w:type="dxa"/>
            <w:shd w:val="clear" w:color="auto" w:fill="C4EFCE"/>
            <w:vAlign w:val="center"/>
            <w:hideMark/>
          </w:tcPr>
          <w:p w14:paraId="4C01E635"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vAlign w:val="center"/>
            <w:hideMark/>
          </w:tcPr>
          <w:p w14:paraId="7FE96FF1" w14:textId="4723B112" w:rsidR="00776A1F" w:rsidRDefault="00D8574B">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397877F2" w14:textId="3F4CCA05" w:rsidR="00776A1F" w:rsidRDefault="00D8574B">
            <w:pPr>
              <w:pStyle w:val="P68B1DB1-Normal8"/>
              <w:spacing w:after="0" w:line="240" w:lineRule="auto"/>
              <w:jc w:val="both"/>
              <w:rPr>
                <w:rFonts w:eastAsia="Times New Roman" w:cs="Calibri"/>
                <w:noProof/>
              </w:rPr>
            </w:pPr>
            <w:r>
              <w:rPr>
                <w:noProof/>
              </w:rPr>
              <w:t>Kopumā EUR 1300000000 (ieskaitot EUR 650000000 no 5.43. mērķa) Portugāles nefinanšu sabiedrībām kā pašu kapitāla un kvazikapitāla atbalstu saskaņā ar iepriekš definētu ieguldījumu politiku, ko izstrādājusi BPF un pieņēmusi struktūra, kas izveidota, lai pārvaldītu līdzdalības, kuras izriet no īstenotajiem finanšu instrumentiem. Orientējoši tiek lēsts, ka, pabeidzot plānu, tiks atbalstīti 1300 uzņēmumi.</w:t>
            </w:r>
          </w:p>
        </w:tc>
      </w:tr>
      <w:tr w:rsidR="00776A1F" w14:paraId="549D7570" w14:textId="77777777">
        <w:trPr>
          <w:trHeight w:val="1817"/>
        </w:trPr>
        <w:tc>
          <w:tcPr>
            <w:tcW w:w="1113" w:type="dxa"/>
            <w:shd w:val="clear" w:color="auto" w:fill="C4EFCE"/>
            <w:vAlign w:val="center"/>
            <w:hideMark/>
          </w:tcPr>
          <w:p w14:paraId="200D26C9" w14:textId="77777777" w:rsidR="00776A1F" w:rsidRDefault="00D8574B">
            <w:pPr>
              <w:pStyle w:val="P68B1DB1-Normal7"/>
              <w:spacing w:after="0" w:line="240" w:lineRule="auto"/>
              <w:jc w:val="center"/>
              <w:rPr>
                <w:rFonts w:eastAsia="Times New Roman" w:cs="Calibri"/>
                <w:noProof/>
              </w:rPr>
            </w:pPr>
            <w:r>
              <w:rPr>
                <w:noProof/>
              </w:rPr>
              <w:t>5.30</w:t>
            </w:r>
          </w:p>
        </w:tc>
        <w:tc>
          <w:tcPr>
            <w:tcW w:w="1246" w:type="dxa"/>
            <w:shd w:val="clear" w:color="auto" w:fill="C4EFCE"/>
            <w:vAlign w:val="center"/>
            <w:hideMark/>
          </w:tcPr>
          <w:p w14:paraId="3395B4BA" w14:textId="77777777"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114316E5"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74A62CD3" w14:textId="77777777" w:rsidR="00776A1F" w:rsidRDefault="00D8574B">
            <w:pPr>
              <w:pStyle w:val="P68B1DB1-Normal8"/>
              <w:spacing w:after="0" w:line="240" w:lineRule="auto"/>
              <w:jc w:val="center"/>
              <w:rPr>
                <w:rFonts w:eastAsia="Times New Roman" w:cs="Calibri"/>
                <w:noProof/>
              </w:rPr>
            </w:pPr>
            <w:r>
              <w:rPr>
                <w:noProof/>
              </w:rPr>
              <w:t>Paziņojums Eiropas Komisijai par BPF pīlāru novērtējuma sekmīgu nokārtošanu</w:t>
            </w:r>
          </w:p>
        </w:tc>
        <w:tc>
          <w:tcPr>
            <w:tcW w:w="1245" w:type="dxa"/>
            <w:shd w:val="clear" w:color="auto" w:fill="C4EFCE"/>
            <w:vAlign w:val="center"/>
            <w:hideMark/>
          </w:tcPr>
          <w:p w14:paraId="31EB5F65" w14:textId="77777777" w:rsidR="00776A1F" w:rsidRDefault="00D8574B">
            <w:pPr>
              <w:pStyle w:val="P68B1DB1-Normal8"/>
              <w:spacing w:after="0" w:line="240" w:lineRule="auto"/>
              <w:jc w:val="center"/>
              <w:rPr>
                <w:rFonts w:eastAsia="Times New Roman" w:cs="Calibri"/>
                <w:noProof/>
              </w:rPr>
            </w:pPr>
            <w:r>
              <w:rPr>
                <w:noProof/>
              </w:rPr>
              <w:t>Paziņojums Eiropas Komisijai par BPF pīlāru novērtējuma sekmīgu nokārtošanu</w:t>
            </w:r>
          </w:p>
        </w:tc>
        <w:tc>
          <w:tcPr>
            <w:tcW w:w="972" w:type="dxa"/>
            <w:shd w:val="clear" w:color="auto" w:fill="C4EFCE"/>
            <w:vAlign w:val="center"/>
            <w:hideMark/>
          </w:tcPr>
          <w:p w14:paraId="2DB76E39"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710C53F3"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0FD89EB"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9A09A92" w14:textId="77777777"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vAlign w:val="center"/>
            <w:hideMark/>
          </w:tcPr>
          <w:p w14:paraId="41568E3C" w14:textId="77777777" w:rsidR="00776A1F" w:rsidRDefault="00D8574B">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09B65CF" w14:textId="1D35D77D" w:rsidR="00776A1F" w:rsidRDefault="00D8574B">
            <w:pPr>
              <w:pStyle w:val="P68B1DB1-Normal8"/>
              <w:spacing w:after="0" w:line="240" w:lineRule="auto"/>
              <w:jc w:val="both"/>
              <w:rPr>
                <w:rFonts w:eastAsia="Times New Roman" w:cs="Calibri"/>
                <w:noProof/>
              </w:rPr>
            </w:pPr>
            <w:r>
              <w:rPr>
                <w:noProof/>
              </w:rPr>
              <w:t>Paziņojums Eiropas Komisijai par BPF pīlāru novērtējuma sekmīgu nokārtošanu</w:t>
            </w:r>
          </w:p>
        </w:tc>
      </w:tr>
      <w:tr w:rsidR="00776A1F" w14:paraId="56A32DB7" w14:textId="77777777">
        <w:trPr>
          <w:trHeight w:val="290"/>
        </w:trPr>
        <w:tc>
          <w:tcPr>
            <w:tcW w:w="1113" w:type="dxa"/>
            <w:shd w:val="clear" w:color="auto" w:fill="C4EFCE"/>
            <w:vAlign w:val="center"/>
            <w:hideMark/>
          </w:tcPr>
          <w:p w14:paraId="70D94B9B" w14:textId="77777777" w:rsidR="00776A1F" w:rsidRDefault="00D8574B">
            <w:pPr>
              <w:pStyle w:val="P68B1DB1-Normal7"/>
              <w:spacing w:after="0" w:line="240" w:lineRule="auto"/>
              <w:jc w:val="center"/>
              <w:rPr>
                <w:rFonts w:eastAsia="Times New Roman" w:cs="Calibri"/>
                <w:noProof/>
              </w:rPr>
            </w:pPr>
            <w:r>
              <w:rPr>
                <w:noProof/>
              </w:rPr>
              <w:t>5.31</w:t>
            </w:r>
          </w:p>
        </w:tc>
        <w:tc>
          <w:tcPr>
            <w:tcW w:w="1246" w:type="dxa"/>
            <w:shd w:val="clear" w:color="auto" w:fill="C4EFCE"/>
            <w:vAlign w:val="center"/>
            <w:hideMark/>
          </w:tcPr>
          <w:p w14:paraId="5B366953" w14:textId="77777777"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1738445" w14:textId="77777777" w:rsidR="00776A1F" w:rsidRDefault="00D8574B">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7A63337" w14:textId="4B6CFB1F" w:rsidR="00776A1F" w:rsidRDefault="00D8574B">
            <w:pPr>
              <w:pStyle w:val="P68B1DB1-Normal8"/>
              <w:spacing w:after="0" w:line="240" w:lineRule="auto"/>
              <w:jc w:val="center"/>
              <w:rPr>
                <w:rFonts w:eastAsia="Times New Roman" w:cs="Calibri"/>
                <w:noProof/>
              </w:rPr>
            </w:pPr>
            <w:r>
              <w:rPr>
                <w:noProof/>
              </w:rPr>
              <w:t> Portugāles valdības kapitāla pārvedums BPF EUR 250000000 apmērā un BPF ieguldījumu politikas pieņemšana</w:t>
            </w:r>
          </w:p>
        </w:tc>
        <w:tc>
          <w:tcPr>
            <w:tcW w:w="1245" w:type="dxa"/>
            <w:shd w:val="clear" w:color="auto" w:fill="C4EFCE"/>
            <w:vAlign w:val="center"/>
            <w:hideMark/>
          </w:tcPr>
          <w:p w14:paraId="1E07B141" w14:textId="77777777" w:rsidR="00776A1F" w:rsidRDefault="00D8574B">
            <w:pPr>
              <w:pStyle w:val="P68B1DB1-Normal8"/>
              <w:spacing w:after="0" w:line="240" w:lineRule="auto"/>
              <w:jc w:val="center"/>
              <w:rPr>
                <w:rFonts w:eastAsia="Times New Roman" w:cs="Calibri"/>
                <w:noProof/>
              </w:rPr>
            </w:pPr>
            <w:r>
              <w:rPr>
                <w:noProof/>
              </w:rPr>
              <w:t>Kapitāla palielināšana un investīciju politikas izstrāde BPF InvestEU īstenošanai, izveidojot atbilstības kritēriju kopumu, lai nodrošinātu ANM mērķu sasniegšanu</w:t>
            </w:r>
          </w:p>
        </w:tc>
        <w:tc>
          <w:tcPr>
            <w:tcW w:w="972" w:type="dxa"/>
            <w:shd w:val="clear" w:color="auto" w:fill="C4EFCE"/>
            <w:vAlign w:val="center"/>
            <w:hideMark/>
          </w:tcPr>
          <w:p w14:paraId="2827D026"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1A690ADD" w14:textId="77777777" w:rsidR="00776A1F" w:rsidRDefault="00D8574B">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4AD27795" w14:textId="77777777" w:rsidR="00776A1F" w:rsidRDefault="00D8574B">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07426AEB" w14:textId="77777777"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vAlign w:val="center"/>
            <w:hideMark/>
          </w:tcPr>
          <w:p w14:paraId="1A0C8068" w14:textId="77777777" w:rsidR="00776A1F" w:rsidRDefault="00D8574B">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6CA6D0BF" w14:textId="7FA936EF" w:rsidR="00776A1F" w:rsidRDefault="00D8574B">
            <w:pPr>
              <w:pStyle w:val="P68B1DB1-Normal8"/>
              <w:spacing w:after="0" w:line="240" w:lineRule="auto"/>
              <w:jc w:val="both"/>
              <w:rPr>
                <w:rFonts w:eastAsia="Times New Roman" w:cs="Calibri"/>
                <w:noProof/>
              </w:rPr>
            </w:pPr>
            <w:r>
              <w:rPr>
                <w:noProof/>
              </w:rPr>
              <w:t>Kapitāla pārvedums 250 000 000 EUR apmērā no Portugāles valdības uz BPF un investīciju politikas pieņemšana BPF, lai īstenotu InvestEU, nosakot atbilstības kritēriju kopumu saskaņā ar ANM mērķiem, tostarp principu “nenodarīt būtisku kaitējumu”, saistībā ar InvestEU garantijas nolīguma parakstīšanu.</w:t>
            </w:r>
          </w:p>
        </w:tc>
      </w:tr>
      <w:tr w:rsidR="00776A1F" w14:paraId="79CBF608" w14:textId="77777777">
        <w:trPr>
          <w:trHeight w:val="687"/>
        </w:trPr>
        <w:tc>
          <w:tcPr>
            <w:tcW w:w="1113" w:type="dxa"/>
            <w:shd w:val="clear" w:color="auto" w:fill="C4EFCE"/>
            <w:vAlign w:val="center"/>
            <w:hideMark/>
          </w:tcPr>
          <w:p w14:paraId="62505207" w14:textId="4798763F" w:rsidR="00776A1F" w:rsidRDefault="00D8574B">
            <w:pPr>
              <w:pStyle w:val="P68B1DB1-Normal7"/>
              <w:spacing w:after="0" w:line="240" w:lineRule="auto"/>
              <w:jc w:val="center"/>
              <w:rPr>
                <w:rFonts w:eastAsia="Times New Roman" w:cs="Calibri"/>
                <w:noProof/>
              </w:rPr>
            </w:pPr>
            <w:r>
              <w:rPr>
                <w:noProof/>
              </w:rPr>
              <w:t>5.32</w:t>
            </w:r>
          </w:p>
        </w:tc>
        <w:tc>
          <w:tcPr>
            <w:tcW w:w="1246" w:type="dxa"/>
            <w:shd w:val="clear" w:color="auto" w:fill="C4EFCE"/>
            <w:vAlign w:val="center"/>
            <w:hideMark/>
          </w:tcPr>
          <w:p w14:paraId="3E67B2B5" w14:textId="77777777" w:rsidR="00776A1F" w:rsidRDefault="00D8574B">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2B3F8D44" w14:textId="77777777" w:rsidR="00776A1F" w:rsidRDefault="00D8574B">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401B366E" w14:textId="77777777" w:rsidR="00776A1F" w:rsidRDefault="00D8574B">
            <w:pPr>
              <w:pStyle w:val="P68B1DB1-Normal8"/>
              <w:spacing w:after="0" w:line="240" w:lineRule="auto"/>
              <w:jc w:val="center"/>
              <w:rPr>
                <w:rFonts w:eastAsia="Times New Roman" w:cs="Calibri"/>
                <w:noProof/>
              </w:rPr>
            </w:pPr>
            <w:r>
              <w:rPr>
                <w:noProof/>
              </w:rPr>
              <w:t>Ir parakstīti 100 % no garantijām, kas darītas pieejamas kapitāla palielināšanas rezultātā. </w:t>
            </w:r>
          </w:p>
        </w:tc>
        <w:tc>
          <w:tcPr>
            <w:tcW w:w="1245" w:type="dxa"/>
            <w:shd w:val="clear" w:color="auto" w:fill="C4EFCE"/>
            <w:vAlign w:val="center"/>
            <w:hideMark/>
          </w:tcPr>
          <w:p w14:paraId="6F03F3CC" w14:textId="77777777" w:rsidR="00776A1F" w:rsidRDefault="00D8574B">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05ACD126" w14:textId="77777777" w:rsidR="00776A1F" w:rsidRDefault="00D8574B">
            <w:pPr>
              <w:pStyle w:val="P68B1DB1-Normal8"/>
              <w:spacing w:after="0" w:line="240" w:lineRule="auto"/>
              <w:jc w:val="center"/>
              <w:rPr>
                <w:rFonts w:eastAsia="Times New Roman" w:cs="Calibri"/>
                <w:noProof/>
              </w:rPr>
            </w:pPr>
            <w:r>
              <w:rPr>
                <w:noProof/>
              </w:rPr>
              <w:t>%</w:t>
            </w:r>
          </w:p>
        </w:tc>
        <w:tc>
          <w:tcPr>
            <w:tcW w:w="971" w:type="dxa"/>
            <w:shd w:val="clear" w:color="auto" w:fill="C4EFCE"/>
            <w:vAlign w:val="center"/>
            <w:hideMark/>
          </w:tcPr>
          <w:p w14:paraId="51E051FB" w14:textId="77777777" w:rsidR="00776A1F" w:rsidRDefault="00D8574B">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hideMark/>
          </w:tcPr>
          <w:p w14:paraId="25B5E659" w14:textId="77777777" w:rsidR="00776A1F" w:rsidRDefault="00D8574B">
            <w:pPr>
              <w:pStyle w:val="P68B1DB1-Normal8"/>
              <w:spacing w:after="0" w:line="240" w:lineRule="auto"/>
              <w:jc w:val="center"/>
              <w:rPr>
                <w:rFonts w:eastAsia="Times New Roman" w:cs="Calibri"/>
                <w:noProof/>
              </w:rPr>
            </w:pPr>
            <w:r>
              <w:rPr>
                <w:noProof/>
              </w:rPr>
              <w:t>100</w:t>
            </w:r>
          </w:p>
        </w:tc>
        <w:tc>
          <w:tcPr>
            <w:tcW w:w="557" w:type="dxa"/>
            <w:shd w:val="clear" w:color="auto" w:fill="C4EFCE"/>
            <w:vAlign w:val="center"/>
            <w:hideMark/>
          </w:tcPr>
          <w:p w14:paraId="4E52A7D8"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vAlign w:val="center"/>
            <w:hideMark/>
          </w:tcPr>
          <w:p w14:paraId="53FDD632" w14:textId="77777777" w:rsidR="00776A1F" w:rsidRDefault="00D8574B">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4C0F1601" w14:textId="21F43E55" w:rsidR="00776A1F" w:rsidRDefault="00D8574B">
            <w:pPr>
              <w:pStyle w:val="P68B1DB1-Normal8"/>
              <w:spacing w:after="0" w:line="240" w:lineRule="auto"/>
              <w:jc w:val="both"/>
              <w:rPr>
                <w:rFonts w:eastAsia="Times New Roman" w:cs="Calibri"/>
                <w:noProof/>
              </w:rPr>
            </w:pPr>
            <w:r>
              <w:rPr>
                <w:noProof/>
              </w:rPr>
              <w:t>Ir parakstīti 100 % no garantijām, kas darītas pieejamas kapitāla palielināšanas rezultātā.</w:t>
            </w:r>
          </w:p>
        </w:tc>
      </w:tr>
      <w:tr w:rsidR="00776A1F" w14:paraId="05356182" w14:textId="77777777">
        <w:trPr>
          <w:trHeight w:val="687"/>
        </w:trPr>
        <w:tc>
          <w:tcPr>
            <w:tcW w:w="1113" w:type="dxa"/>
            <w:shd w:val="clear" w:color="auto" w:fill="C4EFCE"/>
            <w:vAlign w:val="center"/>
          </w:tcPr>
          <w:p w14:paraId="3090E32F" w14:textId="6FE74260" w:rsidR="00776A1F" w:rsidRDefault="00D8574B">
            <w:pPr>
              <w:pStyle w:val="P68B1DB1-Normal11"/>
              <w:spacing w:after="0" w:line="240" w:lineRule="auto"/>
              <w:jc w:val="center"/>
              <w:rPr>
                <w:rFonts w:eastAsia="Times New Roman" w:cstheme="minorHAnsi"/>
                <w:noProof/>
              </w:rPr>
            </w:pPr>
            <w:r>
              <w:rPr>
                <w:noProof/>
              </w:rPr>
              <w:t>5.44</w:t>
            </w:r>
          </w:p>
        </w:tc>
        <w:tc>
          <w:tcPr>
            <w:tcW w:w="1246" w:type="dxa"/>
            <w:shd w:val="clear" w:color="auto" w:fill="C4EFCE"/>
            <w:vAlign w:val="center"/>
          </w:tcPr>
          <w:p w14:paraId="41683FBE" w14:textId="030829FE" w:rsidR="00776A1F" w:rsidRDefault="00D8574B">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5762224E" w14:textId="108F9BEC" w:rsidR="00776A1F" w:rsidRDefault="00D8574B">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6ACAF2B5" w14:textId="51C13B47" w:rsidR="00776A1F" w:rsidRDefault="00D8574B">
            <w:pPr>
              <w:pStyle w:val="P68B1DB1-Normal12"/>
              <w:spacing w:after="0" w:line="240" w:lineRule="auto"/>
              <w:jc w:val="center"/>
              <w:rPr>
                <w:rFonts w:eastAsia="Times New Roman" w:cstheme="minorHAnsi"/>
                <w:noProof/>
              </w:rPr>
            </w:pPr>
            <w:r>
              <w:rPr>
                <w:noProof/>
              </w:rPr>
              <w:t xml:space="preserve"> Līgumu noslēgšana par jaunu produktu, procesu vai pakalpojumu izstrādi attiecīgajās stratēģiskajās jomās (inovācijas programmas).</w:t>
            </w:r>
          </w:p>
        </w:tc>
        <w:tc>
          <w:tcPr>
            <w:tcW w:w="1245" w:type="dxa"/>
            <w:shd w:val="clear" w:color="auto" w:fill="C4EFCE"/>
            <w:vAlign w:val="center"/>
          </w:tcPr>
          <w:p w14:paraId="06CE0AEF" w14:textId="1878EFC3" w:rsidR="00776A1F" w:rsidRDefault="00776A1F">
            <w:pPr>
              <w:spacing w:after="0" w:line="240" w:lineRule="auto"/>
              <w:jc w:val="center"/>
              <w:rPr>
                <w:rFonts w:eastAsia="Times New Roman" w:cstheme="minorHAnsi"/>
                <w:noProof/>
                <w:sz w:val="16"/>
              </w:rPr>
            </w:pPr>
          </w:p>
        </w:tc>
        <w:tc>
          <w:tcPr>
            <w:tcW w:w="972" w:type="dxa"/>
            <w:shd w:val="clear" w:color="auto" w:fill="C4EFCE"/>
            <w:vAlign w:val="center"/>
          </w:tcPr>
          <w:p w14:paraId="29862BFF" w14:textId="4B1AB547" w:rsidR="00776A1F" w:rsidRDefault="00D8574B">
            <w:pPr>
              <w:pStyle w:val="P68B1DB1-Normal12"/>
              <w:spacing w:after="0" w:line="240" w:lineRule="auto"/>
              <w:jc w:val="center"/>
              <w:rPr>
                <w:rFonts w:eastAsia="Times New Roman" w:cstheme="minorHAnsi"/>
                <w:noProof/>
              </w:rPr>
            </w:pPr>
            <w:r>
              <w:rPr>
                <w:noProof/>
              </w:rPr>
              <w:t>Skaits</w:t>
            </w:r>
          </w:p>
        </w:tc>
        <w:tc>
          <w:tcPr>
            <w:tcW w:w="971" w:type="dxa"/>
            <w:shd w:val="clear" w:color="auto" w:fill="C4EFCE"/>
            <w:vAlign w:val="center"/>
          </w:tcPr>
          <w:p w14:paraId="1B529FD1" w14:textId="362CE58C" w:rsidR="00776A1F" w:rsidRDefault="00D8574B">
            <w:pPr>
              <w:pStyle w:val="P68B1DB1-Normal12"/>
              <w:spacing w:after="0" w:line="240" w:lineRule="auto"/>
              <w:jc w:val="center"/>
              <w:rPr>
                <w:rFonts w:eastAsia="Times New Roman" w:cstheme="minorHAnsi"/>
                <w:noProof/>
              </w:rPr>
            </w:pPr>
            <w:r>
              <w:rPr>
                <w:noProof/>
              </w:rPr>
              <w:t>12</w:t>
            </w:r>
          </w:p>
        </w:tc>
        <w:tc>
          <w:tcPr>
            <w:tcW w:w="695" w:type="dxa"/>
            <w:shd w:val="clear" w:color="auto" w:fill="C4EFCE"/>
            <w:vAlign w:val="center"/>
          </w:tcPr>
          <w:p w14:paraId="4BC9E805" w14:textId="18636895" w:rsidR="00776A1F" w:rsidRDefault="00D8574B">
            <w:pPr>
              <w:pStyle w:val="P68B1DB1-Normal12"/>
              <w:spacing w:after="0" w:line="240" w:lineRule="auto"/>
              <w:jc w:val="center"/>
              <w:rPr>
                <w:rFonts w:eastAsia="Times New Roman" w:cstheme="minorHAnsi"/>
                <w:noProof/>
              </w:rPr>
            </w:pPr>
            <w:r>
              <w:rPr>
                <w:noProof/>
              </w:rPr>
              <w:t>28</w:t>
            </w:r>
          </w:p>
        </w:tc>
        <w:tc>
          <w:tcPr>
            <w:tcW w:w="557" w:type="dxa"/>
            <w:shd w:val="clear" w:color="auto" w:fill="C4EFCE"/>
            <w:vAlign w:val="center"/>
          </w:tcPr>
          <w:p w14:paraId="1BD6F284" w14:textId="712C7DF4" w:rsidR="00776A1F" w:rsidRDefault="00D8574B">
            <w:pPr>
              <w:pStyle w:val="P68B1DB1-Normal12"/>
              <w:spacing w:after="0" w:line="240" w:lineRule="auto"/>
              <w:jc w:val="center"/>
              <w:rPr>
                <w:rFonts w:eastAsia="Times New Roman"/>
                <w:noProof/>
              </w:rPr>
            </w:pPr>
            <w:r>
              <w:rPr>
                <w:noProof/>
              </w:rPr>
              <w:t>2. CET.</w:t>
            </w:r>
          </w:p>
        </w:tc>
        <w:tc>
          <w:tcPr>
            <w:tcW w:w="694" w:type="dxa"/>
            <w:shd w:val="clear" w:color="auto" w:fill="C4EFCE"/>
            <w:vAlign w:val="center"/>
          </w:tcPr>
          <w:p w14:paraId="20227E9B" w14:textId="71A93C0E" w:rsidR="00776A1F" w:rsidRDefault="00D8574B">
            <w:pPr>
              <w:pStyle w:val="P68B1DB1-Normal12"/>
              <w:spacing w:after="0" w:line="240" w:lineRule="auto"/>
              <w:jc w:val="center"/>
              <w:rPr>
                <w:rFonts w:eastAsia="Times New Roman" w:cstheme="minorHAnsi"/>
                <w:noProof/>
              </w:rPr>
            </w:pPr>
            <w:r>
              <w:rPr>
                <w:noProof/>
              </w:rPr>
              <w:t>2023</w:t>
            </w:r>
          </w:p>
        </w:tc>
        <w:tc>
          <w:tcPr>
            <w:tcW w:w="4908" w:type="dxa"/>
            <w:shd w:val="clear" w:color="auto" w:fill="C4EFCE"/>
            <w:vAlign w:val="center"/>
          </w:tcPr>
          <w:p w14:paraId="0471D376" w14:textId="7728B231" w:rsidR="00776A1F" w:rsidRDefault="00D8574B">
            <w:pPr>
              <w:pStyle w:val="P68B1DB1-Bodytext1013"/>
              <w:spacing w:after="0"/>
              <w:jc w:val="both"/>
              <w:rPr>
                <w:rFonts w:cstheme="minorHAnsi"/>
                <w:noProof/>
              </w:rPr>
            </w:pPr>
            <w:r>
              <w:rPr>
                <w:noProof/>
              </w:rPr>
              <w:t>16 papildu līgumu (inovācijas paktu vai mobilizācijas projektu) noslēgšana ar konsorcijiem, kas ietver:</w:t>
            </w:r>
          </w:p>
          <w:p w14:paraId="1DC9F869" w14:textId="77777777" w:rsidR="00776A1F" w:rsidRDefault="00D8574B">
            <w:pPr>
              <w:pStyle w:val="P68B1DB1-Bodytext1013"/>
              <w:spacing w:after="0"/>
              <w:jc w:val="both"/>
              <w:rPr>
                <w:rFonts w:cstheme="minorHAnsi"/>
                <w:noProof/>
              </w:rPr>
            </w:pPr>
            <w:r>
              <w:rPr>
                <w:noProof/>
              </w:rPr>
              <w:t>• Konsorcija sastāvā esošo vienību identifikācija;</w:t>
            </w:r>
          </w:p>
          <w:p w14:paraId="684BA3DE" w14:textId="77777777" w:rsidR="00776A1F" w:rsidRDefault="00D8574B">
            <w:pPr>
              <w:pStyle w:val="P68B1DB1-Bodytext1013"/>
              <w:spacing w:after="0"/>
              <w:jc w:val="both"/>
              <w:rPr>
                <w:rFonts w:cstheme="minorHAnsi"/>
                <w:noProof/>
              </w:rPr>
            </w:pPr>
            <w:r>
              <w:rPr>
                <w:noProof/>
              </w:rPr>
              <w:t>• Uzņēmējdarbības plāns/ieguldījums;</w:t>
            </w:r>
          </w:p>
          <w:p w14:paraId="38DA5FAE" w14:textId="77777777" w:rsidR="00776A1F" w:rsidRDefault="00D8574B">
            <w:pPr>
              <w:pStyle w:val="P68B1DB1-Bodytext1013"/>
              <w:spacing w:after="0"/>
              <w:jc w:val="both"/>
              <w:rPr>
                <w:rFonts w:cstheme="minorHAnsi"/>
                <w:noProof/>
              </w:rPr>
            </w:pPr>
            <w:r>
              <w:rPr>
                <w:noProof/>
              </w:rPr>
              <w:t>• finansējuma apjoms;</w:t>
            </w:r>
          </w:p>
          <w:p w14:paraId="2C955C7F" w14:textId="77777777" w:rsidR="00776A1F" w:rsidRDefault="00D8574B">
            <w:pPr>
              <w:pStyle w:val="P68B1DB1-Bodytext1013"/>
              <w:spacing w:after="0"/>
              <w:jc w:val="both"/>
              <w:rPr>
                <w:rFonts w:cstheme="minorHAnsi"/>
                <w:noProof/>
              </w:rPr>
            </w:pPr>
            <w:r>
              <w:rPr>
                <w:noProof/>
              </w:rPr>
              <w:t>• Mērķi, kas saņēmējam ir saistoši;</w:t>
            </w:r>
          </w:p>
          <w:p w14:paraId="790A3625" w14:textId="77777777" w:rsidR="00776A1F" w:rsidRDefault="00D8574B">
            <w:pPr>
              <w:pStyle w:val="P68B1DB1-Bodytext1013"/>
              <w:spacing w:after="0"/>
              <w:jc w:val="both"/>
              <w:rPr>
                <w:rFonts w:cstheme="minorHAnsi"/>
                <w:noProof/>
              </w:rPr>
            </w:pPr>
            <w:r>
              <w:rPr>
                <w:noProof/>
              </w:rPr>
              <w:t xml:space="preserve">• Uzraudzības veids. </w:t>
            </w:r>
          </w:p>
          <w:p w14:paraId="17CC2A9F" w14:textId="76A7D5F0" w:rsidR="00776A1F" w:rsidRDefault="00D8574B">
            <w:pPr>
              <w:pStyle w:val="P68B1DB1-Bodytext1013"/>
              <w:spacing w:after="0"/>
              <w:jc w:val="both"/>
              <w:rPr>
                <w:rFonts w:cstheme="minorHAnsi"/>
                <w:noProof/>
              </w:rPr>
            </w:pPr>
            <w:r>
              <w:rPr>
                <w:noProof/>
              </w:rPr>
              <w:t>Līgumi kopumā atbalsta vismaz 446 produktus, procesus vai pakalpojumus (PSL). Darba uzdevumā iekļauj atbilstības kritērijus, kas nodrošina, ka atlasītie projekti atbilst tehniskajiem norādījumiem “Nenodari būtisku kaitējumu” (2021/C58/01), izmantojot izslēgšanas sarakstu un prasību par atbilstību attiecīgajiem ES un valsts tiesību aktiem vides jomā.</w:t>
            </w:r>
          </w:p>
          <w:p w14:paraId="0E8BCEEF" w14:textId="6D75360C" w:rsidR="00776A1F" w:rsidRDefault="00D8574B">
            <w:pPr>
              <w:pStyle w:val="P68B1DB1-Bodytext1013"/>
              <w:spacing w:after="0"/>
              <w:jc w:val="both"/>
              <w:rPr>
                <w:rFonts w:cstheme="minorHAnsi"/>
                <w:noProof/>
              </w:rPr>
            </w:pPr>
            <w:r>
              <w:rPr>
                <w:noProof/>
              </w:rPr>
              <w:t>Līgumi papildina RE-C05-i01.01 un RE-C05-i09 iekļautos līgumus.</w:t>
            </w:r>
          </w:p>
          <w:p w14:paraId="665FD32D" w14:textId="15DAACE9" w:rsidR="00776A1F" w:rsidRDefault="00D8574B">
            <w:pPr>
              <w:pStyle w:val="P68B1DB1-Normal12"/>
              <w:spacing w:after="0" w:line="240" w:lineRule="auto"/>
              <w:jc w:val="both"/>
              <w:rPr>
                <w:rFonts w:eastAsia="Times New Roman" w:cstheme="minorHAnsi"/>
                <w:noProof/>
              </w:rPr>
            </w:pPr>
            <w:r>
              <w:rPr>
                <w:noProof/>
              </w:rPr>
              <w:t>Vismaz 366 no PPS saskaņo ar intervences jomu 021 (Tehnoloģiju nodošana un sadarbība starp uzņēmumiem, pētniecības centriem un izglītības nozari).</w:t>
            </w:r>
          </w:p>
        </w:tc>
      </w:tr>
      <w:tr w:rsidR="00776A1F" w14:paraId="400ED1E3" w14:textId="77777777">
        <w:trPr>
          <w:trHeight w:val="687"/>
        </w:trPr>
        <w:tc>
          <w:tcPr>
            <w:tcW w:w="1113" w:type="dxa"/>
            <w:shd w:val="clear" w:color="auto" w:fill="C4EFCE"/>
            <w:vAlign w:val="center"/>
          </w:tcPr>
          <w:p w14:paraId="44700B14" w14:textId="1C6F6D95" w:rsidR="00776A1F" w:rsidRDefault="00D8574B">
            <w:pPr>
              <w:pStyle w:val="P68B1DB1-Normal11"/>
              <w:spacing w:after="0" w:line="240" w:lineRule="auto"/>
              <w:jc w:val="center"/>
              <w:rPr>
                <w:rFonts w:eastAsia="Times New Roman" w:cstheme="minorHAnsi"/>
                <w:noProof/>
              </w:rPr>
            </w:pPr>
            <w:r>
              <w:rPr>
                <w:noProof/>
              </w:rPr>
              <w:t>5.45</w:t>
            </w:r>
          </w:p>
        </w:tc>
        <w:tc>
          <w:tcPr>
            <w:tcW w:w="1246" w:type="dxa"/>
            <w:shd w:val="clear" w:color="auto" w:fill="C4EFCE"/>
            <w:vAlign w:val="center"/>
          </w:tcPr>
          <w:p w14:paraId="1965DF86" w14:textId="22F6F593" w:rsidR="00776A1F" w:rsidRDefault="00D8574B">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743CE8AD" w14:textId="093BC448" w:rsidR="00776A1F" w:rsidRDefault="00D8574B">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5FB71C3F" w14:textId="67C84415" w:rsidR="00776A1F" w:rsidRDefault="00D8574B">
            <w:pPr>
              <w:pStyle w:val="P68B1DB1-Normal12"/>
              <w:spacing w:after="0" w:line="240" w:lineRule="auto"/>
              <w:jc w:val="center"/>
              <w:rPr>
                <w:rFonts w:eastAsia="Times New Roman" w:cstheme="minorHAnsi"/>
                <w:noProof/>
              </w:rPr>
            </w:pPr>
            <w:r>
              <w:rPr>
                <w:noProof/>
              </w:rPr>
              <w:t xml:space="preserve">446 produktu, procesu vai pakalpojumu pabeigšana.  </w:t>
            </w:r>
          </w:p>
        </w:tc>
        <w:tc>
          <w:tcPr>
            <w:tcW w:w="1245" w:type="dxa"/>
            <w:shd w:val="clear" w:color="auto" w:fill="C4EFCE"/>
            <w:vAlign w:val="center"/>
          </w:tcPr>
          <w:p w14:paraId="0EC39034" w14:textId="02271F16" w:rsidR="00776A1F" w:rsidRDefault="00776A1F">
            <w:pPr>
              <w:spacing w:after="0" w:line="240" w:lineRule="auto"/>
              <w:jc w:val="center"/>
              <w:rPr>
                <w:rFonts w:eastAsia="Times New Roman" w:cstheme="minorHAnsi"/>
                <w:noProof/>
                <w:sz w:val="16"/>
              </w:rPr>
            </w:pPr>
          </w:p>
        </w:tc>
        <w:tc>
          <w:tcPr>
            <w:tcW w:w="972" w:type="dxa"/>
            <w:shd w:val="clear" w:color="auto" w:fill="C4EFCE"/>
            <w:vAlign w:val="center"/>
          </w:tcPr>
          <w:p w14:paraId="7F7FE345" w14:textId="61337074" w:rsidR="00776A1F" w:rsidRDefault="00D8574B">
            <w:pPr>
              <w:pStyle w:val="P68B1DB1-Normal12"/>
              <w:spacing w:after="0" w:line="240" w:lineRule="auto"/>
              <w:jc w:val="center"/>
              <w:rPr>
                <w:rFonts w:eastAsia="Times New Roman" w:cstheme="minorHAnsi"/>
                <w:noProof/>
              </w:rPr>
            </w:pPr>
            <w:r>
              <w:rPr>
                <w:noProof/>
              </w:rPr>
              <w:t>Skaits</w:t>
            </w:r>
          </w:p>
        </w:tc>
        <w:tc>
          <w:tcPr>
            <w:tcW w:w="971" w:type="dxa"/>
            <w:shd w:val="clear" w:color="auto" w:fill="C4EFCE"/>
            <w:vAlign w:val="center"/>
          </w:tcPr>
          <w:p w14:paraId="683EB9BC" w14:textId="43DAD693" w:rsidR="00776A1F" w:rsidRDefault="00D8574B">
            <w:pPr>
              <w:pStyle w:val="P68B1DB1-Normal12"/>
              <w:spacing w:after="0" w:line="240" w:lineRule="auto"/>
              <w:jc w:val="center"/>
              <w:rPr>
                <w:rFonts w:eastAsia="Times New Roman" w:cstheme="minorHAnsi"/>
                <w:noProof/>
              </w:rPr>
            </w:pPr>
            <w:r>
              <w:rPr>
                <w:noProof/>
              </w:rPr>
              <w:t>228</w:t>
            </w:r>
          </w:p>
        </w:tc>
        <w:tc>
          <w:tcPr>
            <w:tcW w:w="695" w:type="dxa"/>
            <w:shd w:val="clear" w:color="auto" w:fill="C4EFCE"/>
            <w:vAlign w:val="center"/>
          </w:tcPr>
          <w:p w14:paraId="49686240" w14:textId="4EF220DE" w:rsidR="00776A1F" w:rsidRDefault="00D8574B">
            <w:pPr>
              <w:pStyle w:val="P68B1DB1-Normal12"/>
              <w:spacing w:after="0" w:line="240" w:lineRule="auto"/>
              <w:jc w:val="center"/>
              <w:rPr>
                <w:rFonts w:eastAsia="Times New Roman" w:cstheme="minorHAnsi"/>
                <w:noProof/>
              </w:rPr>
            </w:pPr>
            <w:r>
              <w:rPr>
                <w:noProof/>
              </w:rPr>
              <w:t>674</w:t>
            </w:r>
          </w:p>
        </w:tc>
        <w:tc>
          <w:tcPr>
            <w:tcW w:w="557" w:type="dxa"/>
            <w:shd w:val="clear" w:color="auto" w:fill="C4EFCE"/>
            <w:vAlign w:val="center"/>
          </w:tcPr>
          <w:p w14:paraId="448DFBE1" w14:textId="16712C51" w:rsidR="00776A1F" w:rsidRDefault="00D8574B">
            <w:pPr>
              <w:pStyle w:val="P68B1DB1-Normal12"/>
              <w:spacing w:after="0" w:line="240" w:lineRule="auto"/>
              <w:jc w:val="center"/>
              <w:rPr>
                <w:rFonts w:eastAsia="Times New Roman" w:cstheme="minorHAnsi"/>
                <w:noProof/>
              </w:rPr>
            </w:pPr>
            <w:r>
              <w:rPr>
                <w:noProof/>
              </w:rPr>
              <w:t>4. CET.</w:t>
            </w:r>
          </w:p>
        </w:tc>
        <w:tc>
          <w:tcPr>
            <w:tcW w:w="694" w:type="dxa"/>
            <w:shd w:val="clear" w:color="auto" w:fill="C4EFCE"/>
            <w:vAlign w:val="center"/>
          </w:tcPr>
          <w:p w14:paraId="1604BD49" w14:textId="0EBDE02B" w:rsidR="00776A1F" w:rsidRDefault="00D8574B">
            <w:pPr>
              <w:pStyle w:val="P68B1DB1-Normal12"/>
              <w:spacing w:after="0" w:line="240" w:lineRule="auto"/>
              <w:jc w:val="center"/>
              <w:rPr>
                <w:rFonts w:eastAsia="Times New Roman" w:cstheme="minorHAnsi"/>
                <w:noProof/>
              </w:rPr>
            </w:pPr>
            <w:r>
              <w:rPr>
                <w:noProof/>
              </w:rPr>
              <w:t>2025</w:t>
            </w:r>
          </w:p>
        </w:tc>
        <w:tc>
          <w:tcPr>
            <w:tcW w:w="4908" w:type="dxa"/>
            <w:shd w:val="clear" w:color="auto" w:fill="C4EFCE"/>
            <w:vAlign w:val="center"/>
          </w:tcPr>
          <w:p w14:paraId="5A087616" w14:textId="5F4C7337" w:rsidR="00776A1F" w:rsidRDefault="00D8574B">
            <w:pPr>
              <w:pStyle w:val="P68B1DB1-Normal12"/>
              <w:spacing w:after="0" w:line="240" w:lineRule="auto"/>
              <w:jc w:val="both"/>
              <w:rPr>
                <w:noProof/>
              </w:rPr>
            </w:pPr>
            <w:r>
              <w:rPr>
                <w:noProof/>
              </w:rPr>
              <w:t xml:space="preserve">446 produktu, procesu vai pakalpojumu (PSL) pabeigšana attiecīgajās stratēģiskajās jomās, kas izriet no līgumu (inovācijas paktu vai mobilizācijas projektu) īstenošanas, kas noslēgti ar konsorcijiem. </w:t>
            </w:r>
          </w:p>
          <w:p w14:paraId="5870609D" w14:textId="5F4C7337" w:rsidR="00776A1F" w:rsidRDefault="00D8574B">
            <w:pPr>
              <w:pStyle w:val="P68B1DB1-Bodytext1013"/>
              <w:spacing w:after="0"/>
              <w:jc w:val="both"/>
              <w:rPr>
                <w:rFonts w:cstheme="minorBidi"/>
                <w:noProof/>
              </w:rPr>
            </w:pPr>
            <w:r>
              <w:rPr>
                <w:noProof/>
              </w:rPr>
              <w:t>PPS papildina PPS, ko īsteno RE-C05-i01.01 un RE-C05-i09.</w:t>
            </w:r>
          </w:p>
          <w:p w14:paraId="4EDE4521" w14:textId="4E974DF6" w:rsidR="00776A1F" w:rsidRDefault="00D8574B">
            <w:pPr>
              <w:pStyle w:val="P68B1DB1-Bodytext1013"/>
              <w:spacing w:after="0"/>
              <w:jc w:val="both"/>
              <w:rPr>
                <w:rFonts w:cstheme="minorBidi"/>
                <w:noProof/>
              </w:rPr>
            </w:pPr>
            <w:r>
              <w:rPr>
                <w:noProof/>
              </w:rPr>
              <w:t>Vismaz 366 no PPS pieskaņojas intervences jomai 021.</w:t>
            </w:r>
          </w:p>
        </w:tc>
      </w:tr>
      <w:tr w:rsidR="00776A1F" w14:paraId="1381D009" w14:textId="77777777">
        <w:trPr>
          <w:trHeight w:val="687"/>
        </w:trPr>
        <w:tc>
          <w:tcPr>
            <w:tcW w:w="1113" w:type="dxa"/>
            <w:shd w:val="clear" w:color="auto" w:fill="C4EFCE"/>
            <w:vAlign w:val="center"/>
          </w:tcPr>
          <w:p w14:paraId="0CB16054" w14:textId="510C0E6F" w:rsidR="00776A1F" w:rsidRDefault="00D8574B">
            <w:pPr>
              <w:pStyle w:val="P68B1DB1-Normal11"/>
              <w:spacing w:after="0" w:line="240" w:lineRule="auto"/>
              <w:jc w:val="center"/>
              <w:rPr>
                <w:rFonts w:cstheme="minorHAnsi"/>
                <w:noProof/>
              </w:rPr>
            </w:pPr>
            <w:r>
              <w:rPr>
                <w:noProof/>
              </w:rPr>
              <w:t>5.46</w:t>
            </w:r>
          </w:p>
        </w:tc>
        <w:tc>
          <w:tcPr>
            <w:tcW w:w="1246" w:type="dxa"/>
            <w:shd w:val="clear" w:color="auto" w:fill="C4EFCE"/>
            <w:vAlign w:val="center"/>
          </w:tcPr>
          <w:p w14:paraId="0BC93575" w14:textId="3FBAAA80" w:rsidR="00776A1F" w:rsidRDefault="00D8574B">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41149329" w14:textId="1C872CA1" w:rsidR="00776A1F" w:rsidRDefault="00D8574B">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4D5E5493" w14:textId="40D04039" w:rsidR="00776A1F" w:rsidRDefault="00D8574B">
            <w:pPr>
              <w:pStyle w:val="P68B1DB1-Normal12"/>
              <w:spacing w:after="0" w:line="240" w:lineRule="auto"/>
              <w:jc w:val="center"/>
              <w:rPr>
                <w:rFonts w:cstheme="minorHAnsi"/>
                <w:noProof/>
              </w:rPr>
            </w:pPr>
            <w:r>
              <w:rPr>
                <w:noProof/>
              </w:rPr>
              <w:t>Līgumu noslēgšana par jaunu produktu, procesu vai pakalpojumu izstrādi stratēģiskās jomās, kas saistītas ar mazoglekļa ekonomiku, noturību un pielāgošanos klimata pārmaiņām.</w:t>
            </w:r>
          </w:p>
        </w:tc>
        <w:tc>
          <w:tcPr>
            <w:tcW w:w="1245" w:type="dxa"/>
            <w:shd w:val="clear" w:color="auto" w:fill="C4EFCE"/>
            <w:vAlign w:val="center"/>
          </w:tcPr>
          <w:p w14:paraId="36DF6C96" w14:textId="790B5427" w:rsidR="00776A1F" w:rsidRDefault="00D8574B">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34558086" w14:textId="42A84CA3" w:rsidR="00776A1F" w:rsidRDefault="00D8574B">
            <w:pPr>
              <w:pStyle w:val="P68B1DB1-Normal12"/>
              <w:spacing w:after="0" w:line="240" w:lineRule="auto"/>
              <w:jc w:val="center"/>
              <w:rPr>
                <w:rFonts w:cstheme="minorHAnsi"/>
                <w:noProof/>
              </w:rPr>
            </w:pPr>
            <w:r>
              <w:rPr>
                <w:noProof/>
              </w:rPr>
              <w:t>Skaits</w:t>
            </w:r>
          </w:p>
        </w:tc>
        <w:tc>
          <w:tcPr>
            <w:tcW w:w="971" w:type="dxa"/>
            <w:shd w:val="clear" w:color="auto" w:fill="C4EFCE"/>
            <w:vAlign w:val="center"/>
          </w:tcPr>
          <w:p w14:paraId="4F3059D7" w14:textId="4D90D56B" w:rsidR="00776A1F" w:rsidRDefault="00D8574B">
            <w:pPr>
              <w:pStyle w:val="P68B1DB1-Normal12"/>
              <w:spacing w:after="0" w:line="240" w:lineRule="auto"/>
              <w:jc w:val="center"/>
              <w:rPr>
                <w:rFonts w:cstheme="minorHAnsi"/>
                <w:noProof/>
              </w:rPr>
            </w:pPr>
            <w:r>
              <w:rPr>
                <w:noProof/>
              </w:rPr>
              <w:t>10</w:t>
            </w:r>
          </w:p>
        </w:tc>
        <w:tc>
          <w:tcPr>
            <w:tcW w:w="695" w:type="dxa"/>
            <w:shd w:val="clear" w:color="auto" w:fill="C4EFCE"/>
            <w:vAlign w:val="center"/>
          </w:tcPr>
          <w:p w14:paraId="0CF359B0" w14:textId="59145B12" w:rsidR="00776A1F" w:rsidRDefault="00D8574B">
            <w:pPr>
              <w:pStyle w:val="P68B1DB1-Normal12"/>
              <w:spacing w:after="0" w:line="240" w:lineRule="auto"/>
              <w:jc w:val="center"/>
              <w:rPr>
                <w:rFonts w:cstheme="minorHAnsi"/>
                <w:noProof/>
              </w:rPr>
            </w:pPr>
            <w:r>
              <w:rPr>
                <w:noProof/>
              </w:rPr>
              <w:t>20</w:t>
            </w:r>
          </w:p>
        </w:tc>
        <w:tc>
          <w:tcPr>
            <w:tcW w:w="557" w:type="dxa"/>
            <w:shd w:val="clear" w:color="auto" w:fill="C4EFCE"/>
            <w:vAlign w:val="center"/>
          </w:tcPr>
          <w:p w14:paraId="6EC45A79" w14:textId="7FEEEA6B" w:rsidR="00776A1F" w:rsidRDefault="00D8574B">
            <w:pPr>
              <w:pStyle w:val="P68B1DB1-Normal12"/>
              <w:spacing w:after="0" w:line="240" w:lineRule="auto"/>
              <w:jc w:val="center"/>
              <w:rPr>
                <w:noProof/>
              </w:rPr>
            </w:pPr>
            <w:r>
              <w:rPr>
                <w:noProof/>
              </w:rPr>
              <w:t>3. CET.</w:t>
            </w:r>
          </w:p>
        </w:tc>
        <w:tc>
          <w:tcPr>
            <w:tcW w:w="694" w:type="dxa"/>
            <w:shd w:val="clear" w:color="auto" w:fill="C4EFCE"/>
            <w:vAlign w:val="center"/>
          </w:tcPr>
          <w:p w14:paraId="7DCFD43B" w14:textId="7189AC27" w:rsidR="00776A1F" w:rsidRDefault="00D8574B">
            <w:pPr>
              <w:pStyle w:val="P68B1DB1-Normal12"/>
              <w:spacing w:after="0" w:line="240" w:lineRule="auto"/>
              <w:jc w:val="center"/>
              <w:rPr>
                <w:rFonts w:cstheme="minorHAnsi"/>
                <w:noProof/>
              </w:rPr>
            </w:pPr>
            <w:r>
              <w:rPr>
                <w:noProof/>
              </w:rPr>
              <w:t>2023</w:t>
            </w:r>
          </w:p>
        </w:tc>
        <w:tc>
          <w:tcPr>
            <w:tcW w:w="4908" w:type="dxa"/>
            <w:shd w:val="clear" w:color="auto" w:fill="C4EFCE"/>
            <w:vAlign w:val="center"/>
          </w:tcPr>
          <w:p w14:paraId="499E39FF" w14:textId="08A34CB6" w:rsidR="00776A1F" w:rsidRDefault="00D8574B">
            <w:pPr>
              <w:pStyle w:val="P68B1DB1-Bodytext1013"/>
              <w:spacing w:after="0"/>
              <w:rPr>
                <w:rFonts w:cstheme="minorHAnsi"/>
                <w:noProof/>
              </w:rPr>
            </w:pPr>
            <w:r>
              <w:rPr>
                <w:noProof/>
              </w:rPr>
              <w:t>Desmit papildu līgumu (inovācijas paktu vai mobilizācijas projektu) noslēgšana ar konsorcijiem, kas ietver:</w:t>
            </w:r>
          </w:p>
          <w:p w14:paraId="5623BFC8" w14:textId="77777777" w:rsidR="00776A1F" w:rsidRDefault="00D8574B">
            <w:pPr>
              <w:pStyle w:val="P68B1DB1-Bodytext1013"/>
              <w:spacing w:after="0"/>
              <w:rPr>
                <w:rFonts w:cstheme="minorHAnsi"/>
                <w:noProof/>
              </w:rPr>
            </w:pPr>
            <w:r>
              <w:rPr>
                <w:noProof/>
              </w:rPr>
              <w:t>• Konsorcija sastāvā esošo vienību identifikācija;</w:t>
            </w:r>
          </w:p>
          <w:p w14:paraId="348134D2" w14:textId="77777777" w:rsidR="00776A1F" w:rsidRDefault="00D8574B">
            <w:pPr>
              <w:pStyle w:val="P68B1DB1-Bodytext1013"/>
              <w:spacing w:after="0"/>
              <w:rPr>
                <w:rFonts w:cstheme="minorHAnsi"/>
                <w:noProof/>
              </w:rPr>
            </w:pPr>
            <w:r>
              <w:rPr>
                <w:noProof/>
              </w:rPr>
              <w:t>• Uzņēmējdarbības plāns/ieguldījums;</w:t>
            </w:r>
          </w:p>
          <w:p w14:paraId="5BD43BF9" w14:textId="77777777" w:rsidR="00776A1F" w:rsidRDefault="00D8574B">
            <w:pPr>
              <w:pStyle w:val="P68B1DB1-Bodytext1013"/>
              <w:spacing w:after="0"/>
              <w:rPr>
                <w:rFonts w:cstheme="minorHAnsi"/>
                <w:noProof/>
              </w:rPr>
            </w:pPr>
            <w:r>
              <w:rPr>
                <w:noProof/>
              </w:rPr>
              <w:t>• Finansējuma apjoms;</w:t>
            </w:r>
          </w:p>
          <w:p w14:paraId="780D9792" w14:textId="77777777" w:rsidR="00776A1F" w:rsidRDefault="00D8574B">
            <w:pPr>
              <w:pStyle w:val="P68B1DB1-Bodytext1013"/>
              <w:spacing w:after="0"/>
              <w:rPr>
                <w:rFonts w:cstheme="minorHAnsi"/>
                <w:noProof/>
              </w:rPr>
            </w:pPr>
            <w:r>
              <w:rPr>
                <w:noProof/>
              </w:rPr>
              <w:t>• Mērķi, kas saņēmējam ir saistoši;</w:t>
            </w:r>
          </w:p>
          <w:p w14:paraId="3C7CAD42" w14:textId="77777777" w:rsidR="00776A1F" w:rsidRDefault="00D8574B">
            <w:pPr>
              <w:pStyle w:val="P68B1DB1-Bodytext1013"/>
              <w:spacing w:after="0"/>
              <w:rPr>
                <w:rFonts w:cstheme="minorHAnsi"/>
                <w:noProof/>
              </w:rPr>
            </w:pPr>
            <w:r>
              <w:rPr>
                <w:noProof/>
              </w:rPr>
              <w:t xml:space="preserve">• Uzraudzības veids. </w:t>
            </w:r>
          </w:p>
          <w:p w14:paraId="160F8223" w14:textId="6794DDB5" w:rsidR="00776A1F" w:rsidRDefault="00D8574B">
            <w:pPr>
              <w:pStyle w:val="P68B1DB1-Bodytext1013"/>
              <w:spacing w:after="0"/>
              <w:rPr>
                <w:rFonts w:cstheme="minorHAnsi"/>
                <w:noProof/>
              </w:rPr>
            </w:pPr>
            <w:r>
              <w:rPr>
                <w:noProof/>
              </w:rPr>
              <w:t xml:space="preserve">Līgumi atbalsta kopumā vismaz 147 produktus, procesus vai pakalpojumus un saskaņo ar intervences jomu 022 (Pētniecības un inovācijas procesi, tehnoloģiju nodošana un sadarbība starp uzņēmumiem, īpašu uzmanību pievēršot mazoglekļa ekonomikai un noturībai un pielāgošanās klimata pārmaiņām). </w:t>
            </w:r>
          </w:p>
          <w:p w14:paraId="6C00454A" w14:textId="77777777" w:rsidR="00776A1F" w:rsidRDefault="00D8574B">
            <w:pPr>
              <w:pStyle w:val="P68B1DB1-Bodytext1013"/>
              <w:spacing w:after="0"/>
              <w:rPr>
                <w:rFonts w:cstheme="minorHAnsi"/>
                <w:noProof/>
              </w:rPr>
            </w:pPr>
            <w:r>
              <w:rPr>
                <w:noProof/>
              </w:rPr>
              <w:t>Darba uzdevumā iekļauj atbilstības kritērijus, kas nodrošina, ka atlasītie projekti atbilst tehniskajiem norādījumiem “Nenodari būtisku kaitējumu” (2021/C58/01), izmantojot izslēgšanas sarakstu un prasību par atbilstību attiecīgajiem ES un valsts tiesību aktiem vides jomā.</w:t>
            </w:r>
          </w:p>
          <w:p w14:paraId="290DDA70" w14:textId="5F629E0E" w:rsidR="00776A1F" w:rsidRDefault="00D8574B">
            <w:pPr>
              <w:pStyle w:val="P68B1DB1-Normal12"/>
              <w:spacing w:after="0" w:line="240" w:lineRule="auto"/>
              <w:jc w:val="both"/>
              <w:rPr>
                <w:rFonts w:cstheme="minorHAnsi"/>
                <w:noProof/>
              </w:rPr>
            </w:pPr>
            <w:r>
              <w:rPr>
                <w:noProof/>
              </w:rPr>
              <w:t>Līgumi papildina līgumus, kas īstenoti RE-C05-i01.02 un RE-C05-i10.</w:t>
            </w:r>
          </w:p>
        </w:tc>
      </w:tr>
      <w:tr w:rsidR="00776A1F" w14:paraId="7431C32C" w14:textId="77777777">
        <w:trPr>
          <w:trHeight w:val="274"/>
        </w:trPr>
        <w:tc>
          <w:tcPr>
            <w:tcW w:w="1113" w:type="dxa"/>
            <w:shd w:val="clear" w:color="auto" w:fill="C4EFCE"/>
            <w:vAlign w:val="center"/>
          </w:tcPr>
          <w:p w14:paraId="32CF2A49" w14:textId="78E07266" w:rsidR="00776A1F" w:rsidRDefault="00D8574B">
            <w:pPr>
              <w:pStyle w:val="P68B1DB1-Normal11"/>
              <w:spacing w:after="0" w:line="240" w:lineRule="auto"/>
              <w:jc w:val="center"/>
              <w:rPr>
                <w:rFonts w:cstheme="minorHAnsi"/>
                <w:noProof/>
              </w:rPr>
            </w:pPr>
            <w:r>
              <w:rPr>
                <w:noProof/>
              </w:rPr>
              <w:t>5.47</w:t>
            </w:r>
          </w:p>
        </w:tc>
        <w:tc>
          <w:tcPr>
            <w:tcW w:w="1246" w:type="dxa"/>
            <w:shd w:val="clear" w:color="auto" w:fill="C4EFCE"/>
            <w:vAlign w:val="center"/>
          </w:tcPr>
          <w:p w14:paraId="509613B3" w14:textId="1F733358" w:rsidR="00776A1F" w:rsidRDefault="00D8574B">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287EAA6C" w14:textId="37007893" w:rsidR="00776A1F" w:rsidRDefault="00D8574B">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1E5CB665" w14:textId="105B9A4D" w:rsidR="00776A1F" w:rsidRDefault="00D8574B">
            <w:pPr>
              <w:pStyle w:val="P68B1DB1-Normal12"/>
              <w:spacing w:after="0" w:line="240" w:lineRule="auto"/>
              <w:jc w:val="center"/>
              <w:rPr>
                <w:rFonts w:cstheme="minorHAnsi"/>
                <w:noProof/>
              </w:rPr>
            </w:pPr>
            <w:r>
              <w:rPr>
                <w:noProof/>
              </w:rPr>
              <w:t>Pabeigti produkti, procesi vai pakalpojumi, kas saistīti ar mazoglekļa ekonomiku, noturību un pielāgošanos klimata pārmaiņām.</w:t>
            </w:r>
          </w:p>
        </w:tc>
        <w:tc>
          <w:tcPr>
            <w:tcW w:w="1245" w:type="dxa"/>
            <w:shd w:val="clear" w:color="auto" w:fill="C4EFCE"/>
            <w:vAlign w:val="center"/>
          </w:tcPr>
          <w:p w14:paraId="65CE0D44" w14:textId="2FFC40CA" w:rsidR="00776A1F" w:rsidRDefault="00D8574B">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2CDFDBF8" w14:textId="7B4E4CC9" w:rsidR="00776A1F" w:rsidRDefault="00D8574B">
            <w:pPr>
              <w:pStyle w:val="P68B1DB1-Normal12"/>
              <w:spacing w:after="0" w:line="240" w:lineRule="auto"/>
              <w:jc w:val="center"/>
              <w:rPr>
                <w:rFonts w:cstheme="minorHAnsi"/>
                <w:noProof/>
              </w:rPr>
            </w:pPr>
            <w:r>
              <w:rPr>
                <w:noProof/>
              </w:rPr>
              <w:t>Skaits</w:t>
            </w:r>
          </w:p>
        </w:tc>
        <w:tc>
          <w:tcPr>
            <w:tcW w:w="971" w:type="dxa"/>
            <w:shd w:val="clear" w:color="auto" w:fill="C4EFCE"/>
            <w:vAlign w:val="center"/>
          </w:tcPr>
          <w:p w14:paraId="23069303" w14:textId="0D9C234C" w:rsidR="00776A1F" w:rsidRDefault="00D8574B">
            <w:pPr>
              <w:pStyle w:val="P68B1DB1-Normal12"/>
              <w:spacing w:after="0" w:line="240" w:lineRule="auto"/>
              <w:jc w:val="center"/>
              <w:rPr>
                <w:rFonts w:cstheme="minorHAnsi"/>
                <w:noProof/>
              </w:rPr>
            </w:pPr>
            <w:r>
              <w:rPr>
                <w:noProof/>
              </w:rPr>
              <w:t>138</w:t>
            </w:r>
          </w:p>
        </w:tc>
        <w:tc>
          <w:tcPr>
            <w:tcW w:w="695" w:type="dxa"/>
            <w:shd w:val="clear" w:color="auto" w:fill="C4EFCE"/>
            <w:vAlign w:val="center"/>
          </w:tcPr>
          <w:p w14:paraId="4E428C5E" w14:textId="639B2AE1" w:rsidR="00776A1F" w:rsidRDefault="00D8574B">
            <w:pPr>
              <w:pStyle w:val="P68B1DB1-Normal12"/>
              <w:spacing w:after="0" w:line="240" w:lineRule="auto"/>
              <w:jc w:val="center"/>
              <w:rPr>
                <w:rFonts w:cstheme="minorHAnsi"/>
                <w:noProof/>
              </w:rPr>
            </w:pPr>
            <w:r>
              <w:rPr>
                <w:noProof/>
              </w:rPr>
              <w:t>285</w:t>
            </w:r>
          </w:p>
        </w:tc>
        <w:tc>
          <w:tcPr>
            <w:tcW w:w="557" w:type="dxa"/>
            <w:shd w:val="clear" w:color="auto" w:fill="C4EFCE"/>
            <w:vAlign w:val="center"/>
          </w:tcPr>
          <w:p w14:paraId="6A0FC76A" w14:textId="3251ADDE" w:rsidR="00776A1F" w:rsidRDefault="00D8574B">
            <w:pPr>
              <w:pStyle w:val="P68B1DB1-Normal12"/>
              <w:spacing w:after="0" w:line="240" w:lineRule="auto"/>
              <w:jc w:val="center"/>
              <w:rPr>
                <w:rFonts w:cstheme="minorHAnsi"/>
                <w:noProof/>
              </w:rPr>
            </w:pPr>
            <w:r>
              <w:rPr>
                <w:noProof/>
              </w:rPr>
              <w:t>4. CET.</w:t>
            </w:r>
          </w:p>
        </w:tc>
        <w:tc>
          <w:tcPr>
            <w:tcW w:w="694" w:type="dxa"/>
            <w:shd w:val="clear" w:color="auto" w:fill="C4EFCE"/>
            <w:vAlign w:val="center"/>
          </w:tcPr>
          <w:p w14:paraId="7A622278" w14:textId="0287DEB1" w:rsidR="00776A1F" w:rsidRDefault="00D8574B">
            <w:pPr>
              <w:pStyle w:val="P68B1DB1-Normal12"/>
              <w:spacing w:after="0" w:line="240" w:lineRule="auto"/>
              <w:jc w:val="center"/>
              <w:rPr>
                <w:rFonts w:cstheme="minorHAnsi"/>
                <w:noProof/>
              </w:rPr>
            </w:pPr>
            <w:r>
              <w:rPr>
                <w:noProof/>
              </w:rPr>
              <w:t>2025</w:t>
            </w:r>
          </w:p>
        </w:tc>
        <w:tc>
          <w:tcPr>
            <w:tcW w:w="4908" w:type="dxa"/>
            <w:shd w:val="clear" w:color="auto" w:fill="C4EFCE"/>
            <w:vAlign w:val="center"/>
          </w:tcPr>
          <w:p w14:paraId="1F263104" w14:textId="3DB158C4" w:rsidR="00776A1F" w:rsidRDefault="00D8574B">
            <w:pPr>
              <w:pStyle w:val="P68B1DB1-Normal12"/>
              <w:spacing w:after="0" w:line="240" w:lineRule="auto"/>
              <w:jc w:val="both"/>
              <w:rPr>
                <w:noProof/>
              </w:rPr>
            </w:pPr>
            <w:r>
              <w:rPr>
                <w:noProof/>
              </w:rPr>
              <w:t>147 produktu, procesu vai pakalpojumu (PSL) pabeigšana, kas izriet no līgumu (inovācijas paktu vai mobilizācijas projektu) īstenošanas, kuri noslēgti ar konsorcijiem, saskaņojot to ar intervences jomu 022 (Pētniecības un inovācijas procesi, tehnoloģiju nodošana un sadarbība starp uzņēmumiem, īpašu uzmanību pievēršot ekonomikai ar zemu oglekļa dioksīda emisiju līmeni, noturībai un pielāgošanās klimata pārmaiņām).</w:t>
            </w:r>
          </w:p>
          <w:p w14:paraId="21D14431" w14:textId="0F5CE763" w:rsidR="00776A1F" w:rsidRDefault="00D8574B">
            <w:pPr>
              <w:pStyle w:val="P68B1DB1-Normal12"/>
              <w:spacing w:after="0" w:line="240" w:lineRule="auto"/>
              <w:jc w:val="both"/>
              <w:rPr>
                <w:noProof/>
              </w:rPr>
            </w:pPr>
            <w:r>
              <w:rPr>
                <w:noProof/>
              </w:rPr>
              <w:t>PPS papildina PPS, ko īsteno RE-C05-i01.02 un RE-C05-i10.</w:t>
            </w:r>
          </w:p>
        </w:tc>
      </w:tr>
    </w:tbl>
    <w:p w14:paraId="58F116A2" w14:textId="5535E252"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114"/>
          <w:headerReference w:type="default" r:id="rId115"/>
          <w:footerReference w:type="even" r:id="rId116"/>
          <w:footerReference w:type="default" r:id="rId117"/>
          <w:headerReference w:type="first" r:id="rId118"/>
          <w:footerReference w:type="first" r:id="rId119"/>
          <w:pgSz w:w="16839" w:h="11907" w:orient="landscape"/>
          <w:pgMar w:top="1134" w:right="1134" w:bottom="1134" w:left="1134" w:header="567" w:footer="567" w:gutter="0"/>
          <w:cols w:space="720"/>
          <w:docGrid w:linePitch="360"/>
        </w:sectPr>
      </w:pPr>
    </w:p>
    <w:p w14:paraId="33FE1FD1"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F. 6. SASTĀVDAĻA: Kvalifikācija un prasmes</w:t>
      </w:r>
    </w:p>
    <w:p w14:paraId="37175C09"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Portugālē 44,5 % iedzīvotāju vecumā no 25 līdz 64 gadiem 2020. gadā bija zems izglītības iegūšanas līmenis, kas ievērojami pārsniedz ES vidējo rādītāju 25,0 %. Turklāt to iedzīvotāju īpatsvars, kuriem ir digitālās pamatprasmes vai kuri nekad nav izmantojuši internetu, ir ļoti liels. Tāpat saskaņā ar ES standartiem darba tirgus segmentācija un dzimumu nelīdzsvarotība darba samaksas un karjeras iespēju ziņā joprojām ir augsta. </w:t>
      </w:r>
    </w:p>
    <w:p w14:paraId="1632873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komponents risina vairākas problēmas, kas saistītas ar salīdzinoši zemo izglītības un kvalifikācijas iegūšanas līmeni, dalību mūžizglītībā, darba tirgus segmentāciju, administratīvo šķēršļu novēršanu augsti reglamentētu profesiju jomā, gatavošanos problēmām, kas saistītas ar darba nākotni, dzimumu līdztiesību un vienlīdzīgām iespējām. </w:t>
      </w:r>
    </w:p>
    <w:p w14:paraId="2B79D01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Komponenta mērķi ir plaši, ietverot prasmju apguvi un prasmju pilnveidi, dažas vājās vietas uzņēmējdarbības vidē, darba tirgus segmentāciju, dzimumu līdzsvaru un vienlīdzīgas iespējas. Attiecībā uz ražošanas potenciālu šis komponents ir vērsts uz pasākumiem, kuru mērķis ir paaugstināt zemo kvalifikācijas līmeni un uzlabot līdzdalību mūžizglītībā, reformējot izglītības un profesionālās izglītības un apmācības (PIA) sistēmas, veicināt zināšanu nodošanu starp universitātēm/publiskām pētniecības organizācijām un uzņēmumiem un samazināt ierobežojumus stingri reglamentētās profesijās, vienlaikus uzlabojot konkurētspēju uzņēmējdarbības pakalpojumu sniegšanā. Komponentā ir arī izklāstīti pasākumi, kuru mērķis ir pievērsties dažādiem Eiropas sociālo tiesību pīlāra (ESTP) principiem, piemēram, darba attiecības un piekļuves tiesības darba ņēmējiem ar netipiskiem darba līgumiem, finansiāls atbalsts, lai veicinātu bezdarbnieku ar pastāvīgām un kvalitatīvām darbvietām iekļaušanu, un Portugāles normas izstrāde vienāda atalgojuma pārvaldības sistēmai. </w:t>
      </w:r>
    </w:p>
    <w:p w14:paraId="7B3132B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komponents ir saskaņots ar galvenajām ES politikas iniciatīvām, piemēram, Prasmju programmu Eiropai, Padomes Ieteikumu “Prasmju pilnveides ceļi: Jaunas iespējas pieaugušajiem” (Padomes Ieteikums 2016/C 484/01), Padomes Ieteikums “PIA ilgtspējīgai konkurētspējai, sociālajam taisnīgumam un noturībai” (Padomes Ieteikums 2020/C 417/01) un pastiprinātā Garantija jauniešiem, Eiropas izglītības telpa un Eiropas Pētniecības telpas iniciatīvas. </w:t>
      </w:r>
    </w:p>
    <w:p w14:paraId="29744677" w14:textId="77777777" w:rsidR="00776A1F" w:rsidRDefault="00D8574B">
      <w:pPr>
        <w:pStyle w:val="P68B1DB1-Normal4"/>
        <w:keepNext/>
        <w:spacing w:before="40" w:after="0" w:line="259" w:lineRule="auto"/>
        <w:jc w:val="both"/>
        <w:rPr>
          <w:rFonts w:eastAsiaTheme="minorEastAsia" w:cs="Times New Roman"/>
          <w:noProof/>
        </w:rPr>
      </w:pPr>
      <w:r>
        <w:rPr>
          <w:noProof/>
        </w:rPr>
        <w:t>Komponents attiecas uz konkrētām valstīm adresētiem ieteikumiem veikt visus vajadzīgos pasākumus, lai efektīvi vērstos pret pandēmiju, stiprinātu ekonomiku un atbalstītu tās turpmāko atveseļošanu (konkrētais ieteikums Nr. 1 2020); pieņemt pasākumus, lai novērstu darba tirgus segmentāciju (valsts īpašais ieteikums Nr. 2 2019); uzlabot iedzīvotāju prasmju līmeni, jo īpaši viņu digitālo pratību, tostarp padarot pieaugušo izglītību atbilstošāku darba tirgus vajadzībām (valsts īpašais ieteikums Nr. 2 2019); palielināt augstākās izglītības absolventu skaitu, jo īpaši zinātnes un informācijas tehnoloģiju jomā (valsts īpašais ieteikums Nr. 2 2019); atbalstīt digitālo tehnoloģiju izmantošanu, lai nodrošinātu vienlīdzīgu piekļuvi kvalitatīvai izglītībai un apmācībai (valsts īpašais ieteikums Nr. 2 2020); veicināt uzņēmumu konkurētspēju (valsts īpašais ieteikums Nr. 2 2020); koncentrēties uz pētniecības un inovācijas ekonomikas politiku, kas saistīta ar ieguldījumiem (valsts īpašais ieteikums Nr. 3 2019); un izstrādāt ceļvedi ierobežojumu samazināšanai stingri regulētās profesijās (Valsts īpašais ieteikums Nr. 4 2019).</w:t>
      </w:r>
    </w:p>
    <w:p w14:paraId="6CC019E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20AF52A5" w14:textId="17B25CD3" w:rsidR="00776A1F" w:rsidRDefault="00776A1F">
      <w:pPr>
        <w:keepNext/>
        <w:spacing w:before="40" w:after="0" w:line="259" w:lineRule="auto"/>
        <w:jc w:val="both"/>
        <w:rPr>
          <w:rFonts w:ascii="Times New Roman" w:eastAsiaTheme="minorEastAsia" w:hAnsi="Times New Roman" w:cs="Times New Roman"/>
          <w:noProof/>
          <w:sz w:val="24"/>
        </w:rPr>
      </w:pPr>
    </w:p>
    <w:p w14:paraId="309FC685" w14:textId="7C8FBB2C" w:rsidR="00776A1F" w:rsidRDefault="00776A1F">
      <w:pPr>
        <w:keepNext/>
        <w:spacing w:before="40" w:after="0" w:line="259" w:lineRule="auto"/>
        <w:jc w:val="both"/>
        <w:rPr>
          <w:rFonts w:ascii="Times New Roman" w:eastAsiaTheme="minorEastAsia" w:hAnsi="Times New Roman" w:cs="Times New Roman"/>
          <w:noProof/>
          <w:sz w:val="24"/>
        </w:rPr>
      </w:pPr>
    </w:p>
    <w:p w14:paraId="310C858A" w14:textId="486BD107" w:rsidR="00776A1F" w:rsidRDefault="00776A1F">
      <w:pPr>
        <w:keepNext/>
        <w:spacing w:before="40" w:after="0" w:line="259" w:lineRule="auto"/>
        <w:jc w:val="both"/>
        <w:rPr>
          <w:rFonts w:ascii="Times New Roman" w:eastAsiaTheme="minorEastAsia" w:hAnsi="Times New Roman" w:cs="Times New Roman"/>
          <w:noProof/>
          <w:sz w:val="24"/>
        </w:rPr>
      </w:pPr>
    </w:p>
    <w:p w14:paraId="6B3EE7D6"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1024A9A" w14:textId="77777777" w:rsidR="00776A1F" w:rsidRDefault="00D8574B">
      <w:pPr>
        <w:pStyle w:val="P68B1DB1-Normal3"/>
        <w:spacing w:before="40" w:after="0" w:line="259" w:lineRule="auto"/>
        <w:ind w:left="130" w:firstLine="720"/>
        <w:jc w:val="both"/>
        <w:outlineLvl w:val="2"/>
        <w:rPr>
          <w:rFonts w:eastAsiaTheme="minorEastAsia" w:cs="Times New Roman"/>
          <w:i/>
          <w:noProof/>
        </w:rPr>
      </w:pPr>
      <w:r>
        <w:rPr>
          <w:noProof/>
        </w:rPr>
        <w:t>F.1. Neatmaksājamam finansiālajam atbalstam pieteikto reformu un investīciju apraksts</w:t>
      </w:r>
    </w:p>
    <w:p w14:paraId="4FF4B46F"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Reforma RE-r14: Profesionālās izglītības un apmācības reforma</w:t>
      </w:r>
    </w:p>
    <w:p w14:paraId="79BAF2E5" w14:textId="77777777" w:rsidR="00776A1F" w:rsidRDefault="00D8574B">
      <w:pPr>
        <w:pStyle w:val="P68B1DB1-Normal4"/>
        <w:spacing w:before="40" w:after="0" w:line="259" w:lineRule="auto"/>
        <w:jc w:val="both"/>
        <w:rPr>
          <w:rFonts w:eastAsiaTheme="minorEastAsia" w:cs="Times New Roman"/>
          <w:noProof/>
        </w:rPr>
      </w:pPr>
      <w:r>
        <w:rPr>
          <w:noProof/>
        </w:rPr>
        <w:t xml:space="preserve">Šīs reformas mērķis ir modernizēt izglītības un PIA sistēmas, lai uzlabotu zemo izglītības un kvalifikācijas iegūšanas līmeni un to darba ņēmēju lielo skaitu, kuriem trūkst pamatprasmju un digitālo prasmju, pielāgotu prasmju piedāvājumu pašreizējām un turpmākajām darba tirgus vajadzībām un paplašinātu izglītības, apmācības un mūžizglītības iespējas. </w:t>
      </w:r>
    </w:p>
    <w:p w14:paraId="14052811" w14:textId="77777777" w:rsidR="00776A1F" w:rsidRDefault="00D8574B">
      <w:pPr>
        <w:pStyle w:val="P68B1DB1-Normal4"/>
        <w:spacing w:before="40" w:after="0" w:line="259" w:lineRule="auto"/>
        <w:jc w:val="both"/>
        <w:rPr>
          <w:rFonts w:eastAsiaTheme="minorEastAsia" w:cs="Times New Roman"/>
          <w:noProof/>
        </w:rPr>
      </w:pPr>
      <w:r>
        <w:rPr>
          <w:noProof/>
        </w:rPr>
        <w:t xml:space="preserve">Reforma sastāv no darbībām, kuru mērķis ir: </w:t>
      </w:r>
    </w:p>
    <w:p w14:paraId="24DEC4CE" w14:textId="77777777" w:rsidR="00776A1F" w:rsidRDefault="00D8574B">
      <w:pPr>
        <w:pStyle w:val="P68B1DB1-Normal4"/>
        <w:keepNext/>
        <w:numPr>
          <w:ilvl w:val="0"/>
          <w:numId w:val="43"/>
        </w:numPr>
        <w:spacing w:before="40" w:after="160" w:line="259" w:lineRule="auto"/>
        <w:contextualSpacing/>
        <w:jc w:val="both"/>
        <w:rPr>
          <w:rFonts w:eastAsiaTheme="minorEastAsia" w:cs="Times New Roman"/>
          <w:noProof/>
        </w:rPr>
      </w:pPr>
      <w:r>
        <w:rPr>
          <w:noProof/>
        </w:rPr>
        <w:t>stiprināt vispārējo politikas koordināciju izglītības un PIA politikā;</w:t>
      </w:r>
    </w:p>
    <w:p w14:paraId="1130E842" w14:textId="77777777" w:rsidR="00776A1F" w:rsidRDefault="00D8574B">
      <w:pPr>
        <w:pStyle w:val="P68B1DB1-Normal4"/>
        <w:keepNext/>
        <w:numPr>
          <w:ilvl w:val="0"/>
          <w:numId w:val="43"/>
        </w:numPr>
        <w:spacing w:before="40" w:after="160" w:line="259" w:lineRule="auto"/>
        <w:contextualSpacing/>
        <w:jc w:val="both"/>
        <w:rPr>
          <w:rFonts w:eastAsiaTheme="minorEastAsia" w:cs="Times New Roman"/>
          <w:noProof/>
        </w:rPr>
      </w:pPr>
      <w:r>
        <w:rPr>
          <w:noProof/>
        </w:rPr>
        <w:t>modernizēt PIA piedāvājumu, ko reglamentē Valsts kvalifikāciju katalogs (CNQ), pamatojoties uz kvalifikāciju vajadzību prognozēšanas sistēmu, paredzamo diagnozi, lai atbalstītu CNQ atjaunināšanu, un Kvalifikācijas nozaru padomju racionalizēšanu;</w:t>
      </w:r>
    </w:p>
    <w:p w14:paraId="1C4AE227" w14:textId="77777777" w:rsidR="00776A1F" w:rsidRDefault="00D8574B">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ņemt vērā darba tirgus vajadzības un jaunu prasmju/profesiju rašanos; </w:t>
      </w:r>
    </w:p>
    <w:p w14:paraId="51098704" w14:textId="6BB416EA" w:rsidR="00776A1F" w:rsidRDefault="00D8574B">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uzlabot mazkvalificētu iedzīvotāju izredzes, izstrādājot mācību piedāvājumu, kas vērsts uz pieaugušo rakstpratību (jāīsteno C06-i03: Pieaugušo stimuls); </w:t>
      </w:r>
    </w:p>
    <w:p w14:paraId="1EF91E24" w14:textId="77777777" w:rsidR="00776A1F" w:rsidRDefault="00D8574B">
      <w:pPr>
        <w:pStyle w:val="P68B1DB1-Normal4"/>
        <w:keepNext/>
        <w:numPr>
          <w:ilvl w:val="0"/>
          <w:numId w:val="43"/>
        </w:numPr>
        <w:spacing w:before="40" w:after="160" w:line="259" w:lineRule="auto"/>
        <w:contextualSpacing/>
        <w:jc w:val="both"/>
        <w:rPr>
          <w:rFonts w:eastAsiaTheme="minorEastAsia" w:cs="Times New Roman"/>
          <w:noProof/>
        </w:rPr>
      </w:pPr>
      <w:r>
        <w:rPr>
          <w:noProof/>
        </w:rPr>
        <w:t>veicināt vietējo attīstību un teritoriālo kohēziju un mazināt sociālekonomisko nevienlīdzību, pārdalot PIA tīklu.</w:t>
      </w:r>
    </w:p>
    <w:p w14:paraId="758D803D" w14:textId="77777777" w:rsidR="00776A1F" w:rsidRDefault="00D8574B">
      <w:pPr>
        <w:pStyle w:val="P68B1DB1-Normal4"/>
        <w:spacing w:before="40" w:after="0" w:line="259" w:lineRule="auto"/>
        <w:jc w:val="both"/>
        <w:rPr>
          <w:rFonts w:eastAsiaTheme="minorEastAsia" w:cs="Times New Roman"/>
          <w:noProof/>
        </w:rPr>
      </w:pPr>
      <w:r>
        <w:rPr>
          <w:noProof/>
        </w:rPr>
        <w:t xml:space="preserve">Reformas īstenošanu pabeidz līdz 2025. gada 31. decembrim. </w:t>
      </w:r>
    </w:p>
    <w:p w14:paraId="507D918E"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Reforma RE-r15: Augstākās izglītības un valsts pārvaldes iestāžu un uzņēmumu sadarbības reforma</w:t>
      </w:r>
    </w:p>
    <w:p w14:paraId="7C45D5EA" w14:textId="77777777" w:rsidR="00776A1F" w:rsidRDefault="00D8574B">
      <w:pPr>
        <w:pStyle w:val="P68B1DB1-Normal4"/>
        <w:spacing w:before="40" w:after="0" w:line="259" w:lineRule="auto"/>
        <w:jc w:val="both"/>
        <w:rPr>
          <w:rFonts w:eastAsiaTheme="minorEastAsia" w:cs="Times New Roman"/>
          <w:noProof/>
        </w:rPr>
      </w:pPr>
      <w:r>
        <w:rPr>
          <w:noProof/>
        </w:rPr>
        <w:t xml:space="preserve">Šīs reformas mērķis ir stimulēt publiskā un privātā sektora sadarbības pasākumus izglītības un apmācības programmās, lai reaģētu uz darba tirgus un divējādās pārkārtošanās vajadzībām, tostarp izstrādājot profesionālā tvēruma pēcdiploma kursus (profesionālā maģistra grāda) tikai studentiem ar iepriekšēju profesionālo pieredzi un piedāvājot īslaicīgus terciāros kursus politehnikā (pazīstami kā augstākā līmeņa profesionāli tehniskie kursi). </w:t>
      </w:r>
    </w:p>
    <w:p w14:paraId="1E2C7057" w14:textId="77777777" w:rsidR="00776A1F" w:rsidRDefault="00D8574B">
      <w:pPr>
        <w:pStyle w:val="P68B1DB1-Normal4"/>
        <w:spacing w:before="40" w:after="0" w:line="259" w:lineRule="auto"/>
        <w:jc w:val="both"/>
        <w:rPr>
          <w:rFonts w:eastAsiaTheme="minorEastAsia" w:cs="Times New Roman"/>
          <w:noProof/>
        </w:rPr>
      </w:pPr>
      <w:r>
        <w:rPr>
          <w:noProof/>
        </w:rPr>
        <w:t>Reformu veido:</w:t>
      </w:r>
    </w:p>
    <w:p w14:paraId="29DE76AC" w14:textId="77777777" w:rsidR="00776A1F" w:rsidRDefault="00D8574B">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tiesību akts, ar ko izveido īpašus konkursus uzņemšanai augstākajā izglītībā personām, kurām ir duālā vidējā izglītība un specializēti mākslas kursi;</w:t>
      </w:r>
    </w:p>
    <w:p w14:paraId="567B7FBF" w14:textId="77777777" w:rsidR="00776A1F" w:rsidRDefault="00D8574B">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pārskatīt tiesisko un institucionālo sistēmu, kas reglamentē augstākās izglītības iestāžu sadarbību ar valsts pārvaldi un uzņēmumiem, tostarp pasākumus, lai:</w:t>
      </w:r>
    </w:p>
    <w:p w14:paraId="5AE0A55E" w14:textId="77777777" w:rsidR="00776A1F" w:rsidRDefault="00D8574B">
      <w:pPr>
        <w:pStyle w:val="P68B1DB1-Normal4"/>
        <w:numPr>
          <w:ilvl w:val="1"/>
          <w:numId w:val="44"/>
        </w:numPr>
        <w:spacing w:before="40" w:after="160" w:line="259" w:lineRule="auto"/>
        <w:contextualSpacing/>
        <w:jc w:val="both"/>
        <w:rPr>
          <w:rFonts w:eastAsiaTheme="minorEastAsia" w:cs="Times New Roman"/>
          <w:noProof/>
        </w:rPr>
      </w:pPr>
      <w:r>
        <w:rPr>
          <w:noProof/>
        </w:rPr>
        <w:t>veicināt iestāžu sadarbību starp augstākās izglītības iestādēm (AII) un uzņēmumiem, kā arī piesaistīt pieaugušos studentus un paplašināt tvērumu iekšzemes teritorijās;</w:t>
      </w:r>
    </w:p>
    <w:p w14:paraId="7734DEF6" w14:textId="77777777" w:rsidR="00776A1F" w:rsidRDefault="00D8574B">
      <w:pPr>
        <w:pStyle w:val="P68B1DB1-Normal4"/>
        <w:numPr>
          <w:ilvl w:val="1"/>
          <w:numId w:val="44"/>
        </w:numPr>
        <w:spacing w:before="40" w:after="160" w:line="259" w:lineRule="auto"/>
        <w:contextualSpacing/>
        <w:jc w:val="both"/>
        <w:rPr>
          <w:rFonts w:eastAsiaTheme="minorEastAsia" w:cs="Times New Roman"/>
          <w:noProof/>
        </w:rPr>
      </w:pPr>
      <w:r>
        <w:rPr>
          <w:noProof/>
        </w:rPr>
        <w:t>sadarbības partnerības, kas veicina plašu augstākās izglītības kursu piedāvājumu, tostarp īsus mācību kursus, bakalaura kursus, maģistra un doktora grādus;</w:t>
      </w:r>
    </w:p>
    <w:p w14:paraId="425A7F13" w14:textId="77777777" w:rsidR="00776A1F" w:rsidRDefault="00D8574B">
      <w:pPr>
        <w:pStyle w:val="P68B1DB1-Normal4"/>
        <w:numPr>
          <w:ilvl w:val="1"/>
          <w:numId w:val="44"/>
        </w:numPr>
        <w:spacing w:before="40" w:after="160" w:line="259" w:lineRule="auto"/>
        <w:contextualSpacing/>
        <w:jc w:val="both"/>
        <w:rPr>
          <w:rFonts w:eastAsiaTheme="minorEastAsia" w:cs="Times New Roman"/>
          <w:noProof/>
        </w:rPr>
      </w:pPr>
      <w:r>
        <w:rPr>
          <w:noProof/>
        </w:rPr>
        <w:t>palielināt piedāvājumu īstermiņa augsta līmeņa profesionālajiem kursiem, ko pārvalda politehniskas augstākās izglītības iestādes, cieši sadarbojoties ar publiskām un privātām struktūrām;</w:t>
      </w:r>
    </w:p>
    <w:p w14:paraId="24C9D18C" w14:textId="77777777" w:rsidR="00776A1F" w:rsidRDefault="00D8574B">
      <w:pPr>
        <w:pStyle w:val="P68B1DB1-Normal4"/>
        <w:keepNext/>
        <w:numPr>
          <w:ilvl w:val="1"/>
          <w:numId w:val="44"/>
        </w:numPr>
        <w:spacing w:before="40" w:after="160" w:line="259" w:lineRule="auto"/>
        <w:contextualSpacing/>
        <w:jc w:val="both"/>
        <w:rPr>
          <w:rFonts w:eastAsiaTheme="minorEastAsia" w:cs="Times New Roman"/>
          <w:noProof/>
        </w:rPr>
      </w:pPr>
      <w:r>
        <w:rPr>
          <w:noProof/>
        </w:rPr>
        <w:t>turpināt paplašināt terciārās izglītības atbalsta bāzi, atvieglojot piekļuvi augstākās izglītības iestādēm vidusskolas studentiem no profesionālajām un mākslas jomām;</w:t>
      </w:r>
    </w:p>
    <w:p w14:paraId="6D78B2EF" w14:textId="77777777" w:rsidR="00776A1F" w:rsidRDefault="00D8574B">
      <w:pPr>
        <w:pStyle w:val="P68B1DB1-Normal4"/>
        <w:keepNext/>
        <w:numPr>
          <w:ilvl w:val="1"/>
          <w:numId w:val="44"/>
        </w:numPr>
        <w:spacing w:before="40" w:after="160" w:line="259" w:lineRule="auto"/>
        <w:contextualSpacing/>
        <w:jc w:val="both"/>
        <w:rPr>
          <w:rFonts w:eastAsiaTheme="minorEastAsia" w:cs="Times New Roman"/>
          <w:noProof/>
        </w:rPr>
      </w:pPr>
      <w:r>
        <w:rPr>
          <w:noProof/>
        </w:rPr>
        <w:t>ciešā sadarbībā ar publiskām un privātām struktūrām stiprināt uzņemšanu augstākās izglītības kursos digitālajās jomās, jo īpaši izmantojot programmu Portugal Digital InCoDe2030;</w:t>
      </w:r>
    </w:p>
    <w:p w14:paraId="4A757B2D" w14:textId="77777777" w:rsidR="00776A1F" w:rsidRDefault="00D8574B">
      <w:pPr>
        <w:pStyle w:val="P68B1DB1-Normal4"/>
        <w:keepNext/>
        <w:numPr>
          <w:ilvl w:val="1"/>
          <w:numId w:val="44"/>
        </w:numPr>
        <w:spacing w:before="40" w:after="160" w:line="259" w:lineRule="auto"/>
        <w:contextualSpacing/>
        <w:jc w:val="both"/>
        <w:rPr>
          <w:rFonts w:eastAsiaTheme="minorEastAsia" w:cs="Times New Roman"/>
          <w:noProof/>
        </w:rPr>
      </w:pPr>
      <w:r>
        <w:rPr>
          <w:noProof/>
        </w:rPr>
        <w:t>ciešā sadarbībā ar publiskām un privātām struktūrām stimulēt modulāru apmācību, kas veicina nepārtrauktu mācīšanos un jaunu prasmju apguvi ar “mikroapliecinājumiem/mikrodiplomiem”;</w:t>
      </w:r>
    </w:p>
    <w:p w14:paraId="18034D09" w14:textId="77777777" w:rsidR="00776A1F" w:rsidRDefault="00D8574B">
      <w:pPr>
        <w:pStyle w:val="P68B1DB1-Normal4"/>
        <w:keepNext/>
        <w:numPr>
          <w:ilvl w:val="1"/>
          <w:numId w:val="44"/>
        </w:numPr>
        <w:spacing w:before="40" w:after="160" w:line="259" w:lineRule="auto"/>
        <w:contextualSpacing/>
        <w:jc w:val="both"/>
        <w:rPr>
          <w:rFonts w:eastAsiaTheme="minorEastAsia" w:cs="Times New Roman"/>
          <w:noProof/>
        </w:rPr>
      </w:pPr>
      <w:r>
        <w:rPr>
          <w:noProof/>
        </w:rPr>
        <w:t>paplašināt sadarbību starp augstākās izglītības iestādēm un laboratorijām un tehnoloģiskās saskarnes centriem;</w:t>
      </w:r>
    </w:p>
    <w:p w14:paraId="51AF0405" w14:textId="77777777" w:rsidR="00776A1F" w:rsidRDefault="00D8574B">
      <w:pPr>
        <w:pStyle w:val="P68B1DB1-Normal4"/>
        <w:keepNext/>
        <w:numPr>
          <w:ilvl w:val="1"/>
          <w:numId w:val="42"/>
        </w:numPr>
        <w:spacing w:before="40" w:after="160" w:line="259" w:lineRule="auto"/>
        <w:contextualSpacing/>
        <w:jc w:val="both"/>
        <w:rPr>
          <w:rFonts w:eastAsiaTheme="minorEastAsia" w:cs="Times New Roman"/>
          <w:noProof/>
        </w:rPr>
      </w:pPr>
      <w:r>
        <w:rPr>
          <w:noProof/>
        </w:rPr>
        <w:t>juridiskā statusa grozījums, lai precizētu nosacījumus, saskaņā ar kuriem ārējs speciālists var veikt mācīšanas vai vadības pienākumus augstākās izglītības iestādēs, lai veicinātu mobilitāti starp akadēmiskajām un uzņēmējdarbības aprindām; un</w:t>
      </w:r>
    </w:p>
    <w:p w14:paraId="423A2509" w14:textId="77777777" w:rsidR="00776A1F" w:rsidRDefault="00D8574B">
      <w:pPr>
        <w:pStyle w:val="P68B1DB1-Normal4"/>
        <w:keepNext/>
        <w:numPr>
          <w:ilvl w:val="1"/>
          <w:numId w:val="42"/>
        </w:numPr>
        <w:spacing w:before="40" w:after="160" w:line="259" w:lineRule="auto"/>
        <w:contextualSpacing/>
        <w:jc w:val="both"/>
        <w:rPr>
          <w:rFonts w:eastAsiaTheme="minorEastAsia" w:cs="Times New Roman"/>
          <w:noProof/>
        </w:rPr>
      </w:pPr>
      <w:r>
        <w:rPr>
          <w:noProof/>
        </w:rPr>
        <w:t>stiprināt konsorciju tiesisko regulējumu ar dalītu pārvaldību starp augstākās izglītības iestādēm un uzņēmumiem.</w:t>
      </w:r>
    </w:p>
    <w:p w14:paraId="4BAB8F5A"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2021. gada 30. jūnijam.</w:t>
      </w:r>
    </w:p>
    <w:p w14:paraId="0FA75BAC"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RE-r16: Ierobežojumu samazināšana stingri regulētās profesijās</w:t>
      </w:r>
    </w:p>
    <w:p w14:paraId="22747F26" w14:textId="77777777" w:rsidR="00776A1F" w:rsidRDefault="00D8574B">
      <w:pPr>
        <w:pStyle w:val="P68B1DB1-Normal4"/>
        <w:spacing w:before="40" w:after="0" w:line="259" w:lineRule="auto"/>
        <w:jc w:val="both"/>
        <w:rPr>
          <w:rFonts w:eastAsiaTheme="minorEastAsia" w:cs="Times New Roman"/>
          <w:noProof/>
        </w:rPr>
      </w:pPr>
      <w:r>
        <w:rPr>
          <w:noProof/>
        </w:rPr>
        <w:t xml:space="preserve">Šīs reformas mērķis ir samazināt ierobežojumus stingri reglamentētās profesijās, galvenokārt, lai veicinātu konkurenci uzņēmējdarbības pakalpojumu sniegšanā. </w:t>
      </w:r>
    </w:p>
    <w:p w14:paraId="6A3E87FA" w14:textId="77777777" w:rsidR="00776A1F" w:rsidRDefault="00D8574B">
      <w:pPr>
        <w:pStyle w:val="P68B1DB1-Normal4"/>
        <w:spacing w:before="40" w:after="0" w:line="259" w:lineRule="auto"/>
        <w:jc w:val="both"/>
        <w:rPr>
          <w:rFonts w:eastAsiaTheme="minorEastAsia" w:cs="Times New Roman"/>
          <w:noProof/>
        </w:rPr>
      </w:pPr>
      <w:r>
        <w:rPr>
          <w:noProof/>
        </w:rPr>
        <w:t xml:space="preserve">ESAO 2018. gadā sadarbībā ar Portugāles Konkurences iestādi (AdC) veica novērtējumu ierobežotam skaitam pašregulētu profesiju, piemēram, juristiem, advokātiem, inženieriem, arhitektiem, revidentiem, grāmatvežiem, ekonomistiem, farmaceitiem un uztura speciālistiem. Pamatojoties uz veikto novērtējumu, tika sagatavots ieteikumu saraksts. Ar šo reformu Portugāle ņem vērā ESAO un AdC ieteikumus. </w:t>
      </w:r>
    </w:p>
    <w:p w14:paraId="7BF38458" w14:textId="5F5B573E" w:rsidR="00776A1F" w:rsidRDefault="00D8574B">
      <w:pPr>
        <w:pStyle w:val="P68B1DB1-Normal4"/>
        <w:spacing w:before="40" w:after="0" w:line="259" w:lineRule="auto"/>
        <w:jc w:val="both"/>
        <w:rPr>
          <w:rFonts w:eastAsiaTheme="minorEastAsia" w:cs="Times New Roman"/>
          <w:noProof/>
        </w:rPr>
      </w:pPr>
      <w:r>
        <w:rPr>
          <w:noProof/>
        </w:rPr>
        <w:t xml:space="preserve">Reformā vismaz: nodalīt regulējuma un pārstāvības funkcijas profesionālajās apvienībās; samazināt rezervēto darbību sarakstu (piekļuve rezervētajām darbībām var tikt ierobežota tikai konstitucionālo interešu aizsardzībai saskaņā ar nepieciešamības un proporcionalitātes principiem); izbeigt ierobežojumus attiecībā uz uzņēmējdarbības pakalpojumu uzņēmumu īpašumtiesībām un pārvaldību, ja vadītāji ievēro tiesisko režīmu “interešu konflikta” novēršanai; un iv) atļaut daudznozaru uzņēmējdarbības pakalpojumu uzņēmumus. </w:t>
      </w:r>
    </w:p>
    <w:p w14:paraId="48290DD8" w14:textId="77777777" w:rsidR="00776A1F" w:rsidRDefault="00D8574B">
      <w:pPr>
        <w:pStyle w:val="P68B1DB1-Normal4"/>
        <w:spacing w:before="40" w:after="0" w:line="259" w:lineRule="auto"/>
        <w:jc w:val="both"/>
        <w:rPr>
          <w:rFonts w:eastAsiaTheme="minorEastAsia" w:cs="Times New Roman"/>
          <w:noProof/>
        </w:rPr>
      </w:pPr>
      <w:r>
        <w:rPr>
          <w:noProof/>
        </w:rPr>
        <w:t xml:space="preserve">AdC tiks arī uzdots sniegt ziņojumu par jaunā likuma par reglamentētajām profesijām efektivitāti. </w:t>
      </w:r>
    </w:p>
    <w:p w14:paraId="6A04E445" w14:textId="77777777" w:rsidR="00776A1F" w:rsidRDefault="00D8574B">
      <w:pPr>
        <w:pStyle w:val="P68B1DB1-Normal4"/>
        <w:spacing w:before="40" w:after="0" w:line="259" w:lineRule="auto"/>
        <w:jc w:val="both"/>
        <w:rPr>
          <w:rFonts w:eastAsiaTheme="minorEastAsia" w:cs="Times New Roman"/>
          <w:noProof/>
        </w:rPr>
      </w:pPr>
      <w:r>
        <w:rPr>
          <w:noProof/>
        </w:rPr>
        <w:t>Reformas īstenošanu pabeidz līdz 2022. gada 31. decembrim.</w:t>
      </w:r>
    </w:p>
    <w:p w14:paraId="58B60BDF"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RE-r17: Programma pienācīgas kvalitātes nodarbinātības veicināšanai</w:t>
      </w:r>
    </w:p>
    <w:p w14:paraId="5AF25DED" w14:textId="77777777" w:rsidR="00776A1F" w:rsidRDefault="00D8574B">
      <w:pPr>
        <w:pStyle w:val="P68B1DB1-Normal4"/>
        <w:spacing w:before="40" w:after="0" w:line="259" w:lineRule="auto"/>
        <w:jc w:val="both"/>
        <w:rPr>
          <w:rFonts w:eastAsiaTheme="minorEastAsia" w:cs="Times New Roman"/>
          <w:noProof/>
        </w:rPr>
      </w:pPr>
      <w:r>
        <w:rPr>
          <w:noProof/>
        </w:rPr>
        <w:t>Šīs reformas mērķis ir balstīties uz pēdējos gados pieņemtajiem pasākumiem (piemēram, pasākumiem, kas vērsti uz darba tirgus segmentāciju un darba koplīguma slēgšanas sarunu veicināšanu), lai aizsargātu darba tiesības.</w:t>
      </w:r>
    </w:p>
    <w:p w14:paraId="1EF0875A" w14:textId="7D73539B" w:rsidR="00776A1F" w:rsidRDefault="00D8574B">
      <w:pPr>
        <w:pStyle w:val="P68B1DB1-Normal4"/>
        <w:spacing w:before="40" w:after="0" w:line="259" w:lineRule="auto"/>
        <w:jc w:val="both"/>
        <w:rPr>
          <w:rFonts w:eastAsiaTheme="minorEastAsia" w:cs="Times New Roman"/>
          <w:noProof/>
        </w:rPr>
      </w:pPr>
      <w:r>
        <w:rPr>
          <w:noProof/>
        </w:rPr>
        <w:t xml:space="preserve">Pēc tam, kad valdība būs iepazīstinājusi ar Zaļo grāmatu par darba nākotni, šī reforma ietver tiesību aktu, ar ko reglamentē platformu darbu, lai risinātu jaunās problēmas, ko rada netipiskas darba attiecības, saskaņā ar Eiropas sociālo tiesību pīlāra principiem. Tā stiprina darba attiecību kvalitāti un uzlabo piekļuvi tiesībām un sociālajai aizsardzībai. </w:t>
      </w:r>
    </w:p>
    <w:p w14:paraId="0255E56D"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2023. gada 31. martam.</w:t>
      </w:r>
    </w:p>
    <w:p w14:paraId="344F2E16"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RE-r18: Sieviešu un vīriešu nevienlīdzības apkarošana</w:t>
      </w:r>
    </w:p>
    <w:p w14:paraId="5CA7D144" w14:textId="77777777" w:rsidR="00776A1F" w:rsidRDefault="00D8574B">
      <w:pPr>
        <w:pStyle w:val="P68B1DB1-Normal4"/>
        <w:spacing w:before="40" w:after="0" w:line="259" w:lineRule="auto"/>
        <w:jc w:val="both"/>
        <w:rPr>
          <w:rFonts w:eastAsiaTheme="minorEastAsia" w:cs="Times New Roman"/>
          <w:noProof/>
        </w:rPr>
      </w:pPr>
      <w:r>
        <w:rPr>
          <w:noProof/>
        </w:rPr>
        <w:t>Šīs reformas mērķis ir veicināt vīriešu un sieviešu darba samaksas vienlīdzību, vienlīdzīgas karjeras iespējas un novērst dzimumu stereotipus un segregāciju profesionālās karjeras izvēlē. Tas lielā mērā balstās uz spēkā esošajiem tiesību aktiem, jo īpaši par vienādu darba samaksu (Likums Nr. 60/2018), un uz līdzsvarotu pārstāvību valdēs (Likums Nr. 62/2017 un Nr. 26/2019).</w:t>
      </w:r>
    </w:p>
    <w:p w14:paraId="6089F955" w14:textId="6C5F614E" w:rsidR="00776A1F" w:rsidRDefault="00D8574B">
      <w:pPr>
        <w:pStyle w:val="P68B1DB1-Normal4"/>
        <w:spacing w:before="40" w:after="0" w:line="259" w:lineRule="auto"/>
        <w:jc w:val="both"/>
        <w:rPr>
          <w:rFonts w:eastAsiaTheme="minorEastAsia" w:cs="Times New Roman"/>
          <w:noProof/>
        </w:rPr>
      </w:pPr>
      <w:r>
        <w:rPr>
          <w:noProof/>
        </w:rPr>
        <w:t xml:space="preserve">Ar tiesību aktiem par vienādu darba samaksu tika izveidoti mehānismi, lai īstenotu principu, ka par vienādu vai vienādi vērtīgu darbu saņem vienādu darba samaksu, liekot uzņēmumiem īstenot pārredzamu atalgojuma politiku. Sākot no 2021. gada, Nodarbinātības un sociālā nodrošinājuma ministrijas departaments ir sagatavojis ziņojumu par vīriešu un sieviešu darba samaksas atšķirībām katram uzņēmumam, kurā ir vairāk nekā 50 darbinieku, aptverot vīriešu un sieviešu darba samaksas atšķirības. </w:t>
      </w:r>
    </w:p>
    <w:p w14:paraId="2D14154A" w14:textId="2BB01CB6" w:rsidR="00776A1F" w:rsidRDefault="00D8574B">
      <w:pPr>
        <w:pStyle w:val="P68B1DB1-Normal4"/>
        <w:spacing w:before="40" w:after="0" w:line="259" w:lineRule="auto"/>
        <w:jc w:val="both"/>
        <w:rPr>
          <w:rFonts w:eastAsiaTheme="minorEastAsia" w:cs="Times New Roman"/>
          <w:noProof/>
        </w:rPr>
      </w:pPr>
      <w:r>
        <w:rPr>
          <w:noProof/>
        </w:rPr>
        <w:t xml:space="preserve">No 2025. gada uzņēmumiem, kuros ir vairāk nekā 50 darba ņēmēju un kuriem ir būtiskas atšķirības vīriešu un sieviešu darba samaksas līmeņos par vienu un to pašu darbu, ir pienākums iesniegt Darba inspekcijas direktorātam rīcības plānu šo atšķirību novēršanai, īstenojot rīcības plānu. </w:t>
      </w:r>
    </w:p>
    <w:p w14:paraId="76818DD3" w14:textId="77777777" w:rsidR="00776A1F" w:rsidRDefault="00D8574B">
      <w:pPr>
        <w:pStyle w:val="P68B1DB1-Normal4"/>
        <w:spacing w:before="40" w:after="0" w:line="259" w:lineRule="auto"/>
        <w:jc w:val="both"/>
        <w:rPr>
          <w:rFonts w:eastAsiaTheme="minorEastAsia" w:cs="Times New Roman"/>
          <w:noProof/>
        </w:rPr>
      </w:pPr>
      <w:r>
        <w:rPr>
          <w:noProof/>
        </w:rPr>
        <w:t>Reforma ietver arī brīvprātīgu shēmu, kuras pamatā ir Islandes norma ÍST 85: 2012. gads — sabiedrības atzinības nodrošināšana uzņēmumiem, kas ir efektīvi īstenojuši vienādas darba samaksas politiku. Sertifikātu izstrādā tā, lai apstiprinātu, ka, pieņemot lēmumus par algu, tie ir pilnībā pamatoti ar attiecīgiem apsvērumiem.</w:t>
      </w:r>
    </w:p>
    <w:p w14:paraId="632ABE9A" w14:textId="77777777" w:rsidR="00776A1F" w:rsidRDefault="00D8574B">
      <w:pPr>
        <w:pStyle w:val="P68B1DB1-Normal4"/>
        <w:spacing w:before="40" w:after="0" w:line="259" w:lineRule="auto"/>
        <w:jc w:val="both"/>
        <w:rPr>
          <w:rFonts w:eastAsiaTheme="minorEastAsia" w:cs="Times New Roman"/>
          <w:noProof/>
        </w:rPr>
      </w:pPr>
      <w:r>
        <w:rPr>
          <w:noProof/>
        </w:rPr>
        <w:t>Reformas īstenošanu pabeidz līdz 2024. gada 31. decembrim.</w:t>
      </w:r>
    </w:p>
    <w:p w14:paraId="79DF09F6" w14:textId="3D240655"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RE-C06-i01: Profesionālās izglītības un apmācības iestāžu modernizācija</w:t>
      </w:r>
    </w:p>
    <w:p w14:paraId="7C8E1168" w14:textId="2C3A9FEC" w:rsidR="00776A1F" w:rsidRDefault="00D8574B">
      <w:pPr>
        <w:pStyle w:val="P68B1DB1-Normal4"/>
        <w:jc w:val="both"/>
        <w:rPr>
          <w:rFonts w:eastAsiaTheme="minorEastAsia" w:cs="Times New Roman"/>
          <w:noProof/>
        </w:rPr>
      </w:pPr>
      <w:r>
        <w:rPr>
          <w:noProof/>
        </w:rPr>
        <w:t xml:space="preserve">Šā ieguldījuma mērķis ir izveidot un modernizēt specializētos tehnoloģiskos centrus valsts vidusskolās ar profesionāliem kursiem un arodskolās, kā arī privātās un kooperatīvās izglītības iestādēs, kas piedāvā profesionālo izglītību. Turklāt mērķi cita starpā ir paplašināt un modernizēt Valsts nodarbinātības dienesta (IEFP) profesionālās apmācības centru tīklu, Valsts tūrisma iestādes (Turismo de Portugal) skolu tīklu un padarīt apmācību atbilstošāku tirgum un pielāgot to vides, digitālajai, demogrāfiskajai un rūpnieciskajai pārveidei. </w:t>
      </w:r>
    </w:p>
    <w:p w14:paraId="713ECA79" w14:textId="77777777" w:rsidR="00776A1F" w:rsidRDefault="00D8574B">
      <w:pPr>
        <w:pStyle w:val="P68B1DB1-Normal4"/>
        <w:spacing w:before="40" w:after="0" w:line="259" w:lineRule="auto"/>
        <w:jc w:val="both"/>
        <w:rPr>
          <w:rFonts w:eastAsiaTheme="minorEastAsia" w:cs="Times New Roman"/>
          <w:noProof/>
        </w:rPr>
      </w:pPr>
      <w:r>
        <w:rPr>
          <w:noProof/>
        </w:rPr>
        <w:t xml:space="preserve">Šo ieguldījumu veido: </w:t>
      </w:r>
    </w:p>
    <w:p w14:paraId="65A279D3" w14:textId="59E91174" w:rsidR="00776A1F" w:rsidRDefault="00D8574B">
      <w:pPr>
        <w:pStyle w:val="P68B1DB1-Normal4"/>
        <w:numPr>
          <w:ilvl w:val="0"/>
          <w:numId w:val="43"/>
        </w:numPr>
        <w:spacing w:before="40" w:after="160" w:line="259" w:lineRule="auto"/>
        <w:ind w:left="714" w:hanging="357"/>
        <w:jc w:val="both"/>
        <w:rPr>
          <w:rFonts w:eastAsiaTheme="minorEastAsia" w:cs="Times New Roman"/>
          <w:noProof/>
        </w:rPr>
      </w:pPr>
      <w:r>
        <w:rPr>
          <w:noProof/>
        </w:rPr>
        <w:t>365 specializēto tehnoloģiju centru ierīkošana un modernizācija vidusskolās, kas piedāvā profesionālos kursus un profesionālās skolas, no kuriem 115 (rūpniecības centri), 30 (atjaunojamās enerģijas centri), 195 (datorzinātņu centri) un 25 (digitālie un multivides centri). Specializētos tehnoloģiju centrus pārvalda publiskā tīkla skolu vadītāji vai privātas struktūras. Šis ieguldījums ietver esošo iekārtu un infrastruktūras modernizāciju un atjaunošanu, kā arī tehnoloģisko izglītības resursu (aprīkojuma) iegūšanu, kā arī valsts nodarbinātības dienesta (IEFP) profesionālās izglītības centru tīkla paplašināšanu un modernizāciju vai nu tieši, vai izmantojot koncesijas, un Portugāles Valsts tūrisma iestādes (Turismo de Portugal) skolu tīkla paplašināšanu un modernizāciju. IEFP arodmācību centru tīkla aprīkojuma modernizācijas plāns ietver šādu iekārtu iegādi, proti: I) atjaunojamie energoresursi; rūpniecības digitalizācija; aeronautika; IV) tirdzniecības digitalizācija; un v) “zemes” simulatori. Paredzams, ka šis apakšieguldījums ļaus modernizēt 22000 mācību vietas.</w:t>
      </w:r>
    </w:p>
    <w:p w14:paraId="5288888F" w14:textId="77777777" w:rsidR="00776A1F" w:rsidRDefault="00D8574B">
      <w:pPr>
        <w:pStyle w:val="P68B1DB1-Normal4"/>
        <w:spacing w:before="120" w:after="0" w:line="259" w:lineRule="auto"/>
        <w:jc w:val="both"/>
        <w:rPr>
          <w:rFonts w:eastAsiaTheme="minorEastAsia" w:cs="Times New Roman"/>
          <w:noProof/>
        </w:rPr>
      </w:pPr>
      <w:r>
        <w:rPr>
          <w:noProof/>
        </w:rPr>
        <w:t>Ieguldījumu īstenošanu pabeidz līdz 2025. gada 31. decembrim.</w:t>
      </w:r>
    </w:p>
    <w:p w14:paraId="5AEBBD6D" w14:textId="0B50F649"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RE-C06-i02: Ilgtspējīgas nodarbinātības saistības</w:t>
      </w:r>
    </w:p>
    <w:p w14:paraId="20CED285" w14:textId="5D4F76FD" w:rsidR="00776A1F" w:rsidRDefault="00D8574B">
      <w:pPr>
        <w:pStyle w:val="P68B1DB1-Normal4"/>
        <w:spacing w:before="40" w:after="0" w:line="259" w:lineRule="auto"/>
        <w:jc w:val="both"/>
        <w:rPr>
          <w:rFonts w:eastAsiaTheme="minorEastAsia" w:cs="Times New Roman"/>
          <w:noProof/>
        </w:rPr>
      </w:pPr>
      <w:r>
        <w:rPr>
          <w:noProof/>
        </w:rPr>
        <w:t>Šā ieguldījuma mērķi ir izveidot pastāvīgus un kvalitatīvus darba līgumus saskaņā ar Ilgtspējīgas nodarbinātības saistību programmu un samazināt darba tirgus segmentāciju starp visām grupām, tostarp jauniešiem.</w:t>
      </w:r>
    </w:p>
    <w:p w14:paraId="396EFC94" w14:textId="3882AB7D" w:rsidR="00776A1F" w:rsidRDefault="00D8574B">
      <w:pPr>
        <w:pStyle w:val="P68B1DB1-Normal4"/>
        <w:spacing w:before="40" w:after="0" w:line="259" w:lineRule="auto"/>
        <w:jc w:val="both"/>
        <w:rPr>
          <w:rFonts w:eastAsiaTheme="minorEastAsia" w:cs="Times New Roman"/>
          <w:noProof/>
        </w:rPr>
      </w:pPr>
      <w:r>
        <w:rPr>
          <w:noProof/>
        </w:rPr>
        <w:t xml:space="preserve">Lai paātrinātu atgriešanos darbā, darba devējiem tiek piešķirtas pagaidu subsīdijas apmaiņā pret beztermiņa darba līgumu piedāvāšanu, maksājot adekvātas algas. Par katru izveidoto darba vietu darba devējs saņem vismaz EUR 5266 (12 reizes lielāks par sociālā atbalsta indeksu, kas kalpo par atsauci dažādu sociālā nodrošinājuma pabalstu aprēķināšanai). Šo summu var palielināt atkarībā no darba tirgus, tostarp dažādu mērķauditoriju, jo īpaši jauniešu, attīstības un vajadzībām, kā noteikts Ilgtspējīgas nodarbinātības saistībās (-Valdības rīkojums Nr. 38/2022, ar grozījumiem). Palielinājumi ir kumulatīvi saskaņā ar iepriekš minēto valdības rīkojumu. . Turklāt finansiālo atbalstu varētu papildināt, lai pieņemtu darbā personu no nepietiekami pārstāvētā dzimuma šajā profesijā. Papildinājumi ir kumulatīvi. Turklāt darba devēji saņem atbalstu 50 % apmērā no viņu sociālā nodrošinājuma iemaksām viena gada laikā (14 mēneši). Paredzams, ka šis pasākums atbalstīs 30000 pastāvīgu darbvietu radīšanu. Paredzams, ka pasākums ilgs vienu gadu, bet to varētu pagarināt vēl par diviem gadiem. Ņemot vērā nepieciešamību nodrošināt privātā sektora līdzdalību shēmā, tās īstenošana sākas ekonomikas atveseļošanās brīdī. </w:t>
      </w:r>
    </w:p>
    <w:p w14:paraId="71DC7F72" w14:textId="07F99994"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2024. gada 31. decembrim.</w:t>
      </w:r>
    </w:p>
    <w:p w14:paraId="331235C5"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RE-C06-i03: Pieaugušo stimuls</w:t>
      </w:r>
    </w:p>
    <w:p w14:paraId="5CA59C0F" w14:textId="0D857AF7" w:rsidR="00776A1F" w:rsidRDefault="00D8574B">
      <w:pPr>
        <w:pStyle w:val="P68B1DB1-Normal4"/>
        <w:spacing w:before="40" w:after="0" w:line="259" w:lineRule="auto"/>
        <w:jc w:val="both"/>
        <w:rPr>
          <w:rFonts w:eastAsiaTheme="minorEastAsia" w:cs="Times New Roman"/>
          <w:noProof/>
        </w:rPr>
      </w:pPr>
      <w:r>
        <w:rPr>
          <w:noProof/>
        </w:rPr>
        <w:t xml:space="preserve">Šā ieguldījuma mērķis ir īstenot daudzpusīgu pieeju, lai palielinātu kvalifikāciju pieaugušajiem vecumā no 18 gadiem, kas ietver: veicināt pieaugušo izglītību, paplašinot valsts pieaugušo prasmju plānu, lai uzlabotu rakstpratību, rēķinpratību un digitālās prasmes; palielināt pieaugušo līdzdalības un pabeigtības rādītājus kompetenču atzīšanas, validēšanas un sertificēšanas (RVCC) procesos; un iii) attīstīt terciārās izglītības piedāvājumus pieaugušajiem, piemēram, īstermiņa kursus. </w:t>
      </w:r>
    </w:p>
    <w:p w14:paraId="5860CEF4" w14:textId="3F0B0075" w:rsidR="00776A1F" w:rsidRDefault="00D8574B">
      <w:pPr>
        <w:pStyle w:val="P68B1DB1-Normal4"/>
        <w:keepNext/>
        <w:spacing w:before="40" w:after="0" w:line="259" w:lineRule="auto"/>
        <w:jc w:val="both"/>
        <w:rPr>
          <w:rFonts w:eastAsiaTheme="minorEastAsia" w:cs="Times New Roman"/>
          <w:noProof/>
        </w:rPr>
      </w:pPr>
      <w:r>
        <w:rPr>
          <w:noProof/>
        </w:rPr>
        <w:t xml:space="preserve">Šo ieguldījumu veido: </w:t>
      </w:r>
    </w:p>
    <w:p w14:paraId="14F048E0" w14:textId="77777777" w:rsidR="00776A1F" w:rsidRDefault="00D8574B">
      <w:pPr>
        <w:pStyle w:val="P68B1DB1-Normal4"/>
        <w:keepNext/>
        <w:numPr>
          <w:ilvl w:val="0"/>
          <w:numId w:val="45"/>
        </w:numPr>
        <w:spacing w:before="40" w:after="160" w:line="259" w:lineRule="auto"/>
        <w:contextualSpacing/>
        <w:jc w:val="both"/>
        <w:rPr>
          <w:rFonts w:eastAsiaTheme="minorEastAsia" w:cs="Times New Roman"/>
          <w:noProof/>
        </w:rPr>
      </w:pPr>
      <w:r>
        <w:rPr>
          <w:i/>
          <w:noProof/>
        </w:rPr>
        <w:t>Qualifica programmas ietvaros tiek paplašināts</w:t>
      </w:r>
      <w:r>
        <w:rPr>
          <w:noProof/>
        </w:rPr>
        <w:t xml:space="preserve"> valsts pieaugušo izglītības plāns, īstenojot 225 vietējos projektus, kuru rezultātā tiek sasniegts B1/B2/B3 līmenis. Šo pasākumu pārvalda Valsts kvalifikāciju un profesionālās izglītības un apmācības aģentūra (ANQEP). Katrs projekts spēj atvērt 100 vakanču, un dalībnieku kopējais skaits ir aptuveni 22500 cilvēku. Papildus pedagoģiskā aprīkojuma un palīgmateriālu iegādei un mācību personāla apmaksai šis apakšieguldījums vajadzības gadījumā nodrošina dažas subsīdijas dalībniekiem, viņu darba devējiem un kopienas starpniekiem;</w:t>
      </w:r>
    </w:p>
    <w:p w14:paraId="612871DF" w14:textId="0B0AB797" w:rsidR="00776A1F" w:rsidRDefault="00D8574B">
      <w:pPr>
        <w:pStyle w:val="P68B1DB1-Normal4"/>
        <w:keepNext/>
        <w:numPr>
          <w:ilvl w:val="0"/>
          <w:numId w:val="45"/>
        </w:numPr>
        <w:spacing w:before="40" w:after="160" w:line="259" w:lineRule="auto"/>
        <w:contextualSpacing/>
        <w:jc w:val="both"/>
        <w:rPr>
          <w:rFonts w:eastAsiaTheme="minorEastAsia" w:cs="Times New Roman"/>
          <w:noProof/>
        </w:rPr>
      </w:pPr>
      <w:r>
        <w:rPr>
          <w:i/>
          <w:noProof/>
        </w:rPr>
        <w:t>Qualifica</w:t>
      </w:r>
      <w:r>
        <w:rPr>
          <w:noProof/>
        </w:rPr>
        <w:t xml:space="preserve"> programmas ietvaros aceleradors ir jauns </w:t>
      </w:r>
      <w:r>
        <w:rPr>
          <w:i/>
          <w:noProof/>
        </w:rPr>
        <w:t>pasākums</w:t>
      </w:r>
      <w:r>
        <w:rPr>
          <w:noProof/>
        </w:rPr>
        <w:t>, lai sniegtu finansiālu atbalstu pieaugušajiem viņu RVCC procesu laikā. Šo pasākumu pārvalda Valsts kvalifikācijas un profesionālās izglītības un apmācības aģentūra (ANQEP). Katrs pieaugušais, kas piedalās, saņem finansiālu atbalstu līdz 1,25 IRD. Tiek lēsts, ka kopējais RVCC procesu dalībnieku skaits ir 100000;</w:t>
      </w:r>
    </w:p>
    <w:p w14:paraId="67A55033" w14:textId="77777777" w:rsidR="00776A1F" w:rsidRDefault="00D8574B">
      <w:pPr>
        <w:pStyle w:val="P68B1DB1-Normal4"/>
        <w:keepNext/>
        <w:numPr>
          <w:ilvl w:val="0"/>
          <w:numId w:val="45"/>
        </w:numPr>
        <w:spacing w:before="40" w:after="160" w:line="259" w:lineRule="auto"/>
        <w:contextualSpacing/>
        <w:jc w:val="both"/>
        <w:rPr>
          <w:rFonts w:eastAsiaTheme="minorEastAsia" w:cs="Times New Roman"/>
          <w:noProof/>
        </w:rPr>
      </w:pPr>
      <w:r>
        <w:rPr>
          <w:noProof/>
        </w:rPr>
        <w:t>sadarbības tīklu veicināšana starp augstākās izglītības iestādēm, uzņēmumiem un citām ieinteresētajām personām, atbalstot jaunas pēcdiploma skolas/programmas/alliances, saistībā ar kopīgām sadarbības programmām, kas ietver izglītības, pētniecības un inovācijas pasākumus, un iniciatīvas, lai izstrādātu īstermiņa augstākās izglītības kursus, kuru mērķis ir uzlabot mūžizglītību (pārkvalificēšana un prasmju pilnveide). Ieguldījumu veido dotācijas integrētu programmu īstenošanai, lai 2021.–2025. gadā iesaistītu kopumā 23000 studentus, ietverot ierīkošanas un aprīkojuma izmaksas, atbalstu studentiem un augstākās izglītības iestāžu izdevumus, kas saistīti ar kursu nodrošināšanu. Konsorcijus atlasa atklātā konkursā.</w:t>
      </w:r>
    </w:p>
    <w:p w14:paraId="4C02ACB6" w14:textId="77777777"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2025. gada 31. decembrim.</w:t>
      </w:r>
    </w:p>
    <w:p w14:paraId="1DA8A972" w14:textId="293B4D84"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RE-C06-i04: Impulss jauniešiem — STEAM</w:t>
      </w:r>
    </w:p>
    <w:p w14:paraId="6A794065" w14:textId="77777777" w:rsidR="00776A1F" w:rsidRDefault="00D8574B">
      <w:pPr>
        <w:pStyle w:val="P68B1DB1-Normal4"/>
        <w:spacing w:before="40" w:after="0" w:line="259" w:lineRule="auto"/>
        <w:jc w:val="both"/>
        <w:rPr>
          <w:rFonts w:eastAsiaTheme="minorEastAsia" w:cs="Times New Roman"/>
          <w:noProof/>
        </w:rPr>
      </w:pPr>
      <w:r>
        <w:rPr>
          <w:noProof/>
        </w:rPr>
        <w:t xml:space="preserve">Šā ieguldījuma mērķis ir: </w:t>
      </w:r>
    </w:p>
    <w:p w14:paraId="48A8558E" w14:textId="77777777" w:rsidR="00776A1F" w:rsidRDefault="00D8574B">
      <w:pPr>
        <w:pStyle w:val="P68B1DB1-Normal4"/>
        <w:keepNext/>
        <w:numPr>
          <w:ilvl w:val="0"/>
          <w:numId w:val="46"/>
        </w:numPr>
        <w:spacing w:before="40" w:after="160" w:line="259" w:lineRule="auto"/>
        <w:contextualSpacing/>
        <w:jc w:val="both"/>
        <w:rPr>
          <w:rFonts w:eastAsiaTheme="minorEastAsia" w:cs="Times New Roman"/>
          <w:noProof/>
        </w:rPr>
      </w:pPr>
      <w:r>
        <w:rPr>
          <w:noProof/>
        </w:rPr>
        <w:t>paaugstināt uzņemšanas rādītājus zinātnes, tehnoloģijas, inženierzinātņu, mākslas un matemātikas (STEAM) kursos, tostarp informācijas tehnoloģiju kursos; un</w:t>
      </w:r>
    </w:p>
    <w:p w14:paraId="7CE713E1" w14:textId="77777777" w:rsidR="00776A1F" w:rsidRDefault="00D8574B">
      <w:pPr>
        <w:pStyle w:val="P68B1DB1-Normal4"/>
        <w:keepNext/>
        <w:numPr>
          <w:ilvl w:val="0"/>
          <w:numId w:val="46"/>
        </w:numPr>
        <w:spacing w:before="40" w:after="160" w:line="259" w:lineRule="auto"/>
        <w:contextualSpacing/>
        <w:jc w:val="both"/>
        <w:rPr>
          <w:rFonts w:eastAsiaTheme="minorEastAsia" w:cs="Times New Roman"/>
          <w:noProof/>
        </w:rPr>
      </w:pPr>
      <w:r>
        <w:rPr>
          <w:noProof/>
        </w:rPr>
        <w:t>nodrošināt atbilstošas iespējas zinātnes izglītībai skolās, kas nav terciārās izglītības iestādes, lai palielinātu interesi par priekšmetiem, kas saistīti ar zinātni.</w:t>
      </w:r>
    </w:p>
    <w:p w14:paraId="42904022" w14:textId="6ABF32E6" w:rsidR="00776A1F" w:rsidRDefault="00D8574B">
      <w:pPr>
        <w:pStyle w:val="P68B1DB1-Normal4"/>
        <w:spacing w:before="40" w:after="0" w:line="259" w:lineRule="auto"/>
        <w:jc w:val="both"/>
        <w:rPr>
          <w:rFonts w:eastAsiaTheme="minorEastAsia" w:cs="Times New Roman"/>
          <w:noProof/>
        </w:rPr>
      </w:pPr>
      <w:r>
        <w:rPr>
          <w:noProof/>
        </w:rPr>
        <w:t>Šis pasākums ir paredzēts augstākās izglītības iestādēm (gan universitātēm, gan politehniķiem). Līdzekļus piešķir atklātā konkursā. Šis ieguldījums ietver programmu īstenošanu, ko veic augstākās izglītības iestādes (AII) partnerībā ar publiskā un/vai privātā sektora darba devējiem un citām ieinteresētajām personām, tostarp vidusskolām. Tās var izpausties kā skolas/programmas/apvienības kopīgu sadarbības programmu veidā, kas ietver izglītības, pētniecības un inovācijas pasākumus un iniciatīvas, kuru mērķis ir uzlabot sākotnējo augstāko izglītību un palielināt STEAM absolventu skaitu, piedāvājot pirmsdiploma un citus sākotnējās augstākās izglītības kursus (piemēram, augstākās tehniskās profesionālās izglītības kursus politehnikas gadījumā). Programmas ietver iekārtu modernizāciju un paplašināšanu, lai ņemtu vērā studentu skaita pieaugumu, studentu stimulus un citus AII izdevumus, kas saistīti ar kursu nodrošināšanu.</w:t>
      </w:r>
    </w:p>
    <w:p w14:paraId="1D9CCCC0" w14:textId="4B6ACEC1" w:rsidR="00776A1F" w:rsidRDefault="00D8574B">
      <w:pPr>
        <w:pStyle w:val="P68B1DB1-Normal4"/>
        <w:keepNext/>
        <w:spacing w:before="40" w:after="0" w:line="259" w:lineRule="auto"/>
        <w:jc w:val="both"/>
        <w:rPr>
          <w:rFonts w:eastAsiaTheme="minorEastAsia" w:cs="Times New Roman"/>
          <w:noProof/>
        </w:rPr>
      </w:pPr>
      <w:r>
        <w:rPr>
          <w:noProof/>
        </w:rPr>
        <w:t>Ieguldījumi arī uzlabo prasmes STEAM jomās, paplašinot klubu “Ciência Viva”, skolu klubu (no pamatskolas līdz vidusskolai) tīklu, galveno uzmanību pievēršot STEAM jomām, digitālajam saturam un materiāliem; veicināt partnerību starp skolām un pilsonisko sabiedrību, universitātēm un pētniecības centriem un organizēt seminārus un darbseminārus. Paredzams, ka tas atbalstīs vismaz 650 projektus.</w:t>
      </w:r>
    </w:p>
    <w:p w14:paraId="3B7F9040" w14:textId="77777777" w:rsidR="00776A1F" w:rsidRDefault="00D8574B">
      <w:pPr>
        <w:pStyle w:val="P68B1DB1-Normal4"/>
        <w:keepNext/>
        <w:spacing w:before="40" w:after="0" w:line="259" w:lineRule="auto"/>
        <w:contextualSpacing/>
        <w:jc w:val="both"/>
        <w:rPr>
          <w:rFonts w:eastAsiaTheme="minorEastAsia" w:cs="Times New Roman"/>
          <w:noProof/>
        </w:rPr>
      </w:pPr>
      <w:r>
        <w:rPr>
          <w:noProof/>
        </w:rPr>
        <w:t>Ieguldījumu īstenošanu pabeidz līdz 2025. gada 31. decembrim.</w:t>
      </w:r>
    </w:p>
    <w:p w14:paraId="27CDA957"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RE-C06-i05-RAA: Pieaugušo kvalifikācija un mūžizglītība (ARA)</w:t>
      </w:r>
    </w:p>
    <w:p w14:paraId="17E62A07" w14:textId="604971D4" w:rsidR="00776A1F" w:rsidRDefault="00D8574B">
      <w:pPr>
        <w:pStyle w:val="P68B1DB1-Normal4"/>
        <w:spacing w:before="40" w:after="0" w:line="259" w:lineRule="auto"/>
        <w:jc w:val="both"/>
        <w:rPr>
          <w:rFonts w:eastAsiaTheme="minorEastAsia" w:cs="Times New Roman"/>
          <w:noProof/>
        </w:rPr>
      </w:pPr>
      <w:r>
        <w:rPr>
          <w:noProof/>
        </w:rPr>
        <w:t>Šā ieguldījuma mērķis ir risināt nopietno problēmu, kas saistīta ar zemu kvalifikācijas līmeni Azoru salu autonomajā reģionā, salīdzinot gan ar Portugāli kopumā, gan ar Eiropas Savienību. Zemais kvalifikācijas līmenis ir būtisks šķērslis jaunu uzņēmumu izveidei un dažādošanai un ilgtspējīgai attīstībai, kas ir saistīta ar zemu ražīgumu un algām un noturības trūkumu ekonomikas krīzes laikā. Ieguldījumi konkrētu izglītības un apmācības vajadzību apmierināšanai Azoru salu autonomajā reģionā papildina ESF+ satvarā veiktās darbības, kas atspoguļotas attiecīgajā darbības programmā, par kuru notiek sarunas par daudzgadu finanšu shēmu 2021.–2027. gadam.</w:t>
      </w:r>
    </w:p>
    <w:p w14:paraId="73E70397" w14:textId="77777777" w:rsidR="00776A1F" w:rsidRDefault="00D8574B">
      <w:pPr>
        <w:pStyle w:val="P68B1DB1-Normal4"/>
        <w:spacing w:before="40" w:after="0" w:line="259" w:lineRule="auto"/>
        <w:jc w:val="both"/>
        <w:rPr>
          <w:rFonts w:eastAsiaTheme="minorEastAsia" w:cs="Times New Roman"/>
          <w:noProof/>
        </w:rPr>
      </w:pPr>
      <w:r>
        <w:rPr>
          <w:noProof/>
        </w:rPr>
        <w:t xml:space="preserve">Ieguldījumu veido: </w:t>
      </w:r>
    </w:p>
    <w:p w14:paraId="0081A8C7" w14:textId="6B92010D" w:rsidR="00776A1F" w:rsidRDefault="00D8574B">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pieaugušo skaita pieaugums pēcvidusskolas un terciārajā izglītībā; un </w:t>
      </w:r>
    </w:p>
    <w:p w14:paraId="09348395" w14:textId="5B3F3D0B" w:rsidR="00776A1F" w:rsidRDefault="00D8574B">
      <w:pPr>
        <w:pStyle w:val="P68B1DB1-Normal4"/>
        <w:keepNext/>
        <w:numPr>
          <w:ilvl w:val="0"/>
          <w:numId w:val="47"/>
        </w:numPr>
        <w:spacing w:before="40" w:after="160" w:line="259" w:lineRule="auto"/>
        <w:contextualSpacing/>
        <w:jc w:val="both"/>
        <w:rPr>
          <w:rFonts w:eastAsiaTheme="minorEastAsia" w:cs="Times New Roman"/>
          <w:noProof/>
        </w:rPr>
      </w:pPr>
      <w:r>
        <w:rPr>
          <w:noProof/>
        </w:rPr>
        <w:t>16 profesionālo skolu un viena valsts mācību institūta modernizācija</w:t>
      </w:r>
      <w:r>
        <w:rPr>
          <w:noProof/>
          <w:shd w:val="clear" w:color="auto" w:fill="E6E6E6"/>
        </w:rPr>
        <w:t>,</w:t>
      </w:r>
      <w:r>
        <w:rPr>
          <w:noProof/>
        </w:rPr>
        <w:t xml:space="preserve">kura struktūra un aprīkojums atbilst tehnoloģiju attīstībai, lai atjaunotu darbseminārus, laboratorijas un datortelpas un tādējādi ļautu pielāgoties darba tirgus pieprasījumam un vēl vairāk palielināt stažieru skaitu. </w:t>
      </w:r>
    </w:p>
    <w:p w14:paraId="3EA8A1D4" w14:textId="77777777"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2025. gada 31. decembrim.</w:t>
      </w:r>
    </w:p>
    <w:p w14:paraId="73AE8E57" w14:textId="266C243F" w:rsidR="00776A1F" w:rsidRDefault="00D8574B">
      <w:pPr>
        <w:pStyle w:val="P68B1DB1-Normal5"/>
        <w:keepNext/>
        <w:spacing w:before="240" w:after="0" w:line="259" w:lineRule="auto"/>
        <w:ind w:left="851"/>
        <w:jc w:val="both"/>
        <w:outlineLvl w:val="3"/>
        <w:rPr>
          <w:rFonts w:eastAsiaTheme="minorEastAsia" w:cs="Times New Roman"/>
          <w:noProof/>
        </w:rPr>
      </w:pPr>
      <w:bookmarkStart w:id="16" w:name="_Toc137472452"/>
      <w:r>
        <w:rPr>
          <w:noProof/>
        </w:rPr>
        <w:t>Ieguldījums RE-C06–06: Spējas zinātnē</w:t>
      </w:r>
      <w:bookmarkEnd w:id="16"/>
    </w:p>
    <w:p w14:paraId="37AD389E" w14:textId="3AE8A3DE" w:rsidR="00776A1F" w:rsidRDefault="00D8574B">
      <w:pPr>
        <w:pStyle w:val="P68B1DB1-Normal4"/>
        <w:spacing w:after="0" w:line="259" w:lineRule="auto"/>
        <w:jc w:val="both"/>
        <w:rPr>
          <w:rFonts w:eastAsia="Symbol" w:cs="Times New Roman"/>
          <w:noProof/>
        </w:rPr>
      </w:pPr>
      <w:r>
        <w:rPr>
          <w:noProof/>
        </w:rPr>
        <w:t>Šā ieguldījuma mērķis ir veicināt augstākās izglītības iestāžu (AII) inovācijas un uzņēmējdarbības ekosistēmas attīstību, atbalstot fundamentālos pētījumus, veicinot zināšanu nodošanu, internacionalizāciju, mazinot pētnieku nestabilitāti un stiprinot saikni starp uzņēmumiem un sabiedrību.</w:t>
      </w:r>
    </w:p>
    <w:p w14:paraId="75DA99F1" w14:textId="77777777" w:rsidR="00776A1F" w:rsidRDefault="00D8574B">
      <w:pPr>
        <w:pStyle w:val="P68B1DB1-Normal4"/>
        <w:spacing w:after="0" w:line="259" w:lineRule="auto"/>
        <w:jc w:val="both"/>
        <w:rPr>
          <w:rFonts w:cs="Times New Roman"/>
          <w:noProof/>
        </w:rPr>
      </w:pPr>
      <w:r>
        <w:rPr>
          <w:noProof/>
        </w:rPr>
        <w:t>Ieguldījums sastāv no šādiem apakšpasākumiem:</w:t>
      </w:r>
    </w:p>
    <w:p w14:paraId="5E50B945" w14:textId="77777777" w:rsidR="00776A1F" w:rsidRDefault="00D8574B">
      <w:pPr>
        <w:pStyle w:val="ListParagraph"/>
        <w:keepNext w:val="0"/>
        <w:numPr>
          <w:ilvl w:val="0"/>
          <w:numId w:val="74"/>
        </w:numPr>
        <w:spacing w:after="120" w:line="259" w:lineRule="auto"/>
        <w:rPr>
          <w:noProof/>
        </w:rPr>
      </w:pPr>
      <w:r>
        <w:rPr>
          <w:noProof/>
        </w:rPr>
        <w:t xml:space="preserve">Talantu iegūšanas un saglabāšanas programmas ERC-Portugāle un FCT-Tenure: </w:t>
      </w:r>
    </w:p>
    <w:p w14:paraId="59E07CAF" w14:textId="08745C36" w:rsidR="00776A1F" w:rsidRDefault="00D8574B">
      <w:pPr>
        <w:pStyle w:val="ListParagraph"/>
        <w:keepNext w:val="0"/>
        <w:numPr>
          <w:ilvl w:val="1"/>
          <w:numId w:val="74"/>
        </w:numPr>
        <w:spacing w:before="120" w:after="120" w:line="259" w:lineRule="auto"/>
        <w:rPr>
          <w:noProof/>
        </w:rPr>
      </w:pPr>
      <w:r>
        <w:rPr>
          <w:noProof/>
        </w:rPr>
        <w:t xml:space="preserve">FCT-Tenure: šī programma atbalsta 230 doktorantūras pētnieku pieņemšanu pastāvīgā amatā, kas izraudzīts konkursos. </w:t>
      </w:r>
    </w:p>
    <w:p w14:paraId="141C1FA4" w14:textId="77777777" w:rsidR="00776A1F" w:rsidRDefault="00D8574B">
      <w:pPr>
        <w:pStyle w:val="ListParagraph"/>
        <w:keepNext w:val="0"/>
        <w:numPr>
          <w:ilvl w:val="1"/>
          <w:numId w:val="74"/>
        </w:numPr>
        <w:spacing w:before="120" w:after="120" w:line="259" w:lineRule="auto"/>
        <w:rPr>
          <w:noProof/>
        </w:rPr>
      </w:pPr>
      <w:r>
        <w:rPr>
          <w:noProof/>
        </w:rPr>
        <w:t xml:space="preserve">ERC-Portugāle: šī programma atbalsta pētniekus, kuru projektus iesaka finansēt Eiropas vai valsts līmenī. Programma atbalsta arī pētniekus, kuru EPP pieteikumi tika ieteikti finansēšanai vai pārcelti uz novērtēšanas otro posmu, bet galu galā netika finansēti. </w:t>
      </w:r>
    </w:p>
    <w:p w14:paraId="15F696CB" w14:textId="77777777" w:rsidR="00776A1F" w:rsidRDefault="00D8574B">
      <w:pPr>
        <w:pStyle w:val="ListParagraph"/>
        <w:keepNext w:val="0"/>
        <w:numPr>
          <w:ilvl w:val="0"/>
          <w:numId w:val="74"/>
        </w:numPr>
        <w:spacing w:before="120" w:after="120" w:line="259" w:lineRule="auto"/>
        <w:rPr>
          <w:noProof/>
        </w:rPr>
      </w:pPr>
      <w:r>
        <w:rPr>
          <w:noProof/>
        </w:rPr>
        <w:t xml:space="preserve">Lielāks finansējums starptautiskajām partnerībām zinātnes, tehnoloģiju un inovācijas jomā: </w:t>
      </w:r>
    </w:p>
    <w:p w14:paraId="19879948" w14:textId="5E0AE6F1" w:rsidR="00776A1F" w:rsidRDefault="00D8574B">
      <w:pPr>
        <w:pStyle w:val="ListParagraph"/>
        <w:keepNext w:val="0"/>
        <w:numPr>
          <w:ilvl w:val="1"/>
          <w:numId w:val="74"/>
        </w:numPr>
        <w:spacing w:before="120" w:after="120" w:line="259" w:lineRule="auto"/>
        <w:rPr>
          <w:noProof/>
        </w:rPr>
      </w:pPr>
      <w:r>
        <w:rPr>
          <w:noProof/>
        </w:rPr>
        <w:t xml:space="preserve">Veicināt Portugāles dalību Eiropas Pētniecības un inovācijas pamatprogrammā, atbalstot Eiropas līmenī atlasītu projektu finansēšanu ar valsts līdzdalību; </w:t>
      </w:r>
    </w:p>
    <w:p w14:paraId="02102059" w14:textId="7DD9AFD1" w:rsidR="00776A1F" w:rsidRDefault="00D8574B">
      <w:pPr>
        <w:pStyle w:val="ListParagraph"/>
        <w:keepNext w:val="0"/>
        <w:numPr>
          <w:ilvl w:val="1"/>
          <w:numId w:val="74"/>
        </w:numPr>
        <w:spacing w:before="120" w:after="120" w:line="259" w:lineRule="auto"/>
        <w:rPr>
          <w:noProof/>
        </w:rPr>
      </w:pPr>
      <w:r>
        <w:rPr>
          <w:noProof/>
        </w:rPr>
        <w:t>Starptautiskās mobilitātes nodrošināšana 100 valstu pētniekiem.</w:t>
      </w:r>
    </w:p>
    <w:p w14:paraId="3FB5AADB" w14:textId="17C1F357" w:rsidR="00776A1F" w:rsidRDefault="00D8574B">
      <w:pPr>
        <w:pStyle w:val="P68B1DB1-Normal4"/>
        <w:spacing w:after="0" w:line="259" w:lineRule="auto"/>
        <w:jc w:val="both"/>
        <w:rPr>
          <w:rFonts w:cs="Times New Roman"/>
          <w:noProof/>
        </w:rPr>
      </w:pPr>
      <w:r>
        <w:rPr>
          <w:noProof/>
        </w:rPr>
        <w:t>Pētniecības, attīstības un inovācijas darbības, kas saistītas ar piesārņojošiem aspektiem (akmeņogles, lignīts, nafta/nafta, dabasgāze, fosilais ūdeņradis, sadedzināšana, apglabāšana poligonā, transportlīdzekļi/kuģi ar iekšdedzes dzinēju), netiek atbalstītas, ja vien tās neizveido (vai ja to rezultāts netiek izmantots) kā alternatīva ar zemu ietekmi.</w:t>
      </w:r>
    </w:p>
    <w:p w14:paraId="3E1F94E0" w14:textId="77777777" w:rsidR="00776A1F" w:rsidRDefault="00D8574B">
      <w:pPr>
        <w:pStyle w:val="P68B1DB1-Normal4"/>
        <w:spacing w:line="259" w:lineRule="auto"/>
        <w:jc w:val="both"/>
        <w:rPr>
          <w:rFonts w:cs="Times New Roman"/>
          <w:noProof/>
        </w:rPr>
      </w:pPr>
      <w:r>
        <w:rPr>
          <w:noProof/>
        </w:rPr>
        <w:t xml:space="preserve">Investīciju īstenošanu pabeidz līdz 2026. gada 31. martam. </w:t>
      </w:r>
    </w:p>
    <w:p w14:paraId="1AD47C87" w14:textId="1DB744CE" w:rsidR="00776A1F" w:rsidRDefault="00D8574B">
      <w:pPr>
        <w:pStyle w:val="P68B1DB1-Heading214"/>
        <w:rPr>
          <w:noProof/>
        </w:rPr>
      </w:pPr>
      <w:bookmarkStart w:id="17" w:name="_Toc137472453"/>
      <w:r>
        <w:rPr>
          <w:noProof/>
        </w:rPr>
        <w:t>Ieguldījums RE-C06-i07: Lielāks digitālais impulss</w:t>
      </w:r>
      <w:bookmarkEnd w:id="17"/>
    </w:p>
    <w:p w14:paraId="64BA1797" w14:textId="341EDAAE" w:rsidR="00776A1F" w:rsidRDefault="00D8574B">
      <w:pPr>
        <w:pStyle w:val="P68B1DB1-Normal4"/>
        <w:spacing w:after="0" w:line="259" w:lineRule="auto"/>
        <w:jc w:val="both"/>
        <w:rPr>
          <w:rFonts w:cs="Times New Roman"/>
          <w:noProof/>
        </w:rPr>
      </w:pPr>
      <w:r>
        <w:rPr>
          <w:noProof/>
        </w:rPr>
        <w:t xml:space="preserve">Pasākuma mērķi ir palielināt agrārās zinātnes pievilcību nākamajām paaudzēm, atbalstīt medicīnas zinātnes digitālo un tehnoloģisko progresu un paplašināt digitālo prasmju apmācības spējas arī jomās, kas nav STEAM jomas (zinātne, tehnoloģija, inženierzinātnes, māksla, matemātika); veicināt pedagoģisko inovāciju un modernizāciju un tādējādi stimulēt akadēmiskos panākumus. </w:t>
      </w:r>
    </w:p>
    <w:p w14:paraId="5227DFCF" w14:textId="77777777" w:rsidR="00776A1F" w:rsidRDefault="00D8574B">
      <w:pPr>
        <w:pStyle w:val="P68B1DB1-Normal4"/>
        <w:spacing w:after="0" w:line="259" w:lineRule="auto"/>
        <w:jc w:val="both"/>
        <w:rPr>
          <w:rFonts w:cs="Times New Roman"/>
          <w:noProof/>
        </w:rPr>
      </w:pPr>
      <w:r>
        <w:rPr>
          <w:noProof/>
        </w:rPr>
        <w:t>Ieguldījums sastāv no šādiem apakšpasākumiem:</w:t>
      </w:r>
    </w:p>
    <w:p w14:paraId="5EC1EDE0" w14:textId="77777777" w:rsidR="00776A1F" w:rsidRDefault="00D8574B">
      <w:pPr>
        <w:pStyle w:val="ListParagraph"/>
        <w:keepNext w:val="0"/>
        <w:numPr>
          <w:ilvl w:val="0"/>
          <w:numId w:val="74"/>
        </w:numPr>
        <w:spacing w:after="0" w:line="259" w:lineRule="auto"/>
        <w:rPr>
          <w:noProof/>
        </w:rPr>
      </w:pPr>
      <w:r>
        <w:rPr>
          <w:noProof/>
        </w:rPr>
        <w:t xml:space="preserve">Agrārās zinātnes tehnoloģiskā un digitālā modernizācija; apakšpasākums: </w:t>
      </w:r>
    </w:p>
    <w:p w14:paraId="50CF96DF" w14:textId="65473118" w:rsidR="00776A1F" w:rsidRDefault="00D8574B">
      <w:pPr>
        <w:pStyle w:val="ListParagraph"/>
        <w:keepNext w:val="0"/>
        <w:numPr>
          <w:ilvl w:val="1"/>
          <w:numId w:val="74"/>
        </w:numPr>
        <w:spacing w:before="120" w:after="0" w:line="259" w:lineRule="auto"/>
        <w:rPr>
          <w:noProof/>
        </w:rPr>
      </w:pPr>
      <w:r>
        <w:rPr>
          <w:noProof/>
        </w:rPr>
        <w:t xml:space="preserve">Reformēt 20 grādu programmas (bakalaura, maģistra vai abas) agrārās zinātnēs, stiprinot to digitālo un tehnoloģisko komponentu, internacionalizāciju un iestāžu sadarbību; </w:t>
      </w:r>
    </w:p>
    <w:p w14:paraId="46DBC373" w14:textId="2152DB4A" w:rsidR="00776A1F" w:rsidRDefault="00D8574B">
      <w:pPr>
        <w:pStyle w:val="ListParagraph"/>
        <w:keepNext w:val="0"/>
        <w:numPr>
          <w:ilvl w:val="1"/>
          <w:numId w:val="74"/>
        </w:numPr>
        <w:spacing w:before="120" w:after="0" w:line="259" w:lineRule="auto"/>
        <w:rPr>
          <w:noProof/>
        </w:rPr>
      </w:pPr>
      <w:r>
        <w:rPr>
          <w:noProof/>
        </w:rPr>
        <w:t xml:space="preserve">Atvērt lauksaimniecības skolas potenciālajiem vidusskolu audzēkņiem </w:t>
      </w:r>
    </w:p>
    <w:p w14:paraId="77E5F5D4" w14:textId="7CCB32EC" w:rsidR="00776A1F" w:rsidRDefault="00D8574B">
      <w:pPr>
        <w:pStyle w:val="ListParagraph"/>
        <w:keepNext w:val="0"/>
        <w:numPr>
          <w:ilvl w:val="1"/>
          <w:numId w:val="74"/>
        </w:numPr>
        <w:spacing w:before="120" w:after="0" w:line="259" w:lineRule="auto"/>
        <w:rPr>
          <w:noProof/>
        </w:rPr>
      </w:pPr>
      <w:r>
        <w:rPr>
          <w:noProof/>
        </w:rPr>
        <w:t xml:space="preserve">Atbalstīt nozarē jau strādājošo profesionāļu pārkvalifikāciju, veicinot mikroapliecinājumus, īsu augstākās izglītības profesionālo apmācību un profesionālos maģistra grādus. </w:t>
      </w:r>
    </w:p>
    <w:p w14:paraId="4C14CB2A" w14:textId="77777777" w:rsidR="00776A1F" w:rsidRDefault="00D8574B">
      <w:pPr>
        <w:pStyle w:val="ListParagraph"/>
        <w:keepNext w:val="0"/>
        <w:numPr>
          <w:ilvl w:val="0"/>
          <w:numId w:val="74"/>
        </w:numPr>
        <w:spacing w:before="120" w:after="0" w:line="259" w:lineRule="auto"/>
        <w:rPr>
          <w:noProof/>
        </w:rPr>
      </w:pPr>
      <w:r>
        <w:rPr>
          <w:noProof/>
        </w:rPr>
        <w:t xml:space="preserve">Medicīnas modernizācija: apakšpasākums atbalsta apmācību digitālajā vidē un medicīnisko simulāciju, kas paredzēta studentiem, kā arī profesionāļiem, kuri strādā šajā nozarē. </w:t>
      </w:r>
    </w:p>
    <w:p w14:paraId="54C2DB8E" w14:textId="4E548691" w:rsidR="00776A1F" w:rsidRDefault="00D8574B">
      <w:pPr>
        <w:pStyle w:val="ListParagraph"/>
        <w:keepNext w:val="0"/>
        <w:numPr>
          <w:ilvl w:val="0"/>
          <w:numId w:val="74"/>
        </w:numPr>
        <w:spacing w:before="120" w:after="0" w:line="259" w:lineRule="auto"/>
        <w:rPr>
          <w:noProof/>
        </w:rPr>
      </w:pPr>
      <w:r>
        <w:rPr>
          <w:noProof/>
        </w:rPr>
        <w:t xml:space="preserve">Digitālo prasmju stiprināšana: apakšpasākums atbalsta digitālo prasmju stiprināšanu jauniešiem un pieaugušajiem jomās, kas nav STEAM jomas. </w:t>
      </w:r>
    </w:p>
    <w:p w14:paraId="526DB37F" w14:textId="29D44143" w:rsidR="00776A1F" w:rsidRDefault="00D8574B">
      <w:pPr>
        <w:pStyle w:val="ListParagraph"/>
        <w:keepNext w:val="0"/>
        <w:numPr>
          <w:ilvl w:val="0"/>
          <w:numId w:val="74"/>
        </w:numPr>
        <w:spacing w:before="120" w:after="0" w:line="259" w:lineRule="auto"/>
        <w:rPr>
          <w:noProof/>
        </w:rPr>
      </w:pPr>
      <w:r>
        <w:rPr>
          <w:noProof/>
        </w:rPr>
        <w:t>Inovācija un pedagoģiskā modernizācija augstākajā izglītībā, apakšpasākums:</w:t>
      </w:r>
    </w:p>
    <w:p w14:paraId="558BF1F7" w14:textId="3E15E716" w:rsidR="00776A1F" w:rsidRDefault="00D8574B">
      <w:pPr>
        <w:pStyle w:val="ListParagraph"/>
        <w:keepNext w:val="0"/>
        <w:numPr>
          <w:ilvl w:val="1"/>
          <w:numId w:val="74"/>
        </w:numPr>
        <w:spacing w:before="120" w:after="0" w:line="259" w:lineRule="auto"/>
        <w:rPr>
          <w:noProof/>
        </w:rPr>
      </w:pPr>
      <w:r>
        <w:rPr>
          <w:noProof/>
        </w:rPr>
        <w:t xml:space="preserve"> izveidot pedagoģiskās inovācijas </w:t>
      </w:r>
      <w:bookmarkStart w:id="18" w:name="_Hlk143777429"/>
      <w:r>
        <w:rPr>
          <w:noProof/>
        </w:rPr>
        <w:t>izcilības centrus ar spēcīgu digitālo komponentu, galveno uzmanību pievēršot jomām, kas nav saistītas ar tehnoloģijām (sociālajām zinātnēm, humanitārajām zinātnēm un mākslai)</w:t>
      </w:r>
      <w:bookmarkEnd w:id="18"/>
      <w:r>
        <w:rPr>
          <w:noProof/>
        </w:rPr>
        <w:t>;</w:t>
      </w:r>
    </w:p>
    <w:p w14:paraId="74CE80F8" w14:textId="4912FB98" w:rsidR="00776A1F" w:rsidRDefault="00D8574B">
      <w:pPr>
        <w:pStyle w:val="ListParagraph"/>
        <w:keepNext w:val="0"/>
        <w:numPr>
          <w:ilvl w:val="1"/>
          <w:numId w:val="74"/>
        </w:numPr>
        <w:spacing w:before="120" w:after="0" w:line="259" w:lineRule="auto"/>
        <w:rPr>
          <w:noProof/>
        </w:rPr>
      </w:pPr>
      <w:bookmarkStart w:id="19" w:name="_Hlk143777454"/>
      <w:r>
        <w:rPr>
          <w:noProof/>
        </w:rPr>
        <w:t>Uzlabot finansēšanas programmas, kuru mērķis ir samazināt mācību pārtraukšanas rādītāju augstākajā izglītībā</w:t>
      </w:r>
      <w:bookmarkEnd w:id="19"/>
      <w:r>
        <w:rPr>
          <w:noProof/>
        </w:rPr>
        <w:t>.</w:t>
      </w:r>
    </w:p>
    <w:p w14:paraId="3136AE0B" w14:textId="77777777" w:rsidR="00776A1F" w:rsidRDefault="00D8574B">
      <w:pPr>
        <w:pStyle w:val="P68B1DB1-Normal4"/>
        <w:spacing w:line="259" w:lineRule="auto"/>
        <w:jc w:val="both"/>
        <w:rPr>
          <w:rFonts w:cs="Times New Roman"/>
          <w:noProof/>
        </w:rPr>
      </w:pPr>
      <w:r>
        <w:rPr>
          <w:noProof/>
        </w:rPr>
        <w:t xml:space="preserve">Ieguldījumu īstenošanu pabeidz līdz 2026. gada 30. jūnijam. </w:t>
      </w:r>
    </w:p>
    <w:p w14:paraId="6E920860" w14:textId="1AD743FE" w:rsidR="00776A1F" w:rsidRDefault="00D8574B">
      <w:pPr>
        <w:pStyle w:val="P68B1DB1-Heading214"/>
        <w:rPr>
          <w:noProof/>
        </w:rPr>
      </w:pPr>
      <w:bookmarkStart w:id="20" w:name="_Toc137472454"/>
      <w:r>
        <w:rPr>
          <w:noProof/>
        </w:rPr>
        <w:t>Ieguldījums RE-C06-i08-RAM: CITMA ēkas paplašināšana</w:t>
      </w:r>
      <w:bookmarkEnd w:id="20"/>
    </w:p>
    <w:p w14:paraId="73584109" w14:textId="1A6D9427" w:rsidR="00776A1F" w:rsidRDefault="00D8574B">
      <w:pPr>
        <w:pStyle w:val="P68B1DB1-Normal4"/>
        <w:spacing w:after="0" w:line="259" w:lineRule="auto"/>
        <w:jc w:val="both"/>
        <w:rPr>
          <w:rFonts w:cs="Times New Roman"/>
          <w:noProof/>
        </w:rPr>
      </w:pPr>
      <w:r>
        <w:rPr>
          <w:noProof/>
        </w:rPr>
        <w:t>Pasākuma mērķis ir nodrošināt, ka Madeiras Zinātniskā un tehnoloģiskā centra (CITMA) ēka ir pietiekami liela, lai apmierinātu Madeiras Universitātes (Uma) pašreizējās un turpmākās vajadzības, lai optimizētu Uma pedagoģiskos un pētniecības pasākumus, uzsvaru liekot uz politehniskās izglītības infrastruktūru. Tā mērķis ir veidot ciešākas saiknes starp akadēmiskajām aprindām un uzņēmumiem, ļaujot dalīties pieredzē un resursos.</w:t>
      </w:r>
    </w:p>
    <w:p w14:paraId="1BC3E158" w14:textId="54DD82ED" w:rsidR="00776A1F" w:rsidRDefault="00D8574B">
      <w:pPr>
        <w:pStyle w:val="P68B1DB1-Normal4"/>
        <w:spacing w:after="0" w:line="259" w:lineRule="auto"/>
        <w:jc w:val="both"/>
        <w:rPr>
          <w:rFonts w:cs="Times New Roman"/>
          <w:noProof/>
        </w:rPr>
      </w:pPr>
      <w:r>
        <w:rPr>
          <w:noProof/>
        </w:rPr>
        <w:t>Ieguldījumu veido trīs stāvu pievienošana pašreizējai ēkai un pirmā stāva paplašināšana. Ēku pielāgo cilvēku ar ierobežotām pārvietošanās spējām vajadzībām. Dažas ēkas zonas ir regulējamas pēc lieluma.</w:t>
      </w:r>
    </w:p>
    <w:p w14:paraId="44A8B62C" w14:textId="4FCC316F" w:rsidR="00776A1F" w:rsidRDefault="00D8574B">
      <w:pPr>
        <w:pStyle w:val="P68B1DB1-Normal4"/>
        <w:spacing w:line="259" w:lineRule="auto"/>
        <w:jc w:val="both"/>
        <w:rPr>
          <w:rFonts w:cs="Times New Roman"/>
          <w:noProof/>
        </w:rPr>
      </w:pPr>
      <w:r>
        <w:rPr>
          <w:noProof/>
        </w:rPr>
        <w:t xml:space="preserve">Ieguldījumu īstenošanu pabeidz līdz 2026. gada 30. jūnijam. </w:t>
      </w:r>
    </w:p>
    <w:p w14:paraId="665517EB" w14:textId="77777777" w:rsidR="00776A1F" w:rsidRDefault="00776A1F">
      <w:pPr>
        <w:spacing w:before="40" w:after="0" w:line="259" w:lineRule="auto"/>
        <w:jc w:val="both"/>
        <w:rPr>
          <w:rFonts w:ascii="Times New Roman" w:eastAsiaTheme="minorEastAsia" w:hAnsi="Times New Roman" w:cs="Times New Roman"/>
          <w:noProof/>
          <w:sz w:val="24"/>
        </w:rPr>
      </w:pPr>
    </w:p>
    <w:p w14:paraId="6983890E" w14:textId="77777777" w:rsidR="00776A1F" w:rsidRDefault="00776A1F">
      <w:pPr>
        <w:spacing w:before="40" w:after="0" w:line="259" w:lineRule="auto"/>
        <w:jc w:val="both"/>
        <w:rPr>
          <w:rFonts w:ascii="Times New Roman" w:eastAsiaTheme="minorEastAsia" w:hAnsi="Times New Roman" w:cs="Times New Roman"/>
          <w:noProof/>
          <w:sz w:val="24"/>
        </w:rPr>
      </w:pPr>
    </w:p>
    <w:p w14:paraId="78B6531F"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120"/>
          <w:headerReference w:type="default" r:id="rId121"/>
          <w:footerReference w:type="even" r:id="rId122"/>
          <w:footerReference w:type="default" r:id="rId123"/>
          <w:headerReference w:type="first" r:id="rId124"/>
          <w:footerReference w:type="first" r:id="rId125"/>
          <w:pgSz w:w="11907" w:h="16839"/>
          <w:pgMar w:top="1134" w:right="1134" w:bottom="1134" w:left="1134" w:header="567" w:footer="567" w:gutter="0"/>
          <w:cols w:space="720"/>
          <w:docGrid w:linePitch="360"/>
        </w:sectPr>
      </w:pPr>
    </w:p>
    <w:p w14:paraId="059FBF21" w14:textId="77777777" w:rsidR="00776A1F" w:rsidRDefault="00D8574B">
      <w:pPr>
        <w:pStyle w:val="P68B1DB1-Normal3"/>
        <w:keepNext/>
        <w:spacing w:before="40" w:after="120" w:line="259" w:lineRule="auto"/>
        <w:ind w:left="130" w:firstLine="720"/>
        <w:jc w:val="both"/>
        <w:outlineLvl w:val="2"/>
        <w:rPr>
          <w:rFonts w:eastAsiaTheme="minorEastAsia" w:cs="Times New Roman"/>
          <w:noProof/>
        </w:rPr>
      </w:pPr>
      <w:r>
        <w:rPr>
          <w:noProof/>
        </w:rPr>
        <w:t>F.2. Atskaites punkti, mērķrādītāji, citi rādītāji un neatmaksājamā finansiālā atbalsta uzraudzības un īstenošanas grafiks</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776A1F" w14:paraId="2F27C62F" w14:textId="77777777">
        <w:trPr>
          <w:trHeight w:val="910"/>
          <w:tblHeader/>
        </w:trPr>
        <w:tc>
          <w:tcPr>
            <w:tcW w:w="1135" w:type="dxa"/>
            <w:vMerge w:val="restart"/>
            <w:shd w:val="clear" w:color="auto" w:fill="BDD6EE"/>
            <w:vAlign w:val="center"/>
            <w:hideMark/>
          </w:tcPr>
          <w:p w14:paraId="6D1630A3"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0754D7BA"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5CE4AD72" w14:textId="5C42A0AE"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vAlign w:val="center"/>
            <w:hideMark/>
          </w:tcPr>
          <w:p w14:paraId="4BDED511"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3EA0C12C"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835" w:type="dxa"/>
            <w:gridSpan w:val="3"/>
            <w:shd w:val="clear" w:color="auto" w:fill="BDD6EE"/>
            <w:vAlign w:val="center"/>
            <w:hideMark/>
          </w:tcPr>
          <w:p w14:paraId="381F8037"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2B867F8B"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395" w:type="dxa"/>
            <w:vMerge w:val="restart"/>
            <w:shd w:val="clear" w:color="auto" w:fill="BDD6EE"/>
            <w:noWrap/>
            <w:vAlign w:val="center"/>
            <w:hideMark/>
          </w:tcPr>
          <w:p w14:paraId="61D7CEDC"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186265A2" w14:textId="77777777">
        <w:trPr>
          <w:trHeight w:val="470"/>
          <w:tblHeader/>
        </w:trPr>
        <w:tc>
          <w:tcPr>
            <w:tcW w:w="1135" w:type="dxa"/>
            <w:vMerge/>
            <w:vAlign w:val="center"/>
            <w:hideMark/>
          </w:tcPr>
          <w:p w14:paraId="23EAC102"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7FFB2B96"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61C40CBB" w14:textId="05DF786C" w:rsidR="00776A1F" w:rsidRDefault="00776A1F">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392949DC"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0003544B"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1AC56CC8"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22EAFC97"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850" w:type="dxa"/>
            <w:shd w:val="clear" w:color="auto" w:fill="BDD6EE"/>
            <w:vAlign w:val="center"/>
            <w:hideMark/>
          </w:tcPr>
          <w:p w14:paraId="2BE8FC8B"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242D2DDD"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74452C72"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395" w:type="dxa"/>
            <w:vMerge/>
            <w:vAlign w:val="center"/>
            <w:hideMark/>
          </w:tcPr>
          <w:p w14:paraId="1CC6F99B" w14:textId="77777777" w:rsidR="00776A1F" w:rsidRDefault="00776A1F">
            <w:pPr>
              <w:spacing w:after="0" w:line="240" w:lineRule="auto"/>
              <w:rPr>
                <w:rFonts w:ascii="Times New Roman" w:eastAsia="Times New Roman" w:hAnsi="Times New Roman" w:cs="Times New Roman"/>
                <w:b/>
                <w:noProof/>
                <w:sz w:val="18"/>
              </w:rPr>
            </w:pPr>
          </w:p>
        </w:tc>
      </w:tr>
      <w:tr w:rsidR="00776A1F" w14:paraId="79EA62E7" w14:textId="77777777">
        <w:trPr>
          <w:trHeight w:val="640"/>
        </w:trPr>
        <w:tc>
          <w:tcPr>
            <w:tcW w:w="1135" w:type="dxa"/>
            <w:shd w:val="clear" w:color="auto" w:fill="C5EFCE"/>
            <w:vAlign w:val="center"/>
            <w:hideMark/>
          </w:tcPr>
          <w:p w14:paraId="11E1C5C8" w14:textId="77777777" w:rsidR="00776A1F" w:rsidRDefault="00D8574B">
            <w:pPr>
              <w:pStyle w:val="P68B1DB1-Normal7"/>
              <w:spacing w:after="0" w:line="240" w:lineRule="auto"/>
              <w:jc w:val="center"/>
              <w:rPr>
                <w:rFonts w:eastAsia="Times New Roman" w:cs="Calibri"/>
                <w:noProof/>
              </w:rPr>
            </w:pPr>
            <w:r>
              <w:rPr>
                <w:noProof/>
              </w:rPr>
              <w:t>6.1</w:t>
            </w:r>
          </w:p>
        </w:tc>
        <w:tc>
          <w:tcPr>
            <w:tcW w:w="1276" w:type="dxa"/>
            <w:shd w:val="clear" w:color="auto" w:fill="C4EFCE"/>
            <w:noWrap/>
            <w:vAlign w:val="center"/>
            <w:hideMark/>
          </w:tcPr>
          <w:p w14:paraId="1D6D398A" w14:textId="77777777" w:rsidR="00776A1F" w:rsidRDefault="00D8574B">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0245193C"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E5CBD2" w14:textId="77777777" w:rsidR="00776A1F" w:rsidRDefault="00D8574B">
            <w:pPr>
              <w:pStyle w:val="P68B1DB1-Normal8"/>
              <w:spacing w:after="0" w:line="240" w:lineRule="auto"/>
              <w:jc w:val="center"/>
              <w:rPr>
                <w:rFonts w:eastAsia="Times New Roman" w:cs="Calibri"/>
                <w:noProof/>
              </w:rPr>
            </w:pPr>
            <w:r>
              <w:rPr>
                <w:noProof/>
              </w:rPr>
              <w:t>Atjaunoti vai būvēti specializēti tehnoloģiju centri</w:t>
            </w:r>
          </w:p>
        </w:tc>
        <w:tc>
          <w:tcPr>
            <w:tcW w:w="1275" w:type="dxa"/>
            <w:shd w:val="clear" w:color="auto" w:fill="C4EFCE"/>
            <w:noWrap/>
            <w:vAlign w:val="center"/>
            <w:hideMark/>
          </w:tcPr>
          <w:p w14:paraId="1DC8F389"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1339ABF"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73C47244"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2609596" w14:textId="77777777" w:rsidR="00776A1F" w:rsidRDefault="00D8574B">
            <w:pPr>
              <w:pStyle w:val="P68B1DB1-Normal8"/>
              <w:spacing w:after="0" w:line="240" w:lineRule="auto"/>
              <w:jc w:val="center"/>
              <w:rPr>
                <w:rFonts w:eastAsia="Times New Roman" w:cs="Calibri"/>
                <w:noProof/>
              </w:rPr>
            </w:pPr>
            <w:r>
              <w:rPr>
                <w:noProof/>
              </w:rPr>
              <w:t>310</w:t>
            </w:r>
          </w:p>
        </w:tc>
        <w:tc>
          <w:tcPr>
            <w:tcW w:w="567" w:type="dxa"/>
            <w:shd w:val="clear" w:color="auto" w:fill="C4EFCE"/>
            <w:noWrap/>
            <w:vAlign w:val="center"/>
            <w:hideMark/>
          </w:tcPr>
          <w:p w14:paraId="5E577122"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5B9C16CB"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E2343BD" w14:textId="77777777" w:rsidR="00776A1F" w:rsidRDefault="00D8574B">
            <w:pPr>
              <w:pStyle w:val="P68B1DB1-Normal8"/>
              <w:spacing w:after="0" w:line="240" w:lineRule="auto"/>
              <w:jc w:val="both"/>
              <w:rPr>
                <w:rFonts w:eastAsia="Times New Roman" w:cs="Calibri"/>
                <w:noProof/>
              </w:rPr>
            </w:pPr>
            <w:r>
              <w:rPr>
                <w:noProof/>
              </w:rPr>
              <w:t xml:space="preserve">Specializēto tehnoloģiju centru skaits, kas atjaunoti vai uzbūvēti profesionāliem kursiem vidējās izglītības jomā, tostarp aprīkojuma finansēšana, tehnoloģiskā infrastruktūra un telpu un darbsemināru iespējama pārkvalificēšana, lai pielāgotos jauniem kursiem. </w:t>
            </w:r>
          </w:p>
        </w:tc>
      </w:tr>
      <w:tr w:rsidR="00776A1F" w14:paraId="31C598A2" w14:textId="77777777">
        <w:trPr>
          <w:trHeight w:val="640"/>
        </w:trPr>
        <w:tc>
          <w:tcPr>
            <w:tcW w:w="1135" w:type="dxa"/>
            <w:shd w:val="clear" w:color="auto" w:fill="C5EFCE"/>
            <w:vAlign w:val="center"/>
            <w:hideMark/>
          </w:tcPr>
          <w:p w14:paraId="2FE12F6E" w14:textId="77777777" w:rsidR="00776A1F" w:rsidRDefault="00D8574B">
            <w:pPr>
              <w:pStyle w:val="P68B1DB1-Normal7"/>
              <w:spacing w:after="0" w:line="240" w:lineRule="auto"/>
              <w:jc w:val="center"/>
              <w:rPr>
                <w:rFonts w:eastAsia="Times New Roman" w:cs="Calibri"/>
                <w:noProof/>
              </w:rPr>
            </w:pPr>
            <w:r>
              <w:rPr>
                <w:noProof/>
              </w:rPr>
              <w:t>6.2</w:t>
            </w:r>
          </w:p>
        </w:tc>
        <w:tc>
          <w:tcPr>
            <w:tcW w:w="1276" w:type="dxa"/>
            <w:shd w:val="clear" w:color="auto" w:fill="C4EFCE"/>
            <w:noWrap/>
            <w:vAlign w:val="center"/>
            <w:hideMark/>
          </w:tcPr>
          <w:p w14:paraId="6CE55E02" w14:textId="77777777" w:rsidR="00776A1F" w:rsidRDefault="00D8574B">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65464C5"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EAA9EB9" w14:textId="77777777" w:rsidR="00776A1F" w:rsidRDefault="00D8574B">
            <w:pPr>
              <w:pStyle w:val="P68B1DB1-Normal8"/>
              <w:spacing w:after="0" w:line="240" w:lineRule="auto"/>
              <w:jc w:val="center"/>
              <w:rPr>
                <w:rFonts w:eastAsia="Times New Roman" w:cs="Calibri"/>
                <w:noProof/>
              </w:rPr>
            </w:pPr>
            <w:r>
              <w:rPr>
                <w:noProof/>
              </w:rPr>
              <w:t>Atjaunoti vai būvēti specializēti tehnoloģiju centri</w:t>
            </w:r>
          </w:p>
        </w:tc>
        <w:tc>
          <w:tcPr>
            <w:tcW w:w="1275" w:type="dxa"/>
            <w:shd w:val="clear" w:color="auto" w:fill="C4EFCE"/>
            <w:noWrap/>
            <w:vAlign w:val="center"/>
            <w:hideMark/>
          </w:tcPr>
          <w:p w14:paraId="52981225"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D07B5"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3C1D84AB" w14:textId="77777777" w:rsidR="00776A1F" w:rsidRDefault="00D8574B">
            <w:pPr>
              <w:pStyle w:val="P68B1DB1-Normal8"/>
              <w:spacing w:after="0" w:line="240" w:lineRule="auto"/>
              <w:jc w:val="center"/>
              <w:rPr>
                <w:rFonts w:eastAsia="Times New Roman" w:cs="Calibri"/>
                <w:noProof/>
              </w:rPr>
            </w:pPr>
            <w:r>
              <w:rPr>
                <w:noProof/>
              </w:rPr>
              <w:t>310</w:t>
            </w:r>
          </w:p>
        </w:tc>
        <w:tc>
          <w:tcPr>
            <w:tcW w:w="850" w:type="dxa"/>
            <w:shd w:val="clear" w:color="auto" w:fill="C4EFCE"/>
            <w:noWrap/>
            <w:vAlign w:val="center"/>
            <w:hideMark/>
          </w:tcPr>
          <w:p w14:paraId="53776CC3" w14:textId="77777777" w:rsidR="00776A1F" w:rsidRDefault="00D8574B">
            <w:pPr>
              <w:pStyle w:val="P68B1DB1-Normal8"/>
              <w:spacing w:after="0" w:line="240" w:lineRule="auto"/>
              <w:jc w:val="center"/>
              <w:rPr>
                <w:rFonts w:eastAsia="Times New Roman" w:cs="Calibri"/>
                <w:noProof/>
              </w:rPr>
            </w:pPr>
            <w:r>
              <w:rPr>
                <w:noProof/>
              </w:rPr>
              <w:t>365</w:t>
            </w:r>
          </w:p>
        </w:tc>
        <w:tc>
          <w:tcPr>
            <w:tcW w:w="567" w:type="dxa"/>
            <w:shd w:val="clear" w:color="auto" w:fill="C4EFCE"/>
            <w:noWrap/>
            <w:vAlign w:val="center"/>
            <w:hideMark/>
          </w:tcPr>
          <w:p w14:paraId="27944A1C"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EEBE2C5"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A678E29" w14:textId="77777777" w:rsidR="00776A1F" w:rsidRDefault="00D8574B">
            <w:pPr>
              <w:pStyle w:val="P68B1DB1-Normal8"/>
              <w:spacing w:after="0" w:line="240" w:lineRule="auto"/>
              <w:jc w:val="both"/>
              <w:rPr>
                <w:rFonts w:eastAsia="Times New Roman" w:cs="Calibri"/>
                <w:noProof/>
              </w:rPr>
            </w:pPr>
            <w:r>
              <w:rPr>
                <w:noProof/>
              </w:rPr>
              <w:t>To specializēto tehnoloģiju centru skaits, kas atjaunoti vai uzbūvēti profesionāliem kursiem vidējās izglītības jomā, tostarp finansējums aprīkojumam, tehnoloģiskajai infrastruktūrai un iespējamai telpu un darbsemināru pārkvalificēšanai, lai pielāgotos jauniem kursiem.</w:t>
            </w:r>
          </w:p>
        </w:tc>
      </w:tr>
      <w:tr w:rsidR="00776A1F" w14:paraId="3E90A23F" w14:textId="77777777">
        <w:trPr>
          <w:trHeight w:val="1270"/>
        </w:trPr>
        <w:tc>
          <w:tcPr>
            <w:tcW w:w="1135" w:type="dxa"/>
            <w:shd w:val="clear" w:color="auto" w:fill="C5EFCE"/>
            <w:vAlign w:val="center"/>
            <w:hideMark/>
          </w:tcPr>
          <w:p w14:paraId="047D3B3F" w14:textId="77777777" w:rsidR="00776A1F" w:rsidRDefault="00D8574B">
            <w:pPr>
              <w:pStyle w:val="P68B1DB1-Normal7"/>
              <w:spacing w:after="0" w:line="240" w:lineRule="auto"/>
              <w:jc w:val="center"/>
              <w:rPr>
                <w:rFonts w:eastAsia="Times New Roman" w:cs="Calibri"/>
                <w:noProof/>
              </w:rPr>
            </w:pPr>
            <w:r>
              <w:rPr>
                <w:noProof/>
              </w:rPr>
              <w:t>6.3</w:t>
            </w:r>
          </w:p>
        </w:tc>
        <w:tc>
          <w:tcPr>
            <w:tcW w:w="1276" w:type="dxa"/>
            <w:shd w:val="clear" w:color="auto" w:fill="C4EFCE"/>
            <w:noWrap/>
            <w:vAlign w:val="center"/>
            <w:hideMark/>
          </w:tcPr>
          <w:p w14:paraId="5356A2CC" w14:textId="77777777" w:rsidR="00776A1F" w:rsidRDefault="00D8574B">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DB04DD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A61F5F" w14:textId="77777777" w:rsidR="00776A1F" w:rsidRDefault="00D8574B">
            <w:pPr>
              <w:pStyle w:val="P68B1DB1-Normal8"/>
              <w:spacing w:after="0" w:line="240" w:lineRule="auto"/>
              <w:jc w:val="center"/>
              <w:rPr>
                <w:rFonts w:eastAsia="Times New Roman" w:cs="Calibri"/>
                <w:noProof/>
              </w:rPr>
            </w:pPr>
            <w:r>
              <w:rPr>
                <w:noProof/>
              </w:rPr>
              <w:t xml:space="preserve">Modernizētas mācību stacijas </w:t>
            </w:r>
          </w:p>
        </w:tc>
        <w:tc>
          <w:tcPr>
            <w:tcW w:w="1275" w:type="dxa"/>
            <w:shd w:val="clear" w:color="auto" w:fill="C4EFCE"/>
            <w:noWrap/>
            <w:vAlign w:val="center"/>
            <w:hideMark/>
          </w:tcPr>
          <w:p w14:paraId="130E4E31"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6DA56A3"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213A84D5"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D069C25" w14:textId="373C2310" w:rsidR="00776A1F" w:rsidRDefault="00D8574B">
            <w:pPr>
              <w:pStyle w:val="P68B1DB1-Normal8"/>
              <w:spacing w:after="0" w:line="240" w:lineRule="auto"/>
              <w:jc w:val="center"/>
              <w:rPr>
                <w:rFonts w:eastAsia="Times New Roman" w:cs="Calibri"/>
                <w:noProof/>
              </w:rPr>
            </w:pPr>
            <w:r>
              <w:rPr>
                <w:noProof/>
              </w:rPr>
              <w:t>11 500</w:t>
            </w:r>
          </w:p>
        </w:tc>
        <w:tc>
          <w:tcPr>
            <w:tcW w:w="567" w:type="dxa"/>
            <w:shd w:val="clear" w:color="auto" w:fill="C4EFCE"/>
            <w:noWrap/>
            <w:vAlign w:val="center"/>
            <w:hideMark/>
          </w:tcPr>
          <w:p w14:paraId="61A11D3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CE9D443" w14:textId="77777777" w:rsidR="00776A1F" w:rsidRDefault="00D8574B">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31810B06" w14:textId="42B3EDCA" w:rsidR="00776A1F" w:rsidRDefault="00D8574B">
            <w:pPr>
              <w:pStyle w:val="P68B1DB1-Normal8"/>
              <w:spacing w:after="0" w:line="240" w:lineRule="auto"/>
              <w:jc w:val="both"/>
              <w:rPr>
                <w:rFonts w:eastAsia="Times New Roman" w:cs="Calibri"/>
                <w:noProof/>
              </w:rPr>
            </w:pPr>
            <w:r>
              <w:rPr>
                <w:noProof/>
              </w:rPr>
              <w:t>Valsts nodarbinātības dienesta (IEFP) tīkla un valsts tūrisma iestādes (Turismo de Portugal) skolu tīkla (Turismo de Portugal) atjaunoto vai uzbūvēto profesionālās apmācības staciju skaits (vai nu tieši, vai ar koncesijas starpniecību). Tas ietver jaunu ēku renovāciju un būvniecību, kā arī dažāda veida aprīkojuma iegādi apmācības vajadzībām. 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4AB7F922" w14:textId="77777777">
        <w:trPr>
          <w:trHeight w:val="1270"/>
        </w:trPr>
        <w:tc>
          <w:tcPr>
            <w:tcW w:w="1135" w:type="dxa"/>
            <w:shd w:val="clear" w:color="auto" w:fill="C5EFCE"/>
            <w:vAlign w:val="center"/>
            <w:hideMark/>
          </w:tcPr>
          <w:p w14:paraId="4DAD2626" w14:textId="77777777" w:rsidR="00776A1F" w:rsidRDefault="00D8574B">
            <w:pPr>
              <w:pStyle w:val="P68B1DB1-Normal7"/>
              <w:spacing w:after="0" w:line="240" w:lineRule="auto"/>
              <w:jc w:val="center"/>
              <w:rPr>
                <w:rFonts w:eastAsia="Times New Roman" w:cs="Calibri"/>
                <w:noProof/>
              </w:rPr>
            </w:pPr>
            <w:r>
              <w:rPr>
                <w:noProof/>
              </w:rPr>
              <w:t>6.4</w:t>
            </w:r>
          </w:p>
        </w:tc>
        <w:tc>
          <w:tcPr>
            <w:tcW w:w="1276" w:type="dxa"/>
            <w:shd w:val="clear" w:color="auto" w:fill="C4EFCE"/>
            <w:noWrap/>
            <w:vAlign w:val="center"/>
            <w:hideMark/>
          </w:tcPr>
          <w:p w14:paraId="069D62CA" w14:textId="77777777" w:rsidR="00776A1F" w:rsidRDefault="00D8574B">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5EE390D5"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B383716" w14:textId="77777777" w:rsidR="00776A1F" w:rsidRDefault="00D8574B">
            <w:pPr>
              <w:pStyle w:val="P68B1DB1-Normal8"/>
              <w:spacing w:after="0" w:line="240" w:lineRule="auto"/>
              <w:jc w:val="center"/>
              <w:rPr>
                <w:rFonts w:eastAsia="Times New Roman" w:cs="Calibri"/>
                <w:noProof/>
              </w:rPr>
            </w:pPr>
            <w:r>
              <w:rPr>
                <w:noProof/>
              </w:rPr>
              <w:t xml:space="preserve">Modernizētas mācību stacijas </w:t>
            </w:r>
          </w:p>
        </w:tc>
        <w:tc>
          <w:tcPr>
            <w:tcW w:w="1275" w:type="dxa"/>
            <w:shd w:val="clear" w:color="auto" w:fill="C4EFCE"/>
            <w:noWrap/>
            <w:vAlign w:val="center"/>
            <w:hideMark/>
          </w:tcPr>
          <w:p w14:paraId="16A61C90"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DA2846B"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5EBF0158" w14:textId="6B2FB681" w:rsidR="00776A1F" w:rsidRDefault="00D8574B">
            <w:pPr>
              <w:pStyle w:val="P68B1DB1-Normal8"/>
              <w:spacing w:after="0" w:line="240" w:lineRule="auto"/>
              <w:jc w:val="center"/>
              <w:rPr>
                <w:rFonts w:eastAsia="Times New Roman" w:cs="Calibri"/>
                <w:noProof/>
              </w:rPr>
            </w:pPr>
            <w:r>
              <w:rPr>
                <w:noProof/>
              </w:rPr>
              <w:t>11 500</w:t>
            </w:r>
          </w:p>
        </w:tc>
        <w:tc>
          <w:tcPr>
            <w:tcW w:w="850" w:type="dxa"/>
            <w:shd w:val="clear" w:color="auto" w:fill="C4EFCE"/>
            <w:noWrap/>
            <w:vAlign w:val="center"/>
            <w:hideMark/>
          </w:tcPr>
          <w:p w14:paraId="60A36C33" w14:textId="77777777" w:rsidR="00776A1F" w:rsidRDefault="00D8574B">
            <w:pPr>
              <w:pStyle w:val="P68B1DB1-Normal8"/>
              <w:spacing w:after="0" w:line="240" w:lineRule="auto"/>
              <w:jc w:val="center"/>
              <w:rPr>
                <w:rFonts w:eastAsia="Times New Roman" w:cs="Calibri"/>
                <w:noProof/>
              </w:rPr>
            </w:pPr>
            <w:r>
              <w:rPr>
                <w:noProof/>
              </w:rPr>
              <w:t>22 000</w:t>
            </w:r>
          </w:p>
        </w:tc>
        <w:tc>
          <w:tcPr>
            <w:tcW w:w="567" w:type="dxa"/>
            <w:shd w:val="clear" w:color="auto" w:fill="C4EFCE"/>
            <w:noWrap/>
            <w:vAlign w:val="center"/>
            <w:hideMark/>
          </w:tcPr>
          <w:p w14:paraId="787ADB8E"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C45E088"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C38451" w14:textId="3C4E7288" w:rsidR="00776A1F" w:rsidRDefault="00D8574B">
            <w:pPr>
              <w:pStyle w:val="P68B1DB1-Normal8"/>
              <w:spacing w:after="0" w:line="240" w:lineRule="auto"/>
              <w:jc w:val="both"/>
              <w:rPr>
                <w:rFonts w:eastAsia="Times New Roman" w:cs="Calibri"/>
                <w:noProof/>
              </w:rPr>
            </w:pPr>
            <w:r>
              <w:rPr>
                <w:noProof/>
              </w:rPr>
              <w:t>Atjaunoto vai uzbūvēto valsts nodarbinātības dienesta (IEFP) tīkla un valsts tūrisma iestādes (Turismo de Portugal) skolu tīkla (tieši pārvaldīto vai ar koncesiju) skaits. Tas ietver jaunu ēku renovāciju un būvniecību, kā arī dažāda veida aprīkojuma iegādi apmācības vajadzībām. 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6C12491B" w14:textId="77777777">
        <w:trPr>
          <w:trHeight w:val="430"/>
        </w:trPr>
        <w:tc>
          <w:tcPr>
            <w:tcW w:w="1135" w:type="dxa"/>
            <w:shd w:val="clear" w:color="auto" w:fill="C5EFCE"/>
            <w:vAlign w:val="center"/>
            <w:hideMark/>
          </w:tcPr>
          <w:p w14:paraId="0EDD61CD" w14:textId="77777777" w:rsidR="00776A1F" w:rsidRDefault="00D8574B">
            <w:pPr>
              <w:pStyle w:val="P68B1DB1-Normal7"/>
              <w:spacing w:after="0" w:line="240" w:lineRule="auto"/>
              <w:jc w:val="center"/>
              <w:rPr>
                <w:rFonts w:eastAsia="Times New Roman" w:cs="Calibri"/>
                <w:noProof/>
              </w:rPr>
            </w:pPr>
            <w:r>
              <w:rPr>
                <w:noProof/>
              </w:rPr>
              <w:t>6.5</w:t>
            </w:r>
          </w:p>
        </w:tc>
        <w:tc>
          <w:tcPr>
            <w:tcW w:w="1276" w:type="dxa"/>
            <w:shd w:val="clear" w:color="auto" w:fill="C4EFCE"/>
            <w:noWrap/>
            <w:vAlign w:val="center"/>
            <w:hideMark/>
          </w:tcPr>
          <w:p w14:paraId="5DFD9DC8" w14:textId="77777777" w:rsidR="00776A1F" w:rsidRDefault="00D8574B">
            <w:pPr>
              <w:pStyle w:val="P68B1DB1-Normal8"/>
              <w:spacing w:after="0" w:line="240" w:lineRule="auto"/>
              <w:jc w:val="center"/>
              <w:rPr>
                <w:rFonts w:eastAsia="Times New Roman" w:cs="Calibri"/>
                <w:noProof/>
              </w:rPr>
            </w:pPr>
            <w:r>
              <w:rPr>
                <w:noProof/>
              </w:rPr>
              <w:t>Re-C06-i02</w:t>
            </w:r>
          </w:p>
        </w:tc>
        <w:tc>
          <w:tcPr>
            <w:tcW w:w="1134" w:type="dxa"/>
            <w:shd w:val="clear" w:color="auto" w:fill="C4EFCE"/>
            <w:noWrap/>
            <w:vAlign w:val="center"/>
            <w:hideMark/>
          </w:tcPr>
          <w:p w14:paraId="659AF737"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0AF8F6" w14:textId="77777777" w:rsidR="00776A1F" w:rsidRDefault="00D8574B">
            <w:pPr>
              <w:pStyle w:val="P68B1DB1-Normal8"/>
              <w:spacing w:after="0" w:line="240" w:lineRule="auto"/>
              <w:jc w:val="center"/>
              <w:rPr>
                <w:rFonts w:eastAsia="Times New Roman" w:cs="Calibri"/>
                <w:noProof/>
              </w:rPr>
            </w:pPr>
            <w:r>
              <w:rPr>
                <w:noProof/>
              </w:rPr>
              <w:t xml:space="preserve">Finansiāls atbalsts pastāvīgiem līgumiem </w:t>
            </w:r>
          </w:p>
        </w:tc>
        <w:tc>
          <w:tcPr>
            <w:tcW w:w="1275" w:type="dxa"/>
            <w:shd w:val="clear" w:color="auto" w:fill="C4EFCE"/>
            <w:noWrap/>
            <w:vAlign w:val="center"/>
            <w:hideMark/>
          </w:tcPr>
          <w:p w14:paraId="10FDB223"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A7A81A"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0DE8E0EA"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3A09210A" w14:textId="77777777" w:rsidR="00776A1F" w:rsidRDefault="00D8574B">
            <w:pPr>
              <w:pStyle w:val="P68B1DB1-Normal8"/>
              <w:spacing w:after="0" w:line="240" w:lineRule="auto"/>
              <w:jc w:val="center"/>
              <w:rPr>
                <w:rFonts w:eastAsia="Times New Roman" w:cs="Calibri"/>
                <w:noProof/>
              </w:rPr>
            </w:pPr>
            <w:r>
              <w:rPr>
                <w:noProof/>
              </w:rPr>
              <w:t>30 000</w:t>
            </w:r>
          </w:p>
        </w:tc>
        <w:tc>
          <w:tcPr>
            <w:tcW w:w="567" w:type="dxa"/>
            <w:shd w:val="clear" w:color="auto" w:fill="C4EFCE"/>
            <w:noWrap/>
            <w:vAlign w:val="center"/>
            <w:hideMark/>
          </w:tcPr>
          <w:p w14:paraId="0B4540AC"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ACEB742" w14:textId="288C9D01" w:rsidR="00776A1F" w:rsidRDefault="00D8574B">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675968B1" w14:textId="77777777" w:rsidR="00776A1F" w:rsidRDefault="00D8574B">
            <w:pPr>
              <w:pStyle w:val="P68B1DB1-Normal8"/>
              <w:spacing w:after="0" w:line="240" w:lineRule="auto"/>
              <w:jc w:val="both"/>
              <w:rPr>
                <w:rFonts w:eastAsia="Times New Roman" w:cs="Calibri"/>
                <w:noProof/>
              </w:rPr>
            </w:pPr>
            <w:r>
              <w:rPr>
                <w:noProof/>
              </w:rPr>
              <w:t>To līgumu skaits, kurus atbalsta ar finansiālu atbalstu, kas piešķirts darba devējiem apmaiņā pret beztermiņa līgumu piedāvāšanu, maksājot pienācīgas darba tirgus algas saskaņā ar Ilgtspējīgas nodarbinātības saistību pasākumu.</w:t>
            </w:r>
          </w:p>
        </w:tc>
      </w:tr>
      <w:tr w:rsidR="00776A1F" w14:paraId="61E0EF86" w14:textId="77777777">
        <w:trPr>
          <w:trHeight w:val="1060"/>
        </w:trPr>
        <w:tc>
          <w:tcPr>
            <w:tcW w:w="1135" w:type="dxa"/>
            <w:shd w:val="clear" w:color="auto" w:fill="C5EFCE"/>
            <w:vAlign w:val="center"/>
            <w:hideMark/>
          </w:tcPr>
          <w:p w14:paraId="148B85D9" w14:textId="77777777" w:rsidR="00776A1F" w:rsidRDefault="00D8574B">
            <w:pPr>
              <w:pStyle w:val="P68B1DB1-Normal7"/>
              <w:spacing w:after="0" w:line="240" w:lineRule="auto"/>
              <w:jc w:val="center"/>
              <w:rPr>
                <w:rFonts w:eastAsia="Times New Roman" w:cs="Calibri"/>
                <w:noProof/>
              </w:rPr>
            </w:pPr>
            <w:r>
              <w:rPr>
                <w:noProof/>
              </w:rPr>
              <w:t>6.6</w:t>
            </w:r>
          </w:p>
        </w:tc>
        <w:tc>
          <w:tcPr>
            <w:tcW w:w="1276" w:type="dxa"/>
            <w:shd w:val="clear" w:color="auto" w:fill="C4EFCE"/>
            <w:noWrap/>
            <w:vAlign w:val="center"/>
            <w:hideMark/>
          </w:tcPr>
          <w:p w14:paraId="479AA52E" w14:textId="77777777" w:rsidR="00776A1F" w:rsidRDefault="00D8574B">
            <w:pPr>
              <w:pStyle w:val="P68B1DB1-Normal8"/>
              <w:spacing w:after="0" w:line="240" w:lineRule="auto"/>
              <w:jc w:val="center"/>
              <w:rPr>
                <w:rFonts w:eastAsia="Times New Roman" w:cs="Calibri"/>
                <w:noProof/>
              </w:rPr>
            </w:pPr>
            <w:r>
              <w:rPr>
                <w:noProof/>
              </w:rPr>
              <w:t>Re-C06-i03</w:t>
            </w:r>
          </w:p>
        </w:tc>
        <w:tc>
          <w:tcPr>
            <w:tcW w:w="1134" w:type="dxa"/>
            <w:shd w:val="clear" w:color="auto" w:fill="C4EFCE"/>
            <w:noWrap/>
            <w:vAlign w:val="center"/>
            <w:hideMark/>
          </w:tcPr>
          <w:p w14:paraId="12BFBD4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0CC8E3A" w14:textId="77777777" w:rsidR="00776A1F" w:rsidRDefault="00D8574B">
            <w:pPr>
              <w:pStyle w:val="P68B1DB1-Normal8"/>
              <w:spacing w:after="0" w:line="240" w:lineRule="auto"/>
              <w:jc w:val="center"/>
              <w:rPr>
                <w:rFonts w:eastAsia="Times New Roman" w:cs="Calibri"/>
                <w:noProof/>
              </w:rPr>
            </w:pPr>
            <w:r>
              <w:rPr>
                <w:noProof/>
              </w:rPr>
              <w:t>Papildu dalībnieki pasākumos, kuru mērķis ir atbalstīt pieaugušo prasmju pilnveidi</w:t>
            </w:r>
          </w:p>
        </w:tc>
        <w:tc>
          <w:tcPr>
            <w:tcW w:w="1275" w:type="dxa"/>
            <w:shd w:val="clear" w:color="auto" w:fill="C4EFCE"/>
            <w:noWrap/>
            <w:vAlign w:val="center"/>
            <w:hideMark/>
          </w:tcPr>
          <w:p w14:paraId="22792D93"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DD62676"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3B8E5057" w14:textId="77777777" w:rsidR="00776A1F" w:rsidRDefault="00D8574B">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5DACDA6B" w14:textId="25014E5E" w:rsidR="00776A1F" w:rsidRDefault="00D8574B">
            <w:pPr>
              <w:pStyle w:val="P68B1DB1-Normal8"/>
              <w:spacing w:after="0" w:line="240" w:lineRule="auto"/>
              <w:jc w:val="center"/>
              <w:rPr>
                <w:rFonts w:eastAsia="Times New Roman" w:cs="Calibri"/>
                <w:noProof/>
              </w:rPr>
            </w:pPr>
            <w:r>
              <w:rPr>
                <w:noProof/>
              </w:rPr>
              <w:t>145 500</w:t>
            </w:r>
          </w:p>
        </w:tc>
        <w:tc>
          <w:tcPr>
            <w:tcW w:w="567" w:type="dxa"/>
            <w:shd w:val="clear" w:color="auto" w:fill="C4EFCE"/>
            <w:noWrap/>
            <w:vAlign w:val="center"/>
            <w:hideMark/>
          </w:tcPr>
          <w:p w14:paraId="4B441948"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0E8AB3E7"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A246919" w14:textId="27E7058B" w:rsidR="00776A1F" w:rsidRDefault="00D8574B">
            <w:pPr>
              <w:pStyle w:val="P68B1DB1-Normal8"/>
              <w:spacing w:after="0" w:line="240" w:lineRule="auto"/>
              <w:jc w:val="both"/>
              <w:rPr>
                <w:rFonts w:eastAsia="Times New Roman" w:cs="Calibri"/>
                <w:noProof/>
              </w:rPr>
            </w:pPr>
            <w:r>
              <w:rPr>
                <w:noProof/>
              </w:rPr>
              <w:t>Pieaugušo (18+) dalībnieku papildu skaits, kas piedalījušies kādā no šādiem kursiem: I) B1/B2/B3 līmeņa pamatizglītības un apmācības kursi pieaugušajiem, ko īsteno vietējos projektos, kuri gūst labumu no Nacionālā pieaugušo rakstpratības plāna paplašināšanas; mācību ceļi mazkvalificētu pieaugušo prasmju atzīšanai, validēšanai un sertificēšanai (RVCC); un iii) īstermiņa terciārās izglītības kursi, ko organizē augstākās izglītības iestāžu un darba devēju konsorciji.</w:t>
            </w:r>
          </w:p>
        </w:tc>
      </w:tr>
      <w:tr w:rsidR="00776A1F" w14:paraId="4D402638" w14:textId="77777777">
        <w:trPr>
          <w:trHeight w:val="640"/>
        </w:trPr>
        <w:tc>
          <w:tcPr>
            <w:tcW w:w="1135" w:type="dxa"/>
            <w:shd w:val="clear" w:color="auto" w:fill="C5EFCE"/>
            <w:vAlign w:val="center"/>
            <w:hideMark/>
          </w:tcPr>
          <w:p w14:paraId="0D51C2DF" w14:textId="77777777" w:rsidR="00776A1F" w:rsidRDefault="00D8574B">
            <w:pPr>
              <w:pStyle w:val="P68B1DB1-Normal7"/>
              <w:spacing w:after="0" w:line="240" w:lineRule="auto"/>
              <w:jc w:val="center"/>
              <w:rPr>
                <w:rFonts w:eastAsia="Times New Roman" w:cs="Calibri"/>
                <w:noProof/>
              </w:rPr>
            </w:pPr>
            <w:r>
              <w:rPr>
                <w:noProof/>
              </w:rPr>
              <w:t>6.7</w:t>
            </w:r>
          </w:p>
        </w:tc>
        <w:tc>
          <w:tcPr>
            <w:tcW w:w="1276" w:type="dxa"/>
            <w:shd w:val="clear" w:color="auto" w:fill="C4EFCE"/>
            <w:noWrap/>
            <w:vAlign w:val="center"/>
            <w:hideMark/>
          </w:tcPr>
          <w:p w14:paraId="14AD9AAA" w14:textId="77777777" w:rsidR="00776A1F" w:rsidRDefault="00D8574B">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6313215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FF28ED8" w14:textId="77777777" w:rsidR="00776A1F" w:rsidRDefault="00D8574B">
            <w:pPr>
              <w:pStyle w:val="P68B1DB1-Normal8"/>
              <w:spacing w:after="0" w:line="240" w:lineRule="auto"/>
              <w:jc w:val="center"/>
              <w:rPr>
                <w:rFonts w:eastAsia="Times New Roman" w:cs="Calibri"/>
                <w:noProof/>
              </w:rPr>
            </w:pPr>
            <w:r>
              <w:rPr>
                <w:noProof/>
              </w:rPr>
              <w:t xml:space="preserve">Papildu </w:t>
            </w:r>
            <w:r>
              <w:rPr>
                <w:i/>
                <w:noProof/>
              </w:rPr>
              <w:t>Ciência Viva</w:t>
            </w:r>
            <w:r>
              <w:rPr>
                <w:noProof/>
              </w:rPr>
              <w:t xml:space="preserve"> klubi</w:t>
            </w:r>
          </w:p>
        </w:tc>
        <w:tc>
          <w:tcPr>
            <w:tcW w:w="1275" w:type="dxa"/>
            <w:shd w:val="clear" w:color="auto" w:fill="C4EFCE"/>
            <w:noWrap/>
            <w:vAlign w:val="center"/>
            <w:hideMark/>
          </w:tcPr>
          <w:p w14:paraId="475EF3EC"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0C07D87"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139C60E3"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13DAAD2" w14:textId="77777777" w:rsidR="00776A1F" w:rsidRDefault="00D8574B">
            <w:pPr>
              <w:pStyle w:val="P68B1DB1-Normal8"/>
              <w:spacing w:after="0" w:line="240" w:lineRule="auto"/>
              <w:jc w:val="center"/>
              <w:rPr>
                <w:rFonts w:eastAsia="Times New Roman" w:cs="Calibri"/>
                <w:noProof/>
              </w:rPr>
            </w:pPr>
            <w:r>
              <w:rPr>
                <w:noProof/>
              </w:rPr>
              <w:t>650</w:t>
            </w:r>
          </w:p>
        </w:tc>
        <w:tc>
          <w:tcPr>
            <w:tcW w:w="567" w:type="dxa"/>
            <w:shd w:val="clear" w:color="auto" w:fill="C4EFCE"/>
            <w:noWrap/>
            <w:vAlign w:val="center"/>
            <w:hideMark/>
          </w:tcPr>
          <w:p w14:paraId="65CF29A1"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577D02B1"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1DD2E25" w14:textId="77777777" w:rsidR="00776A1F" w:rsidRDefault="00D8574B">
            <w:pPr>
              <w:pStyle w:val="P68B1DB1-Normal8"/>
              <w:spacing w:after="0" w:line="240" w:lineRule="auto"/>
              <w:jc w:val="both"/>
              <w:rPr>
                <w:rFonts w:eastAsia="Times New Roman" w:cs="Calibri"/>
                <w:noProof/>
              </w:rPr>
            </w:pPr>
            <w:r>
              <w:rPr>
                <w:noProof/>
              </w:rPr>
              <w:t xml:space="preserve">Jaunu klubu skaits, kas iekļauti klubu </w:t>
            </w:r>
            <w:r>
              <w:rPr>
                <w:i/>
                <w:noProof/>
              </w:rPr>
              <w:t>Ciência Viva</w:t>
            </w:r>
            <w:r>
              <w:rPr>
                <w:noProof/>
              </w:rPr>
              <w:t xml:space="preserve"> tīklā, koncentrējoties uz STEAM jomām, kuru mērķis ir izplatīt zinātniskās vērtības vidusskolu tīklā, cita starpā izmantojot partnerības ar universitātēm un pētniecības centriem, kā arī organizējot seminārus un darbseminārus.</w:t>
            </w:r>
          </w:p>
        </w:tc>
      </w:tr>
      <w:tr w:rsidR="00776A1F" w14:paraId="49C0C904" w14:textId="77777777">
        <w:trPr>
          <w:trHeight w:val="430"/>
        </w:trPr>
        <w:tc>
          <w:tcPr>
            <w:tcW w:w="1135" w:type="dxa"/>
            <w:shd w:val="clear" w:color="auto" w:fill="C5EFCE"/>
            <w:vAlign w:val="center"/>
            <w:hideMark/>
          </w:tcPr>
          <w:p w14:paraId="31071806" w14:textId="77777777" w:rsidR="00776A1F" w:rsidRDefault="00D8574B">
            <w:pPr>
              <w:pStyle w:val="P68B1DB1-Normal7"/>
              <w:spacing w:after="0" w:line="240" w:lineRule="auto"/>
              <w:jc w:val="center"/>
              <w:rPr>
                <w:rFonts w:eastAsia="Times New Roman" w:cs="Calibri"/>
                <w:noProof/>
              </w:rPr>
            </w:pPr>
            <w:r>
              <w:rPr>
                <w:noProof/>
              </w:rPr>
              <w:t>6.8</w:t>
            </w:r>
          </w:p>
        </w:tc>
        <w:tc>
          <w:tcPr>
            <w:tcW w:w="1276" w:type="dxa"/>
            <w:shd w:val="clear" w:color="auto" w:fill="C4EFCE"/>
            <w:noWrap/>
            <w:vAlign w:val="center"/>
            <w:hideMark/>
          </w:tcPr>
          <w:p w14:paraId="7831644F" w14:textId="77777777" w:rsidR="00776A1F" w:rsidRDefault="00D8574B">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19E22B8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4ABB0A2" w14:textId="77777777" w:rsidR="00776A1F" w:rsidRDefault="00D8574B">
            <w:pPr>
              <w:pStyle w:val="P68B1DB1-Normal8"/>
              <w:spacing w:after="0" w:line="240" w:lineRule="auto"/>
              <w:jc w:val="center"/>
              <w:rPr>
                <w:rFonts w:eastAsia="Times New Roman" w:cs="Calibri"/>
                <w:noProof/>
              </w:rPr>
            </w:pPr>
            <w:r>
              <w:rPr>
                <w:noProof/>
              </w:rPr>
              <w:t>Papildu studentu skaits, kas absolvējuši terciārās izglītības kursus STEAM jomās</w:t>
            </w:r>
          </w:p>
        </w:tc>
        <w:tc>
          <w:tcPr>
            <w:tcW w:w="1275" w:type="dxa"/>
            <w:shd w:val="clear" w:color="auto" w:fill="C4EFCE"/>
            <w:noWrap/>
            <w:vAlign w:val="center"/>
            <w:hideMark/>
          </w:tcPr>
          <w:p w14:paraId="19A3F63E"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2A75A0"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71EF5171"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05143F7C" w14:textId="77777777" w:rsidR="00776A1F" w:rsidRDefault="00D8574B">
            <w:pPr>
              <w:pStyle w:val="P68B1DB1-Normal8"/>
              <w:spacing w:after="0" w:line="240" w:lineRule="auto"/>
              <w:jc w:val="right"/>
              <w:rPr>
                <w:rFonts w:eastAsia="Times New Roman" w:cs="Calibri"/>
                <w:noProof/>
              </w:rPr>
            </w:pPr>
            <w:r>
              <w:rPr>
                <w:noProof/>
              </w:rPr>
              <w:t>7500</w:t>
            </w:r>
          </w:p>
        </w:tc>
        <w:tc>
          <w:tcPr>
            <w:tcW w:w="567" w:type="dxa"/>
            <w:shd w:val="clear" w:color="auto" w:fill="C4EFCE"/>
            <w:noWrap/>
            <w:vAlign w:val="center"/>
            <w:hideMark/>
          </w:tcPr>
          <w:p w14:paraId="74D42D05"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0AD002C5"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6906ED0C" w14:textId="1A58018F" w:rsidR="00776A1F" w:rsidRDefault="00D8574B">
            <w:pPr>
              <w:pStyle w:val="P68B1DB1-Normal8"/>
              <w:spacing w:after="0" w:line="240" w:lineRule="auto"/>
              <w:jc w:val="both"/>
              <w:rPr>
                <w:rFonts w:eastAsia="Times New Roman" w:cs="Calibri"/>
                <w:noProof/>
              </w:rPr>
            </w:pPr>
            <w:r>
              <w:rPr>
                <w:noProof/>
              </w:rPr>
              <w:t>Augstākās izglītības absolventu papildu skaits STEAM jomās (t. i., zinātnē, tehnoloģijā, inženierzinātnēs, mākslā un matemātikā): augstākās izglītības absolventi no īstermiņa un pirmā cikla augstākās izglītības programmām un īstermiņa kursiem. (līdz 2 gadiem) salīdzinājumā ar 2020. gadu.</w:t>
            </w:r>
          </w:p>
        </w:tc>
      </w:tr>
      <w:tr w:rsidR="00776A1F" w14:paraId="41A35489" w14:textId="77777777">
        <w:trPr>
          <w:trHeight w:val="430"/>
        </w:trPr>
        <w:tc>
          <w:tcPr>
            <w:tcW w:w="1135" w:type="dxa"/>
            <w:shd w:val="clear" w:color="auto" w:fill="C5EFCE"/>
            <w:vAlign w:val="center"/>
            <w:hideMark/>
          </w:tcPr>
          <w:p w14:paraId="03EC6843" w14:textId="77777777" w:rsidR="00776A1F" w:rsidRDefault="00D8574B">
            <w:pPr>
              <w:pStyle w:val="P68B1DB1-Normal7"/>
              <w:spacing w:after="0" w:line="240" w:lineRule="auto"/>
              <w:jc w:val="center"/>
              <w:rPr>
                <w:rFonts w:eastAsia="Times New Roman" w:cs="Calibri"/>
                <w:noProof/>
              </w:rPr>
            </w:pPr>
            <w:r>
              <w:rPr>
                <w:noProof/>
              </w:rPr>
              <w:t>6.9</w:t>
            </w:r>
          </w:p>
        </w:tc>
        <w:tc>
          <w:tcPr>
            <w:tcW w:w="1276" w:type="dxa"/>
            <w:shd w:val="clear" w:color="auto" w:fill="C4EFCE"/>
            <w:noWrap/>
            <w:vAlign w:val="center"/>
            <w:hideMark/>
          </w:tcPr>
          <w:p w14:paraId="1F688299" w14:textId="77777777" w:rsidR="00776A1F" w:rsidRDefault="00D8574B">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0766DA2A"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FCC21AD" w14:textId="77777777" w:rsidR="00776A1F" w:rsidRDefault="00D8574B">
            <w:pPr>
              <w:pStyle w:val="P68B1DB1-Normal8"/>
              <w:spacing w:after="0" w:line="240" w:lineRule="auto"/>
              <w:jc w:val="center"/>
              <w:rPr>
                <w:rFonts w:eastAsia="Times New Roman" w:cs="Calibri"/>
                <w:noProof/>
              </w:rPr>
            </w:pPr>
            <w:r>
              <w:rPr>
                <w:noProof/>
              </w:rPr>
              <w:t xml:space="preserve">Papildu skaits studentu, kas pabeiguši terciārās izglītības kursus STEAM </w:t>
            </w:r>
          </w:p>
        </w:tc>
        <w:tc>
          <w:tcPr>
            <w:tcW w:w="1275" w:type="dxa"/>
            <w:shd w:val="clear" w:color="auto" w:fill="C4EFCE"/>
            <w:noWrap/>
            <w:vAlign w:val="center"/>
            <w:hideMark/>
          </w:tcPr>
          <w:p w14:paraId="2534A7F7"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01C7875"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0F461685" w14:textId="77777777" w:rsidR="00776A1F" w:rsidRDefault="00D8574B">
            <w:pPr>
              <w:pStyle w:val="P68B1DB1-Normal8"/>
              <w:spacing w:after="0" w:line="240" w:lineRule="auto"/>
              <w:jc w:val="center"/>
              <w:rPr>
                <w:rFonts w:eastAsia="Times New Roman" w:cs="Calibri"/>
                <w:noProof/>
              </w:rPr>
            </w:pPr>
            <w:r>
              <w:rPr>
                <w:noProof/>
              </w:rPr>
              <w:t>7 500</w:t>
            </w:r>
          </w:p>
        </w:tc>
        <w:tc>
          <w:tcPr>
            <w:tcW w:w="850" w:type="dxa"/>
            <w:shd w:val="clear" w:color="auto" w:fill="C4EFCE"/>
            <w:noWrap/>
            <w:vAlign w:val="center"/>
            <w:hideMark/>
          </w:tcPr>
          <w:p w14:paraId="0EDAA318" w14:textId="77777777" w:rsidR="00776A1F" w:rsidRDefault="00D8574B">
            <w:pPr>
              <w:pStyle w:val="P68B1DB1-Normal8"/>
              <w:spacing w:after="0" w:line="240" w:lineRule="auto"/>
              <w:jc w:val="center"/>
              <w:rPr>
                <w:rFonts w:eastAsia="Times New Roman" w:cs="Calibri"/>
                <w:noProof/>
              </w:rPr>
            </w:pPr>
            <w:r>
              <w:rPr>
                <w:noProof/>
              </w:rPr>
              <w:t>10 000</w:t>
            </w:r>
          </w:p>
        </w:tc>
        <w:tc>
          <w:tcPr>
            <w:tcW w:w="567" w:type="dxa"/>
            <w:shd w:val="clear" w:color="auto" w:fill="C4EFCE"/>
            <w:noWrap/>
            <w:vAlign w:val="center"/>
            <w:hideMark/>
          </w:tcPr>
          <w:p w14:paraId="74AF7ABA"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0B041574"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6B7BB90" w14:textId="6491F048" w:rsidR="00776A1F" w:rsidRDefault="00D8574B">
            <w:pPr>
              <w:pStyle w:val="P68B1DB1-Normal8"/>
              <w:spacing w:after="0" w:line="240" w:lineRule="auto"/>
              <w:jc w:val="both"/>
              <w:rPr>
                <w:rFonts w:eastAsia="Times New Roman" w:cs="Calibri"/>
                <w:noProof/>
              </w:rPr>
            </w:pPr>
            <w:r>
              <w:rPr>
                <w:noProof/>
              </w:rPr>
              <w:t>Augstākās izglītības absolventu papildu skaits STEAM jomās (t. i., zinātnē, tehnoloģijā, inženierzinātnēs, mākslā un matemātikā): augstākās izglītības absolventi no īstermiņa un pirmā cikla augstākās izglītības programmām un īstermiņa kursiem. (līdz 2 gadiem) salīdzinājumā ar 2020. gadu.</w:t>
            </w:r>
          </w:p>
        </w:tc>
      </w:tr>
      <w:tr w:rsidR="00776A1F" w14:paraId="7BCA29C4" w14:textId="77777777">
        <w:trPr>
          <w:trHeight w:val="430"/>
        </w:trPr>
        <w:tc>
          <w:tcPr>
            <w:tcW w:w="1135" w:type="dxa"/>
            <w:shd w:val="clear" w:color="auto" w:fill="C5EFCE"/>
            <w:vAlign w:val="center"/>
            <w:hideMark/>
          </w:tcPr>
          <w:p w14:paraId="31EEE1B7" w14:textId="77777777" w:rsidR="00776A1F" w:rsidRDefault="00D8574B">
            <w:pPr>
              <w:pStyle w:val="P68B1DB1-Normal7"/>
              <w:spacing w:after="0" w:line="240" w:lineRule="auto"/>
              <w:jc w:val="center"/>
              <w:rPr>
                <w:rFonts w:eastAsia="Times New Roman" w:cs="Calibri"/>
                <w:noProof/>
              </w:rPr>
            </w:pPr>
            <w:r>
              <w:rPr>
                <w:noProof/>
              </w:rPr>
              <w:t>6.10</w:t>
            </w:r>
          </w:p>
        </w:tc>
        <w:tc>
          <w:tcPr>
            <w:tcW w:w="1276" w:type="dxa"/>
            <w:shd w:val="clear" w:color="auto" w:fill="C4EFCE"/>
            <w:noWrap/>
            <w:vAlign w:val="center"/>
            <w:hideMark/>
          </w:tcPr>
          <w:p w14:paraId="3455EA12" w14:textId="77777777" w:rsidR="00776A1F" w:rsidRDefault="00D8574B">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F017E0B"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74D4D1A" w14:textId="77777777" w:rsidR="00776A1F" w:rsidRDefault="00D8574B">
            <w:pPr>
              <w:pStyle w:val="P68B1DB1-Normal8"/>
              <w:spacing w:after="0" w:line="240" w:lineRule="auto"/>
              <w:jc w:val="center"/>
              <w:rPr>
                <w:rFonts w:eastAsia="Times New Roman" w:cs="Calibri"/>
                <w:noProof/>
              </w:rPr>
            </w:pPr>
            <w:r>
              <w:rPr>
                <w:noProof/>
              </w:rPr>
              <w:t>Papildu skaits pieaugušo, kuri ir uzņemti pēcvidusskolas un terciārajā izglītībā Azoru salu autonomajā reģionā</w:t>
            </w:r>
          </w:p>
        </w:tc>
        <w:tc>
          <w:tcPr>
            <w:tcW w:w="1275" w:type="dxa"/>
            <w:shd w:val="clear" w:color="auto" w:fill="C4EFCE"/>
            <w:noWrap/>
            <w:vAlign w:val="center"/>
            <w:hideMark/>
          </w:tcPr>
          <w:p w14:paraId="4B93C7DE"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77F4A"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408B2C73"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36350747" w14:textId="77777777" w:rsidR="00776A1F" w:rsidRDefault="00D8574B">
            <w:pPr>
              <w:pStyle w:val="P68B1DB1-Normal8"/>
              <w:spacing w:after="0" w:line="240" w:lineRule="auto"/>
              <w:jc w:val="center"/>
              <w:rPr>
                <w:rFonts w:eastAsia="Times New Roman" w:cs="Calibri"/>
                <w:noProof/>
              </w:rPr>
            </w:pPr>
            <w:r>
              <w:rPr>
                <w:noProof/>
              </w:rPr>
              <w:t>1 145</w:t>
            </w:r>
          </w:p>
        </w:tc>
        <w:tc>
          <w:tcPr>
            <w:tcW w:w="567" w:type="dxa"/>
            <w:shd w:val="clear" w:color="auto" w:fill="C4EFCE"/>
            <w:noWrap/>
            <w:vAlign w:val="center"/>
            <w:hideMark/>
          </w:tcPr>
          <w:p w14:paraId="2B64FDEB"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C6DF304"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110C7B5" w14:textId="77777777" w:rsidR="00776A1F" w:rsidRDefault="00D8574B">
            <w:pPr>
              <w:pStyle w:val="P68B1DB1-Normal8"/>
              <w:spacing w:after="0" w:line="240" w:lineRule="auto"/>
              <w:jc w:val="both"/>
              <w:rPr>
                <w:rFonts w:eastAsia="Times New Roman" w:cs="Calibri"/>
                <w:noProof/>
              </w:rPr>
            </w:pPr>
            <w:r>
              <w:rPr>
                <w:noProof/>
              </w:rPr>
              <w:t>Papildu skaits pieaugušo, kuri ir uzņemti pēcvidusskolas un terciārajā izglītībā Azoru salu autonomajā reģionā.</w:t>
            </w:r>
          </w:p>
        </w:tc>
      </w:tr>
      <w:tr w:rsidR="00776A1F" w14:paraId="750BEA35" w14:textId="77777777">
        <w:trPr>
          <w:trHeight w:val="1060"/>
        </w:trPr>
        <w:tc>
          <w:tcPr>
            <w:tcW w:w="1135" w:type="dxa"/>
            <w:shd w:val="clear" w:color="auto" w:fill="C5EFCE"/>
            <w:vAlign w:val="center"/>
            <w:hideMark/>
          </w:tcPr>
          <w:p w14:paraId="15B13B31" w14:textId="77777777" w:rsidR="00776A1F" w:rsidRDefault="00D8574B">
            <w:pPr>
              <w:pStyle w:val="P68B1DB1-Normal7"/>
              <w:spacing w:after="0" w:line="240" w:lineRule="auto"/>
              <w:jc w:val="center"/>
              <w:rPr>
                <w:rFonts w:eastAsia="Times New Roman" w:cs="Calibri"/>
                <w:noProof/>
              </w:rPr>
            </w:pPr>
            <w:r>
              <w:rPr>
                <w:noProof/>
              </w:rPr>
              <w:t>6.11</w:t>
            </w:r>
          </w:p>
        </w:tc>
        <w:tc>
          <w:tcPr>
            <w:tcW w:w="1276" w:type="dxa"/>
            <w:shd w:val="clear" w:color="auto" w:fill="C4EFCE"/>
            <w:noWrap/>
            <w:vAlign w:val="center"/>
            <w:hideMark/>
          </w:tcPr>
          <w:p w14:paraId="4B3896E6" w14:textId="77777777" w:rsidR="00776A1F" w:rsidRDefault="00D8574B">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501D610"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27DFBDA" w14:textId="77777777" w:rsidR="00776A1F" w:rsidRDefault="00D8574B">
            <w:pPr>
              <w:pStyle w:val="P68B1DB1-Normal8"/>
              <w:spacing w:after="0" w:line="240" w:lineRule="auto"/>
              <w:jc w:val="center"/>
              <w:rPr>
                <w:rFonts w:eastAsia="Times New Roman" w:cs="Calibri"/>
                <w:noProof/>
              </w:rPr>
            </w:pPr>
            <w:r>
              <w:rPr>
                <w:noProof/>
              </w:rPr>
              <w:t>Modernizētas profesionālās skolas Azoru salu autonomajā reģionā</w:t>
            </w:r>
          </w:p>
        </w:tc>
        <w:tc>
          <w:tcPr>
            <w:tcW w:w="1275" w:type="dxa"/>
            <w:shd w:val="clear" w:color="auto" w:fill="C4EFCE"/>
            <w:noWrap/>
            <w:vAlign w:val="center"/>
            <w:hideMark/>
          </w:tcPr>
          <w:p w14:paraId="7633C471"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04129F"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264B2313"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B8D440E" w14:textId="77777777" w:rsidR="00776A1F" w:rsidRDefault="00D8574B">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657890BF"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D55CA0C"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352652" w14:textId="60266876" w:rsidR="00776A1F" w:rsidRDefault="00D8574B">
            <w:pPr>
              <w:pStyle w:val="P68B1DB1-Normal8"/>
              <w:spacing w:after="0" w:line="240" w:lineRule="auto"/>
              <w:jc w:val="both"/>
              <w:rPr>
                <w:rFonts w:eastAsia="Times New Roman" w:cs="Calibri"/>
                <w:noProof/>
              </w:rPr>
            </w:pPr>
            <w:r>
              <w:rPr>
                <w:noProof/>
              </w:rPr>
              <w:t>To profesionālo skolu un publisko mācību iestāžu skaits, kuras ir guvušas labumu no darbsemināru, laboratoriju un datortelpu renovācijas un jauna aprīkojuma iegādes atbilstoši tehnoloģiju attīstībai. Ja infrastruktūras modernizācija ietver ēku renovāciju, ar energoefektivitātes renovāciju vidēji panāk vismaz vidēja līmeņa renovāciju, kā noteikts Komisijas Ieteikumā (ES) 2019/786 par ēku renovāciju.</w:t>
            </w:r>
          </w:p>
        </w:tc>
      </w:tr>
      <w:tr w:rsidR="00776A1F" w14:paraId="55F947BE" w14:textId="77777777">
        <w:trPr>
          <w:trHeight w:val="1171"/>
        </w:trPr>
        <w:tc>
          <w:tcPr>
            <w:tcW w:w="1135" w:type="dxa"/>
            <w:shd w:val="clear" w:color="auto" w:fill="C5EFCE"/>
            <w:vAlign w:val="center"/>
            <w:hideMark/>
          </w:tcPr>
          <w:p w14:paraId="6524EBF6" w14:textId="77777777" w:rsidR="00776A1F" w:rsidRDefault="00D8574B">
            <w:pPr>
              <w:pStyle w:val="P68B1DB1-Normal7"/>
              <w:spacing w:after="0" w:line="240" w:lineRule="auto"/>
              <w:jc w:val="center"/>
              <w:rPr>
                <w:rFonts w:eastAsia="Times New Roman" w:cs="Calibri"/>
                <w:noProof/>
              </w:rPr>
            </w:pPr>
            <w:r>
              <w:rPr>
                <w:noProof/>
              </w:rPr>
              <w:t>6.12</w:t>
            </w:r>
          </w:p>
        </w:tc>
        <w:tc>
          <w:tcPr>
            <w:tcW w:w="1276" w:type="dxa"/>
            <w:shd w:val="clear" w:color="auto" w:fill="C4EFCE"/>
            <w:noWrap/>
            <w:vAlign w:val="center"/>
            <w:hideMark/>
          </w:tcPr>
          <w:p w14:paraId="547D2E2F" w14:textId="77777777" w:rsidR="00776A1F" w:rsidRDefault="00D8574B">
            <w:pPr>
              <w:pStyle w:val="P68B1DB1-Normal8"/>
              <w:spacing w:after="0" w:line="240" w:lineRule="auto"/>
              <w:jc w:val="center"/>
              <w:rPr>
                <w:rFonts w:eastAsia="Times New Roman" w:cs="Calibri"/>
                <w:noProof/>
              </w:rPr>
            </w:pPr>
            <w:r>
              <w:rPr>
                <w:noProof/>
              </w:rPr>
              <w:t>Re-C06-r14</w:t>
            </w:r>
          </w:p>
        </w:tc>
        <w:tc>
          <w:tcPr>
            <w:tcW w:w="1134" w:type="dxa"/>
            <w:shd w:val="clear" w:color="auto" w:fill="C4EFCE"/>
            <w:noWrap/>
            <w:vAlign w:val="center"/>
            <w:hideMark/>
          </w:tcPr>
          <w:p w14:paraId="6161978A"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7FF7A7F" w14:textId="77777777" w:rsidR="00776A1F" w:rsidRDefault="00D8574B">
            <w:pPr>
              <w:pStyle w:val="P68B1DB1-Normal8"/>
              <w:spacing w:after="0" w:line="240" w:lineRule="auto"/>
              <w:jc w:val="center"/>
              <w:rPr>
                <w:rFonts w:eastAsia="Times New Roman" w:cs="Calibri"/>
                <w:noProof/>
              </w:rPr>
            </w:pPr>
            <w:r>
              <w:rPr>
                <w:noProof/>
              </w:rPr>
              <w:t>Mācību vakanču atvēršana</w:t>
            </w:r>
          </w:p>
        </w:tc>
        <w:tc>
          <w:tcPr>
            <w:tcW w:w="1275" w:type="dxa"/>
            <w:shd w:val="clear" w:color="auto" w:fill="C4EFCE"/>
            <w:noWrap/>
            <w:vAlign w:val="center"/>
            <w:hideMark/>
          </w:tcPr>
          <w:p w14:paraId="1F0B5386"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8FF90D"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7E521221"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D8E74D9" w14:textId="77777777" w:rsidR="00776A1F" w:rsidRDefault="00D8574B">
            <w:pPr>
              <w:pStyle w:val="P68B1DB1-Normal8"/>
              <w:spacing w:after="0" w:line="240" w:lineRule="auto"/>
              <w:jc w:val="center"/>
              <w:rPr>
                <w:rFonts w:eastAsia="Times New Roman" w:cs="Calibri"/>
                <w:noProof/>
              </w:rPr>
            </w:pPr>
            <w:r>
              <w:rPr>
                <w:noProof/>
              </w:rPr>
              <w:t>20 000</w:t>
            </w:r>
          </w:p>
        </w:tc>
        <w:tc>
          <w:tcPr>
            <w:tcW w:w="567" w:type="dxa"/>
            <w:shd w:val="clear" w:color="auto" w:fill="C4EFCE"/>
            <w:noWrap/>
            <w:vAlign w:val="center"/>
            <w:hideMark/>
          </w:tcPr>
          <w:p w14:paraId="4D258239"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330192EF" w14:textId="77777777" w:rsidR="00776A1F" w:rsidRDefault="00D8574B">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5E6EA693" w14:textId="77777777" w:rsidR="00776A1F" w:rsidRDefault="00D8574B">
            <w:pPr>
              <w:pStyle w:val="P68B1DB1-Normal8"/>
              <w:spacing w:after="0" w:line="240" w:lineRule="auto"/>
              <w:jc w:val="both"/>
              <w:rPr>
                <w:rFonts w:eastAsia="Times New Roman" w:cs="Calibri"/>
                <w:noProof/>
              </w:rPr>
            </w:pPr>
            <w:r>
              <w:rPr>
                <w:noProof/>
              </w:rPr>
              <w:t>Jaunu vakanču skaits, kas atvērtas profesionālajos kursos pēc valsts kvalifikāciju kataloga (CNQ) uzlabošanas jaunās jomās, pamatojoties uz prasmju prognozēšanas diagnozi (SANQ).</w:t>
            </w:r>
          </w:p>
        </w:tc>
      </w:tr>
      <w:tr w:rsidR="00776A1F" w14:paraId="4D68171D" w14:textId="77777777">
        <w:trPr>
          <w:trHeight w:val="430"/>
        </w:trPr>
        <w:tc>
          <w:tcPr>
            <w:tcW w:w="1135" w:type="dxa"/>
            <w:shd w:val="clear" w:color="auto" w:fill="C5EFCE"/>
            <w:vAlign w:val="center"/>
            <w:hideMark/>
          </w:tcPr>
          <w:p w14:paraId="574224E8" w14:textId="77777777" w:rsidR="00776A1F" w:rsidRDefault="00D8574B">
            <w:pPr>
              <w:pStyle w:val="P68B1DB1-Normal7"/>
              <w:spacing w:after="0" w:line="240" w:lineRule="auto"/>
              <w:jc w:val="center"/>
              <w:rPr>
                <w:rFonts w:eastAsia="Times New Roman" w:cs="Calibri"/>
                <w:noProof/>
              </w:rPr>
            </w:pPr>
            <w:r>
              <w:rPr>
                <w:noProof/>
              </w:rPr>
              <w:t>6.13</w:t>
            </w:r>
          </w:p>
        </w:tc>
        <w:tc>
          <w:tcPr>
            <w:tcW w:w="1276" w:type="dxa"/>
            <w:shd w:val="clear" w:color="auto" w:fill="C4EFCE"/>
            <w:noWrap/>
            <w:vAlign w:val="center"/>
            <w:hideMark/>
          </w:tcPr>
          <w:p w14:paraId="1F8EACCD" w14:textId="77777777" w:rsidR="00776A1F" w:rsidRDefault="00D8574B">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3F880A1E"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0F8EBFA" w14:textId="77777777" w:rsidR="00776A1F" w:rsidRDefault="00D8574B">
            <w:pPr>
              <w:pStyle w:val="P68B1DB1-Normal8"/>
              <w:spacing w:after="0" w:line="240" w:lineRule="auto"/>
              <w:jc w:val="center"/>
              <w:rPr>
                <w:rFonts w:eastAsia="Times New Roman" w:cs="Calibri"/>
                <w:noProof/>
              </w:rPr>
            </w:pPr>
            <w:r>
              <w:rPr>
                <w:noProof/>
              </w:rPr>
              <w:t>Stājas spēkā likums, ar ko izveido īpašus konkursus augstākās izglītības iegūšanai</w:t>
            </w:r>
          </w:p>
        </w:tc>
        <w:tc>
          <w:tcPr>
            <w:tcW w:w="1275" w:type="dxa"/>
            <w:shd w:val="clear" w:color="auto" w:fill="C4EFCE"/>
            <w:noWrap/>
            <w:vAlign w:val="center"/>
            <w:hideMark/>
          </w:tcPr>
          <w:p w14:paraId="4881AFCF" w14:textId="77777777" w:rsidR="00776A1F" w:rsidRDefault="00D8574B">
            <w:pPr>
              <w:pStyle w:val="P68B1DB1-Normal8"/>
              <w:spacing w:after="0" w:line="240" w:lineRule="auto"/>
              <w:jc w:val="center"/>
              <w:rPr>
                <w:rFonts w:eastAsia="Times New Roman" w:cs="Calibri"/>
                <w:noProof/>
              </w:rPr>
            </w:pPr>
            <w:r>
              <w:rPr>
                <w:noProof/>
              </w:rPr>
              <w:t xml:space="preserve">Stājas spēkā likums, ar ko izveido īpašus konkursus augstākās izglītības iegūšanai </w:t>
            </w:r>
          </w:p>
        </w:tc>
        <w:tc>
          <w:tcPr>
            <w:tcW w:w="993" w:type="dxa"/>
            <w:shd w:val="clear" w:color="auto" w:fill="C4EFCE"/>
            <w:noWrap/>
            <w:vAlign w:val="center"/>
            <w:hideMark/>
          </w:tcPr>
          <w:p w14:paraId="324277CF"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FB1159"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CD5524E"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EC36569" w14:textId="77777777"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19163647" w14:textId="77777777" w:rsidR="00776A1F" w:rsidRDefault="00D8574B">
            <w:pPr>
              <w:pStyle w:val="P68B1DB1-Normal8"/>
              <w:spacing w:after="0" w:line="240" w:lineRule="auto"/>
              <w:jc w:val="center"/>
              <w:rPr>
                <w:rFonts w:eastAsia="Times New Roman" w:cs="Calibri"/>
                <w:noProof/>
              </w:rPr>
            </w:pPr>
            <w:r>
              <w:rPr>
                <w:noProof/>
              </w:rPr>
              <w:t>2020</w:t>
            </w:r>
          </w:p>
        </w:tc>
        <w:tc>
          <w:tcPr>
            <w:tcW w:w="4395" w:type="dxa"/>
            <w:shd w:val="clear" w:color="auto" w:fill="C4EFCE"/>
            <w:vAlign w:val="center"/>
            <w:hideMark/>
          </w:tcPr>
          <w:p w14:paraId="042D0010" w14:textId="77777777" w:rsidR="00776A1F" w:rsidRDefault="00D8574B">
            <w:pPr>
              <w:pStyle w:val="P68B1DB1-Normal8"/>
              <w:spacing w:after="0" w:line="240" w:lineRule="auto"/>
              <w:jc w:val="both"/>
              <w:rPr>
                <w:rFonts w:eastAsia="Times New Roman" w:cs="Calibri"/>
                <w:noProof/>
              </w:rPr>
            </w:pPr>
            <w:r>
              <w:rPr>
                <w:noProof/>
              </w:rPr>
              <w:t>Stājas spēkā likums, ar ko izveido īpašus konkursus augstākās izglītības iegūšanai studentiem, kuri pa profesionāliem kanāliem un specializētiem mākslas kursiem ir pabeiguši vidējo izglītību.</w:t>
            </w:r>
          </w:p>
        </w:tc>
      </w:tr>
      <w:tr w:rsidR="00776A1F" w14:paraId="5C350BC5" w14:textId="77777777">
        <w:trPr>
          <w:trHeight w:val="1480"/>
        </w:trPr>
        <w:tc>
          <w:tcPr>
            <w:tcW w:w="1135" w:type="dxa"/>
            <w:shd w:val="clear" w:color="auto" w:fill="C5EFCE"/>
            <w:vAlign w:val="center"/>
            <w:hideMark/>
          </w:tcPr>
          <w:p w14:paraId="2D4BA14E" w14:textId="77777777" w:rsidR="00776A1F" w:rsidRDefault="00D8574B">
            <w:pPr>
              <w:pStyle w:val="P68B1DB1-Normal7"/>
              <w:spacing w:after="0" w:line="240" w:lineRule="auto"/>
              <w:jc w:val="center"/>
              <w:rPr>
                <w:rFonts w:eastAsia="Times New Roman" w:cs="Calibri"/>
                <w:noProof/>
              </w:rPr>
            </w:pPr>
            <w:r>
              <w:rPr>
                <w:noProof/>
              </w:rPr>
              <w:t>6.14</w:t>
            </w:r>
          </w:p>
        </w:tc>
        <w:tc>
          <w:tcPr>
            <w:tcW w:w="1276" w:type="dxa"/>
            <w:shd w:val="clear" w:color="auto" w:fill="C4EFCE"/>
            <w:noWrap/>
            <w:vAlign w:val="center"/>
            <w:hideMark/>
          </w:tcPr>
          <w:p w14:paraId="49780B25" w14:textId="77777777" w:rsidR="00776A1F" w:rsidRDefault="00D8574B">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1D50742B"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285546A" w14:textId="77777777" w:rsidR="00776A1F" w:rsidRDefault="00D8574B">
            <w:pPr>
              <w:pStyle w:val="P68B1DB1-Normal8"/>
              <w:spacing w:after="0" w:line="240" w:lineRule="auto"/>
              <w:jc w:val="center"/>
              <w:rPr>
                <w:rFonts w:eastAsia="Times New Roman" w:cs="Calibri"/>
                <w:noProof/>
              </w:rPr>
            </w:pPr>
            <w:r>
              <w:rPr>
                <w:noProof/>
              </w:rPr>
              <w:t>Stājas spēkā jaunais tiesiskais regulējums, kas reglamentē augstākās izglītības iestāžu sadarbību ar valsts pārvaldi un uzņēmumiem</w:t>
            </w:r>
          </w:p>
        </w:tc>
        <w:tc>
          <w:tcPr>
            <w:tcW w:w="1275" w:type="dxa"/>
            <w:shd w:val="clear" w:color="auto" w:fill="C4EFCE"/>
            <w:noWrap/>
            <w:vAlign w:val="center"/>
            <w:hideMark/>
          </w:tcPr>
          <w:p w14:paraId="4004223A" w14:textId="77777777" w:rsidR="00776A1F" w:rsidRDefault="00D8574B">
            <w:pPr>
              <w:pStyle w:val="P68B1DB1-Normal8"/>
              <w:spacing w:after="0" w:line="240" w:lineRule="auto"/>
              <w:jc w:val="center"/>
              <w:rPr>
                <w:rFonts w:eastAsia="Times New Roman" w:cs="Calibri"/>
                <w:noProof/>
              </w:rPr>
            </w:pPr>
            <w:r>
              <w:rPr>
                <w:noProof/>
              </w:rPr>
              <w:t>Stājas spēkā jaunais tiesiskais regulējums, kas reglamentē augstākās izglītības iestāžu sadarbību ar valsts pārvaldi un uzņēmumiem</w:t>
            </w:r>
          </w:p>
        </w:tc>
        <w:tc>
          <w:tcPr>
            <w:tcW w:w="993" w:type="dxa"/>
            <w:shd w:val="clear" w:color="auto" w:fill="C4EFCE"/>
            <w:noWrap/>
            <w:vAlign w:val="center"/>
            <w:hideMark/>
          </w:tcPr>
          <w:p w14:paraId="79A1DBFD"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1817FB5"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00D13E6"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0C153E5" w14:textId="77777777"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53BC3D0D" w14:textId="77777777" w:rsidR="00776A1F" w:rsidRDefault="00D8574B">
            <w:pPr>
              <w:pStyle w:val="P68B1DB1-Normal8"/>
              <w:spacing w:after="0" w:line="240" w:lineRule="auto"/>
              <w:jc w:val="center"/>
              <w:rPr>
                <w:rFonts w:eastAsia="Times New Roman" w:cs="Calibri"/>
                <w:noProof/>
              </w:rPr>
            </w:pPr>
            <w:r>
              <w:rPr>
                <w:noProof/>
              </w:rPr>
              <w:t>2021</w:t>
            </w:r>
          </w:p>
        </w:tc>
        <w:tc>
          <w:tcPr>
            <w:tcW w:w="4395" w:type="dxa"/>
            <w:shd w:val="clear" w:color="auto" w:fill="C4EFCE"/>
            <w:vAlign w:val="center"/>
            <w:hideMark/>
          </w:tcPr>
          <w:p w14:paraId="777EF2C9" w14:textId="77777777" w:rsidR="00776A1F" w:rsidRDefault="00D8574B">
            <w:pPr>
              <w:pStyle w:val="P68B1DB1-Normal8"/>
              <w:spacing w:after="0" w:line="240" w:lineRule="auto"/>
              <w:jc w:val="both"/>
              <w:rPr>
                <w:rFonts w:eastAsia="Times New Roman" w:cs="Calibri"/>
                <w:noProof/>
              </w:rPr>
            </w:pPr>
            <w:r>
              <w:rPr>
                <w:noProof/>
              </w:rPr>
              <w:t>Stājas spēkā jaunais tiesiskais regulējums, kas reglamentē augstākās izglītības iestāžu sadarbību ar valsts pārvaldi un uzņēmumiem, tostarp: augstākās izglītības iestāžu sadarbības tīklu izveide partnerībā ar darba devējiem, inter alia veicinot sākotnējo augstāko izglītību, inovācijas projektus un pakalpojumus uzņēmumiem, ii) juridiskā statusa grozīšanu, lai precizētu nosacījumus, saskaņā ar kuriem ārējs speciālists var veikt mācīšanas vai vadības pienākumus augstākās izglītības iestādēs, lai veicinātu mobilitāti starp akadēmiskajām un uzņēmējdarbības aprindām; konsorciju stiprināšana ar dalītu pārvaldību starp augstākās izglītības iestādēm un uzņēmumiem.</w:t>
            </w:r>
          </w:p>
        </w:tc>
      </w:tr>
      <w:tr w:rsidR="00776A1F" w14:paraId="6B6D1913" w14:textId="77777777">
        <w:trPr>
          <w:trHeight w:val="1060"/>
        </w:trPr>
        <w:tc>
          <w:tcPr>
            <w:tcW w:w="1135" w:type="dxa"/>
            <w:shd w:val="clear" w:color="auto" w:fill="C5EFCE"/>
            <w:vAlign w:val="center"/>
            <w:hideMark/>
          </w:tcPr>
          <w:p w14:paraId="7A115D0E" w14:textId="77777777" w:rsidR="00776A1F" w:rsidRDefault="00D8574B">
            <w:pPr>
              <w:pStyle w:val="P68B1DB1-Normal7"/>
              <w:spacing w:after="0" w:line="240" w:lineRule="auto"/>
              <w:jc w:val="center"/>
              <w:rPr>
                <w:rFonts w:eastAsia="Times New Roman" w:cs="Calibri"/>
                <w:noProof/>
              </w:rPr>
            </w:pPr>
            <w:r>
              <w:rPr>
                <w:noProof/>
              </w:rPr>
              <w:t>6.15</w:t>
            </w:r>
          </w:p>
        </w:tc>
        <w:tc>
          <w:tcPr>
            <w:tcW w:w="1276" w:type="dxa"/>
            <w:shd w:val="clear" w:color="auto" w:fill="C4EFCE"/>
            <w:noWrap/>
            <w:vAlign w:val="center"/>
            <w:hideMark/>
          </w:tcPr>
          <w:p w14:paraId="072BCFC9" w14:textId="77777777" w:rsidR="00776A1F" w:rsidRDefault="00D8574B">
            <w:pPr>
              <w:pStyle w:val="P68B1DB1-Normal8"/>
              <w:spacing w:after="0" w:line="240" w:lineRule="auto"/>
              <w:jc w:val="center"/>
              <w:rPr>
                <w:rFonts w:eastAsia="Times New Roman" w:cs="Calibri"/>
                <w:noProof/>
              </w:rPr>
            </w:pPr>
            <w:r>
              <w:rPr>
                <w:noProof/>
              </w:rPr>
              <w:t>Re-C06-r16</w:t>
            </w:r>
          </w:p>
        </w:tc>
        <w:tc>
          <w:tcPr>
            <w:tcW w:w="1134" w:type="dxa"/>
            <w:shd w:val="clear" w:color="auto" w:fill="C4EFCE"/>
            <w:noWrap/>
            <w:vAlign w:val="center"/>
            <w:hideMark/>
          </w:tcPr>
          <w:p w14:paraId="36CF0280"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E9FAFFB" w14:textId="77777777" w:rsidR="00776A1F" w:rsidRDefault="00D8574B">
            <w:pPr>
              <w:pStyle w:val="P68B1DB1-Normal8"/>
              <w:spacing w:after="0" w:line="240" w:lineRule="auto"/>
              <w:jc w:val="center"/>
              <w:rPr>
                <w:rFonts w:eastAsia="Times New Roman" w:cs="Calibri"/>
                <w:noProof/>
              </w:rPr>
            </w:pPr>
            <w:r>
              <w:rPr>
                <w:noProof/>
              </w:rPr>
              <w:t>Likuma par reglamentētajām profesijām stāšanās spēkā</w:t>
            </w:r>
          </w:p>
        </w:tc>
        <w:tc>
          <w:tcPr>
            <w:tcW w:w="1275" w:type="dxa"/>
            <w:shd w:val="clear" w:color="auto" w:fill="C4EFCE"/>
            <w:noWrap/>
            <w:vAlign w:val="center"/>
            <w:hideMark/>
          </w:tcPr>
          <w:p w14:paraId="0F2F14F7" w14:textId="77777777" w:rsidR="00776A1F" w:rsidRDefault="00D8574B">
            <w:pPr>
              <w:pStyle w:val="P68B1DB1-Normal8"/>
              <w:spacing w:after="0" w:line="240" w:lineRule="auto"/>
              <w:jc w:val="center"/>
              <w:rPr>
                <w:rFonts w:eastAsia="Times New Roman" w:cs="Calibri"/>
                <w:noProof/>
              </w:rPr>
            </w:pPr>
            <w:r>
              <w:rPr>
                <w:noProof/>
              </w:rPr>
              <w:t>Likuma par reglamentētajām profesijām stāšanās spēkā</w:t>
            </w:r>
          </w:p>
        </w:tc>
        <w:tc>
          <w:tcPr>
            <w:tcW w:w="993" w:type="dxa"/>
            <w:shd w:val="clear" w:color="auto" w:fill="C4EFCE"/>
            <w:noWrap/>
            <w:vAlign w:val="center"/>
            <w:hideMark/>
          </w:tcPr>
          <w:p w14:paraId="1C4406F9"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8CC3D9E"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E64DB52"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E3EBB9F"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7B08CA5" w14:textId="77777777" w:rsidR="00776A1F" w:rsidRDefault="00D8574B">
            <w:pPr>
              <w:pStyle w:val="P68B1DB1-Normal8"/>
              <w:spacing w:after="0" w:line="240" w:lineRule="auto"/>
              <w:jc w:val="center"/>
              <w:rPr>
                <w:rFonts w:eastAsia="Times New Roman" w:cs="Calibri"/>
                <w:noProof/>
              </w:rPr>
            </w:pPr>
            <w:r>
              <w:rPr>
                <w:noProof/>
              </w:rPr>
              <w:t>2022</w:t>
            </w:r>
          </w:p>
        </w:tc>
        <w:tc>
          <w:tcPr>
            <w:tcW w:w="4395" w:type="dxa"/>
            <w:shd w:val="clear" w:color="auto" w:fill="C4EFCE"/>
            <w:vAlign w:val="center"/>
            <w:hideMark/>
          </w:tcPr>
          <w:p w14:paraId="6B104D29" w14:textId="61D2CBCD" w:rsidR="00776A1F" w:rsidRDefault="00D8574B">
            <w:pPr>
              <w:pStyle w:val="P68B1DB1-Normal8"/>
              <w:spacing w:after="0" w:line="240" w:lineRule="auto"/>
              <w:jc w:val="both"/>
              <w:rPr>
                <w:rFonts w:eastAsia="Times New Roman" w:cs="Calibri"/>
                <w:noProof/>
              </w:rPr>
            </w:pPr>
            <w:r>
              <w:rPr>
                <w:noProof/>
              </w:rPr>
              <w:t>Stājas spēkā likums, kura mērķis cita starpā ir: nodalīt regulējuma un pārstāvības funkcijas profesionālajās apvienībās; samazināt rezervēto darbību sarakstu. Piekļuvi darbībām var ierobežot tikai, lai aizsargātu konstitucionālās intereses saskaņā ar nepieciešamības un proporcionalitātes principiem; izbeigt ierobežojumus attiecībā uz uzņēmējdarbības pakalpojumu uzņēmumu īpašumtiesībām un pārvaldību, ja vadītāji ievēro tiesisko režīmu “interešu konflikta” novēršanai; un iv) atļaut daudzdisciplīnu uzņēmējdarbības pakalpojumus.</w:t>
            </w:r>
          </w:p>
        </w:tc>
      </w:tr>
      <w:tr w:rsidR="00776A1F" w14:paraId="23A0A514" w14:textId="77777777">
        <w:trPr>
          <w:trHeight w:val="640"/>
        </w:trPr>
        <w:tc>
          <w:tcPr>
            <w:tcW w:w="1135" w:type="dxa"/>
            <w:shd w:val="clear" w:color="auto" w:fill="C5EFCE"/>
            <w:vAlign w:val="center"/>
            <w:hideMark/>
          </w:tcPr>
          <w:p w14:paraId="5367DF6B" w14:textId="77777777" w:rsidR="00776A1F" w:rsidRDefault="00D8574B">
            <w:pPr>
              <w:pStyle w:val="P68B1DB1-Normal7"/>
              <w:spacing w:after="0" w:line="240" w:lineRule="auto"/>
              <w:jc w:val="center"/>
              <w:rPr>
                <w:rFonts w:eastAsia="Times New Roman" w:cs="Calibri"/>
                <w:noProof/>
              </w:rPr>
            </w:pPr>
            <w:r>
              <w:rPr>
                <w:noProof/>
              </w:rPr>
              <w:t>6.16</w:t>
            </w:r>
          </w:p>
        </w:tc>
        <w:tc>
          <w:tcPr>
            <w:tcW w:w="1276" w:type="dxa"/>
            <w:shd w:val="clear" w:color="auto" w:fill="C4EFCE"/>
            <w:noWrap/>
            <w:vAlign w:val="center"/>
            <w:hideMark/>
          </w:tcPr>
          <w:p w14:paraId="52F2ECE7" w14:textId="77777777" w:rsidR="00776A1F" w:rsidRDefault="00D8574B">
            <w:pPr>
              <w:pStyle w:val="P68B1DB1-Normal8"/>
              <w:spacing w:after="0" w:line="240" w:lineRule="auto"/>
              <w:jc w:val="center"/>
              <w:rPr>
                <w:rFonts w:eastAsia="Times New Roman" w:cs="Calibri"/>
                <w:noProof/>
              </w:rPr>
            </w:pPr>
            <w:r>
              <w:rPr>
                <w:noProof/>
              </w:rPr>
              <w:t>Re-C06-r17</w:t>
            </w:r>
          </w:p>
        </w:tc>
        <w:tc>
          <w:tcPr>
            <w:tcW w:w="1134" w:type="dxa"/>
            <w:shd w:val="clear" w:color="auto" w:fill="C4EFCE"/>
            <w:noWrap/>
            <w:vAlign w:val="center"/>
            <w:hideMark/>
          </w:tcPr>
          <w:p w14:paraId="4C773C60"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53FC47" w14:textId="77777777" w:rsidR="00776A1F" w:rsidRDefault="00D8574B">
            <w:pPr>
              <w:pStyle w:val="P68B1DB1-Normal8"/>
              <w:spacing w:after="0" w:line="240" w:lineRule="auto"/>
              <w:jc w:val="center"/>
              <w:rPr>
                <w:rFonts w:eastAsia="Times New Roman" w:cs="Calibri"/>
                <w:noProof/>
              </w:rPr>
            </w:pPr>
            <w:r>
              <w:rPr>
                <w:noProof/>
              </w:rPr>
              <w:t>Platformu darbu regulējošā likuma stāšanās spēkā</w:t>
            </w:r>
          </w:p>
        </w:tc>
        <w:tc>
          <w:tcPr>
            <w:tcW w:w="1275" w:type="dxa"/>
            <w:shd w:val="clear" w:color="auto" w:fill="C4EFCE"/>
            <w:noWrap/>
            <w:vAlign w:val="center"/>
            <w:hideMark/>
          </w:tcPr>
          <w:p w14:paraId="5201FB9F" w14:textId="77777777" w:rsidR="00776A1F" w:rsidRDefault="00D8574B">
            <w:pPr>
              <w:pStyle w:val="P68B1DB1-Normal8"/>
              <w:spacing w:after="0" w:line="240" w:lineRule="auto"/>
              <w:jc w:val="center"/>
              <w:rPr>
                <w:rFonts w:eastAsia="Times New Roman" w:cs="Calibri"/>
                <w:noProof/>
              </w:rPr>
            </w:pPr>
            <w:r>
              <w:rPr>
                <w:noProof/>
              </w:rPr>
              <w:t>Platformu darbu regulējošā likuma stāšanās spēkā</w:t>
            </w:r>
          </w:p>
        </w:tc>
        <w:tc>
          <w:tcPr>
            <w:tcW w:w="993" w:type="dxa"/>
            <w:shd w:val="clear" w:color="auto" w:fill="C4EFCE"/>
            <w:noWrap/>
            <w:vAlign w:val="center"/>
            <w:hideMark/>
          </w:tcPr>
          <w:p w14:paraId="311ED5B5"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06F95D85"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78565D9"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3A107F4"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13BAF87B" w14:textId="77777777" w:rsidR="00776A1F" w:rsidRDefault="00D8574B">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06DB3C30" w14:textId="77777777" w:rsidR="00776A1F" w:rsidRDefault="00D8574B">
            <w:pPr>
              <w:pStyle w:val="P68B1DB1-Normal8"/>
              <w:spacing w:after="0" w:line="240" w:lineRule="auto"/>
              <w:jc w:val="both"/>
              <w:rPr>
                <w:rFonts w:eastAsia="Times New Roman" w:cs="Calibri"/>
                <w:noProof/>
              </w:rPr>
            </w:pPr>
            <w:r>
              <w:rPr>
                <w:noProof/>
              </w:rPr>
              <w:t xml:space="preserve">Stājas spēkā likums, ar ko reglamentē platformu darbu, lai risinātu jaunās problēmas, ko rada netipiskas darba attiecības, saskaņā ar Eiropas sociālo tiesību pīlāra principiem. Tās mērķis ir stiprināt darba attiecības un piekļuvi tiesībām. </w:t>
            </w:r>
          </w:p>
        </w:tc>
      </w:tr>
      <w:tr w:rsidR="00776A1F" w14:paraId="673F5EE3" w14:textId="77777777">
        <w:trPr>
          <w:trHeight w:val="640"/>
        </w:trPr>
        <w:tc>
          <w:tcPr>
            <w:tcW w:w="1135" w:type="dxa"/>
            <w:shd w:val="clear" w:color="auto" w:fill="C5EFCE"/>
            <w:vAlign w:val="center"/>
            <w:hideMark/>
          </w:tcPr>
          <w:p w14:paraId="64E9A71C" w14:textId="77777777" w:rsidR="00776A1F" w:rsidRDefault="00D8574B">
            <w:pPr>
              <w:pStyle w:val="P68B1DB1-Normal7"/>
              <w:spacing w:after="0" w:line="240" w:lineRule="auto"/>
              <w:jc w:val="center"/>
              <w:rPr>
                <w:rFonts w:eastAsia="Times New Roman" w:cs="Calibri"/>
                <w:noProof/>
              </w:rPr>
            </w:pPr>
            <w:r>
              <w:rPr>
                <w:noProof/>
              </w:rPr>
              <w:t>6.17</w:t>
            </w:r>
          </w:p>
        </w:tc>
        <w:tc>
          <w:tcPr>
            <w:tcW w:w="1276" w:type="dxa"/>
            <w:shd w:val="clear" w:color="auto" w:fill="C4EFCE"/>
            <w:noWrap/>
            <w:vAlign w:val="center"/>
            <w:hideMark/>
          </w:tcPr>
          <w:p w14:paraId="72BCDBDF" w14:textId="77777777" w:rsidR="00776A1F" w:rsidRDefault="00D8574B">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524C0022"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8ADF796" w14:textId="77777777" w:rsidR="00776A1F" w:rsidRDefault="00D8574B">
            <w:pPr>
              <w:pStyle w:val="P68B1DB1-Normal8"/>
              <w:spacing w:after="0" w:line="240" w:lineRule="auto"/>
              <w:jc w:val="center"/>
              <w:rPr>
                <w:rFonts w:eastAsia="Times New Roman" w:cs="Calibri"/>
                <w:noProof/>
              </w:rPr>
            </w:pPr>
            <w:r>
              <w:rPr>
                <w:noProof/>
              </w:rPr>
              <w:t xml:space="preserve">Noteikt Portugāles normu par vienlīdzīgas darba samaksas pārvaldības sistēmu. </w:t>
            </w:r>
          </w:p>
        </w:tc>
        <w:tc>
          <w:tcPr>
            <w:tcW w:w="1275" w:type="dxa"/>
            <w:shd w:val="clear" w:color="auto" w:fill="C4EFCE"/>
            <w:noWrap/>
            <w:vAlign w:val="center"/>
            <w:hideMark/>
          </w:tcPr>
          <w:p w14:paraId="55000A29" w14:textId="77777777" w:rsidR="00776A1F" w:rsidRDefault="00D8574B">
            <w:pPr>
              <w:pStyle w:val="P68B1DB1-Normal8"/>
              <w:spacing w:after="0" w:line="240" w:lineRule="auto"/>
              <w:jc w:val="center"/>
              <w:rPr>
                <w:rFonts w:eastAsia="Times New Roman" w:cs="Calibri"/>
                <w:noProof/>
              </w:rPr>
            </w:pPr>
            <w:r>
              <w:rPr>
                <w:noProof/>
              </w:rPr>
              <w:t>Normas publicēšana</w:t>
            </w:r>
          </w:p>
        </w:tc>
        <w:tc>
          <w:tcPr>
            <w:tcW w:w="993" w:type="dxa"/>
            <w:shd w:val="clear" w:color="auto" w:fill="C4EFCE"/>
            <w:noWrap/>
            <w:vAlign w:val="center"/>
            <w:hideMark/>
          </w:tcPr>
          <w:p w14:paraId="7D92AA79"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EA2CD27"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6A55245"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F51F9B5"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6E56A06" w14:textId="77777777" w:rsidR="00776A1F" w:rsidRDefault="00D8574B">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7A2136C7" w14:textId="77777777" w:rsidR="00776A1F" w:rsidRDefault="00D8574B">
            <w:pPr>
              <w:pStyle w:val="P68B1DB1-Normal8"/>
              <w:spacing w:after="0" w:line="240" w:lineRule="auto"/>
              <w:jc w:val="both"/>
              <w:rPr>
                <w:rFonts w:eastAsia="Times New Roman" w:cs="Calibri"/>
                <w:noProof/>
              </w:rPr>
            </w:pPr>
            <w:r>
              <w:rPr>
                <w:noProof/>
              </w:rPr>
              <w:t>Norma ir brīvprātīga shēma, kuras pamatā ir Islandes norma ÍST 85: 2012. gads — sabiedrības atzinības nodrošināšana uzņēmumiem, kas ir efektīvi īstenojuši vienādas darba samaksas politiku. Sertifikātus piešķir, lai apstiprinātu, ka, pieņemot lēmumus par algu, tie pilnībā pamatojas uz attiecīgiem apsvērumiem.</w:t>
            </w:r>
          </w:p>
        </w:tc>
      </w:tr>
      <w:tr w:rsidR="00776A1F" w14:paraId="3DEAC6EC" w14:textId="77777777">
        <w:trPr>
          <w:trHeight w:val="640"/>
        </w:trPr>
        <w:tc>
          <w:tcPr>
            <w:tcW w:w="1135" w:type="dxa"/>
            <w:shd w:val="clear" w:color="auto" w:fill="C5EFCE"/>
            <w:vAlign w:val="center"/>
            <w:hideMark/>
          </w:tcPr>
          <w:p w14:paraId="05280834" w14:textId="77777777" w:rsidR="00776A1F" w:rsidRDefault="00D8574B">
            <w:pPr>
              <w:pStyle w:val="P68B1DB1-Normal7"/>
              <w:spacing w:after="0" w:line="240" w:lineRule="auto"/>
              <w:jc w:val="center"/>
              <w:rPr>
                <w:rFonts w:eastAsia="Times New Roman" w:cs="Calibri"/>
                <w:noProof/>
              </w:rPr>
            </w:pPr>
            <w:r>
              <w:rPr>
                <w:noProof/>
              </w:rPr>
              <w:t>6.18</w:t>
            </w:r>
          </w:p>
        </w:tc>
        <w:tc>
          <w:tcPr>
            <w:tcW w:w="1276" w:type="dxa"/>
            <w:shd w:val="clear" w:color="auto" w:fill="C4EFCE"/>
            <w:noWrap/>
            <w:vAlign w:val="center"/>
            <w:hideMark/>
          </w:tcPr>
          <w:p w14:paraId="6BCF6F48" w14:textId="77777777" w:rsidR="00776A1F" w:rsidRDefault="00D8574B">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0FED066F"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31C8BBF" w14:textId="77777777" w:rsidR="00776A1F" w:rsidRDefault="00D8574B">
            <w:pPr>
              <w:pStyle w:val="P68B1DB1-Normal8"/>
              <w:spacing w:after="0" w:line="240" w:lineRule="auto"/>
              <w:jc w:val="center"/>
              <w:rPr>
                <w:rFonts w:eastAsia="Times New Roman" w:cs="Calibri"/>
                <w:noProof/>
              </w:rPr>
            </w:pPr>
            <w:r>
              <w:rPr>
                <w:noProof/>
              </w:rPr>
              <w:t>Paziņošana par uzņēmumiem, kuros ir vairāk nekā 50 darbinieku un kuriem ir ievērojamas vīriešu un sieviešu darba samaksas atšķirības</w:t>
            </w:r>
          </w:p>
        </w:tc>
        <w:tc>
          <w:tcPr>
            <w:tcW w:w="1275" w:type="dxa"/>
            <w:shd w:val="clear" w:color="auto" w:fill="C4EFCE"/>
            <w:noWrap/>
            <w:vAlign w:val="center"/>
            <w:hideMark/>
          </w:tcPr>
          <w:p w14:paraId="4929D370" w14:textId="77777777" w:rsidR="00776A1F" w:rsidRDefault="00D8574B">
            <w:pPr>
              <w:pStyle w:val="P68B1DB1-Normal8"/>
              <w:spacing w:after="0" w:line="240" w:lineRule="auto"/>
              <w:jc w:val="center"/>
              <w:rPr>
                <w:rFonts w:eastAsia="Times New Roman" w:cs="Calibri"/>
                <w:noProof/>
              </w:rPr>
            </w:pPr>
            <w:r>
              <w:rPr>
                <w:noProof/>
              </w:rPr>
              <w:t>Paziņošana par uzņēmumiem, kuros ir vairāk nekā 50 darbinieku un kuriem ir ievērojamas vīriešu un sieviešu darba samaksas atšķirības</w:t>
            </w:r>
          </w:p>
        </w:tc>
        <w:tc>
          <w:tcPr>
            <w:tcW w:w="993" w:type="dxa"/>
            <w:shd w:val="clear" w:color="auto" w:fill="C4EFCE"/>
            <w:noWrap/>
            <w:vAlign w:val="center"/>
            <w:hideMark/>
          </w:tcPr>
          <w:p w14:paraId="64A13A3D"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8442C1A"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0A5C912E"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1C3A39E0"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00CB07A4" w14:textId="77777777" w:rsidR="00776A1F" w:rsidRDefault="00D8574B">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07F0DA13" w14:textId="77777777" w:rsidR="00776A1F" w:rsidRDefault="00D8574B">
            <w:pPr>
              <w:pStyle w:val="P68B1DB1-Normal8"/>
              <w:spacing w:after="0" w:line="240" w:lineRule="auto"/>
              <w:jc w:val="both"/>
              <w:rPr>
                <w:rFonts w:eastAsia="Times New Roman" w:cs="Calibri"/>
                <w:noProof/>
              </w:rPr>
            </w:pPr>
            <w:r>
              <w:rPr>
                <w:noProof/>
              </w:rPr>
              <w:t>Paziņojums uzņēmumiem, kuros ir vairāk nekā 50 darba ņēmēju un kuriem ir būtiskas atšķirības vīriešu un sieviešu darba samaksas līmeņos par vienu un to pašu darbu, par pienākumu iesniegt rīcības plānu Darba inspekcijas direktorātam, lai novērstu vīriešu un sieviešu darba samaksas atšķirības, īstenojot rīcības plānu</w:t>
            </w:r>
          </w:p>
        </w:tc>
      </w:tr>
      <w:tr w:rsidR="00776A1F" w14:paraId="7D8D557E" w14:textId="77777777">
        <w:trPr>
          <w:trHeight w:val="273"/>
        </w:trPr>
        <w:tc>
          <w:tcPr>
            <w:tcW w:w="1135" w:type="dxa"/>
            <w:shd w:val="clear" w:color="auto" w:fill="C5EFCE"/>
            <w:vAlign w:val="center"/>
          </w:tcPr>
          <w:p w14:paraId="6DB0713C" w14:textId="52D6D02F" w:rsidR="00776A1F" w:rsidRDefault="00D8574B">
            <w:pPr>
              <w:pStyle w:val="P68B1DB1-Normal11"/>
              <w:spacing w:after="0" w:line="240" w:lineRule="auto"/>
              <w:jc w:val="center"/>
              <w:rPr>
                <w:rFonts w:eastAsia="Times New Roman"/>
                <w:noProof/>
              </w:rPr>
            </w:pPr>
            <w:r>
              <w:rPr>
                <w:noProof/>
              </w:rPr>
              <w:t>6.19</w:t>
            </w:r>
          </w:p>
        </w:tc>
        <w:tc>
          <w:tcPr>
            <w:tcW w:w="1276" w:type="dxa"/>
            <w:shd w:val="clear" w:color="auto" w:fill="C4EFCE"/>
            <w:noWrap/>
            <w:vAlign w:val="center"/>
          </w:tcPr>
          <w:p w14:paraId="24F4FD24" w14:textId="15FD8AA5" w:rsidR="00776A1F" w:rsidRDefault="00D8574B">
            <w:pPr>
              <w:pStyle w:val="P68B1DB1-Normal12"/>
              <w:spacing w:after="0" w:line="240" w:lineRule="auto"/>
              <w:jc w:val="center"/>
              <w:rPr>
                <w:rFonts w:eastAsia="Times New Roman" w:cstheme="minorHAnsi"/>
                <w:noProof/>
              </w:rPr>
            </w:pPr>
            <w:r>
              <w:rPr>
                <w:noProof/>
              </w:rPr>
              <w:t>Re-C06-i06</w:t>
            </w:r>
          </w:p>
        </w:tc>
        <w:tc>
          <w:tcPr>
            <w:tcW w:w="1134" w:type="dxa"/>
            <w:shd w:val="clear" w:color="auto" w:fill="C4EFCE"/>
            <w:noWrap/>
            <w:vAlign w:val="center"/>
          </w:tcPr>
          <w:p w14:paraId="65A01FAC" w14:textId="3ABCA12D"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AEC0245" w14:textId="6EE157E7" w:rsidR="00776A1F" w:rsidRDefault="00D8574B">
            <w:pPr>
              <w:pStyle w:val="P68B1DB1-Bodytext1013"/>
              <w:jc w:val="center"/>
              <w:rPr>
                <w:rFonts w:cstheme="minorBidi"/>
                <w:noProof/>
              </w:rPr>
            </w:pPr>
            <w:r>
              <w:rPr>
                <w:noProof/>
              </w:rPr>
              <w:t>Atbalsts pastāvīgiem līgumiem ar doktorantūras pētniekiem saskaņā ar FCT-Tenure un atbalsts pētniekiem saskaņā ar EPP Portugāli</w:t>
            </w:r>
          </w:p>
        </w:tc>
        <w:tc>
          <w:tcPr>
            <w:tcW w:w="1275" w:type="dxa"/>
            <w:shd w:val="clear" w:color="auto" w:fill="C4EFCE"/>
            <w:noWrap/>
            <w:vAlign w:val="center"/>
          </w:tcPr>
          <w:p w14:paraId="5B1FE369"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716424E2" w14:textId="6461DA4A" w:rsidR="00776A1F" w:rsidRDefault="00D8574B">
            <w:pPr>
              <w:pStyle w:val="P68B1DB1-Normal12"/>
              <w:spacing w:after="0" w:line="240" w:lineRule="auto"/>
              <w:jc w:val="center"/>
              <w:rPr>
                <w:rFonts w:eastAsia="Times New Roman" w:cstheme="minorHAnsi"/>
                <w:noProof/>
              </w:rPr>
            </w:pPr>
            <w:r>
              <w:rPr>
                <w:noProof/>
              </w:rPr>
              <w:t>Līgumu skaits</w:t>
            </w:r>
          </w:p>
        </w:tc>
        <w:tc>
          <w:tcPr>
            <w:tcW w:w="992" w:type="dxa"/>
            <w:shd w:val="clear" w:color="auto" w:fill="C4EFCE"/>
            <w:noWrap/>
            <w:vAlign w:val="center"/>
          </w:tcPr>
          <w:p w14:paraId="29E7E7F7" w14:textId="77777777" w:rsidR="00776A1F" w:rsidRDefault="00776A1F">
            <w:pPr>
              <w:spacing w:after="0" w:line="240" w:lineRule="auto"/>
              <w:jc w:val="center"/>
              <w:rPr>
                <w:rFonts w:eastAsia="Times New Roman" w:cstheme="minorHAnsi"/>
                <w:noProof/>
                <w:sz w:val="16"/>
              </w:rPr>
            </w:pPr>
          </w:p>
        </w:tc>
        <w:tc>
          <w:tcPr>
            <w:tcW w:w="850" w:type="dxa"/>
            <w:shd w:val="clear" w:color="auto" w:fill="C4EFCE"/>
            <w:noWrap/>
            <w:vAlign w:val="center"/>
          </w:tcPr>
          <w:p w14:paraId="40BABDEE" w14:textId="58953BB8" w:rsidR="00776A1F" w:rsidRDefault="00D8574B">
            <w:pPr>
              <w:pStyle w:val="P68B1DB1-Normal12"/>
              <w:spacing w:after="0" w:line="240" w:lineRule="auto"/>
              <w:jc w:val="center"/>
              <w:rPr>
                <w:noProof/>
              </w:rPr>
            </w:pPr>
            <w:r>
              <w:rPr>
                <w:noProof/>
              </w:rPr>
              <w:t>255</w:t>
            </w:r>
          </w:p>
        </w:tc>
        <w:tc>
          <w:tcPr>
            <w:tcW w:w="567" w:type="dxa"/>
            <w:shd w:val="clear" w:color="auto" w:fill="C4EFCE"/>
            <w:noWrap/>
            <w:vAlign w:val="center"/>
          </w:tcPr>
          <w:p w14:paraId="57152D13" w14:textId="3FC6943F"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626F1508" w14:textId="403213AC" w:rsidR="00776A1F" w:rsidRDefault="00D8574B">
            <w:pPr>
              <w:pStyle w:val="P68B1DB1-Normal12"/>
              <w:spacing w:after="0" w:line="240" w:lineRule="auto"/>
              <w:jc w:val="center"/>
              <w:rPr>
                <w:rFonts w:eastAsia="Times New Roman" w:cstheme="minorHAnsi"/>
                <w:noProof/>
              </w:rPr>
            </w:pPr>
            <w:r>
              <w:rPr>
                <w:noProof/>
              </w:rPr>
              <w:t>2026</w:t>
            </w:r>
          </w:p>
        </w:tc>
        <w:tc>
          <w:tcPr>
            <w:tcW w:w="4395" w:type="dxa"/>
            <w:shd w:val="clear" w:color="auto" w:fill="C4EFCE"/>
          </w:tcPr>
          <w:p w14:paraId="3EEEBBB2" w14:textId="4A4F68FE" w:rsidR="00776A1F" w:rsidRDefault="00D8574B">
            <w:pPr>
              <w:pStyle w:val="P68B1DB1-Bodytext1013"/>
              <w:spacing w:after="0" w:line="240" w:lineRule="auto"/>
              <w:jc w:val="both"/>
              <w:rPr>
                <w:rFonts w:cstheme="minorBidi"/>
                <w:noProof/>
              </w:rPr>
            </w:pPr>
            <w:r>
              <w:rPr>
                <w:noProof/>
              </w:rPr>
              <w:t>230 pastāvīgus līgumus paraksta ar doktorantūras pētniekiem, kas atlasīti konkursos.</w:t>
            </w:r>
          </w:p>
          <w:p w14:paraId="5A86B9A8" w14:textId="3357027D" w:rsidR="00776A1F" w:rsidRDefault="00D8574B">
            <w:pPr>
              <w:pStyle w:val="P68B1DB1-Bodytext1013"/>
              <w:spacing w:after="0" w:line="240" w:lineRule="auto"/>
              <w:jc w:val="both"/>
              <w:rPr>
                <w:rFonts w:cstheme="minorBidi"/>
                <w:noProof/>
              </w:rPr>
            </w:pPr>
            <w:r>
              <w:rPr>
                <w:noProof/>
              </w:rPr>
              <w:t>25 līgumus paraksta ar pētniekiem, kuru projekti ir ieteikti finansēšanai Eiropas vai valsts līmenī, un pētniekiem, kuru EPP pieteikumi tika ieteikti finansēšanai vai kuru pieteikumi tika ieteikti finansējumam, bet galu galā netika finansēti.</w:t>
            </w:r>
          </w:p>
        </w:tc>
      </w:tr>
      <w:tr w:rsidR="00776A1F" w14:paraId="6C354C45" w14:textId="77777777">
        <w:trPr>
          <w:trHeight w:val="640"/>
        </w:trPr>
        <w:tc>
          <w:tcPr>
            <w:tcW w:w="1135" w:type="dxa"/>
            <w:shd w:val="clear" w:color="auto" w:fill="C5EFCE"/>
            <w:vAlign w:val="center"/>
          </w:tcPr>
          <w:p w14:paraId="3122B51F" w14:textId="63A658E0" w:rsidR="00776A1F" w:rsidRDefault="00D8574B">
            <w:pPr>
              <w:pStyle w:val="P68B1DB1-Normal11"/>
              <w:spacing w:after="0" w:line="240" w:lineRule="auto"/>
              <w:jc w:val="center"/>
              <w:rPr>
                <w:rFonts w:eastAsia="Times New Roman"/>
                <w:noProof/>
              </w:rPr>
            </w:pPr>
            <w:r>
              <w:rPr>
                <w:noProof/>
              </w:rPr>
              <w:t>6.20</w:t>
            </w:r>
          </w:p>
        </w:tc>
        <w:tc>
          <w:tcPr>
            <w:tcW w:w="1276" w:type="dxa"/>
            <w:shd w:val="clear" w:color="auto" w:fill="C4EFCE"/>
            <w:noWrap/>
            <w:vAlign w:val="center"/>
          </w:tcPr>
          <w:p w14:paraId="1B8B3816" w14:textId="7564BF5E" w:rsidR="00776A1F" w:rsidRDefault="00D8574B">
            <w:pPr>
              <w:pStyle w:val="P68B1DB1-Normal12"/>
              <w:spacing w:after="0" w:line="240" w:lineRule="auto"/>
              <w:jc w:val="center"/>
              <w:rPr>
                <w:rFonts w:eastAsia="Times New Roman" w:cstheme="minorHAnsi"/>
                <w:noProof/>
              </w:rPr>
            </w:pPr>
            <w:r>
              <w:rPr>
                <w:noProof/>
              </w:rPr>
              <w:t>Re-C06-i06</w:t>
            </w:r>
          </w:p>
        </w:tc>
        <w:tc>
          <w:tcPr>
            <w:tcW w:w="1134" w:type="dxa"/>
            <w:shd w:val="clear" w:color="auto" w:fill="C4EFCE"/>
            <w:noWrap/>
            <w:vAlign w:val="center"/>
          </w:tcPr>
          <w:p w14:paraId="46F364F4" w14:textId="76B61AEE"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274D0FE" w14:textId="05A036E6" w:rsidR="00776A1F" w:rsidRDefault="00D8574B">
            <w:pPr>
              <w:pStyle w:val="P68B1DB1-Normal12"/>
              <w:spacing w:after="0" w:line="240" w:lineRule="auto"/>
              <w:jc w:val="center"/>
              <w:rPr>
                <w:rFonts w:eastAsia="Times New Roman" w:cstheme="minorHAnsi"/>
                <w:noProof/>
              </w:rPr>
            </w:pPr>
            <w:r>
              <w:rPr>
                <w:noProof/>
              </w:rPr>
              <w:t>Starptautiskās partnerības zinātnes, tehnoloģiju un inovācijas jomā: Atbalstītās starptautiskās partnerības; Atbalstītie pētniecības un inovācijas projekti; Atbalstītā starptautiskā mobilitāte</w:t>
            </w:r>
          </w:p>
        </w:tc>
        <w:tc>
          <w:tcPr>
            <w:tcW w:w="1275" w:type="dxa"/>
            <w:shd w:val="clear" w:color="auto" w:fill="C4EFCE"/>
            <w:noWrap/>
            <w:vAlign w:val="center"/>
          </w:tcPr>
          <w:p w14:paraId="56824669" w14:textId="4A80532A" w:rsidR="00776A1F" w:rsidRDefault="00D8574B">
            <w:pPr>
              <w:pStyle w:val="P68B1DB1-Normal12"/>
              <w:spacing w:after="0" w:line="240" w:lineRule="auto"/>
              <w:jc w:val="center"/>
              <w:rPr>
                <w:rFonts w:eastAsia="Times New Roman"/>
                <w:noProof/>
              </w:rPr>
            </w:pPr>
            <w:r>
              <w:rPr>
                <w:noProof/>
              </w:rPr>
              <w:t>Starptautiskās partnerības zinātnes, tehnoloģiju un inovācijas jomā: Atbalstītās starptautiskās partnerības; Atbalstītie pētniecības un inovācijas projekti; Atbalstītā starptautiskā mobilitāte</w:t>
            </w:r>
          </w:p>
        </w:tc>
        <w:tc>
          <w:tcPr>
            <w:tcW w:w="993" w:type="dxa"/>
            <w:shd w:val="clear" w:color="auto" w:fill="C4EFCE"/>
            <w:noWrap/>
            <w:vAlign w:val="center"/>
          </w:tcPr>
          <w:p w14:paraId="5ED41571" w14:textId="1AF5D95C" w:rsidR="00776A1F" w:rsidRDefault="00776A1F">
            <w:pPr>
              <w:spacing w:after="0" w:line="240" w:lineRule="auto"/>
              <w:jc w:val="center"/>
              <w:rPr>
                <w:noProof/>
                <w:sz w:val="16"/>
              </w:rPr>
            </w:pPr>
          </w:p>
        </w:tc>
        <w:tc>
          <w:tcPr>
            <w:tcW w:w="992" w:type="dxa"/>
            <w:shd w:val="clear" w:color="auto" w:fill="C4EFCE"/>
            <w:noWrap/>
            <w:vAlign w:val="center"/>
          </w:tcPr>
          <w:p w14:paraId="09478518" w14:textId="77777777" w:rsidR="00776A1F" w:rsidRDefault="00776A1F">
            <w:pPr>
              <w:spacing w:after="0" w:line="240" w:lineRule="auto"/>
              <w:jc w:val="center"/>
              <w:rPr>
                <w:rFonts w:eastAsia="Times New Roman" w:cstheme="minorHAnsi"/>
                <w:noProof/>
                <w:sz w:val="16"/>
              </w:rPr>
            </w:pPr>
          </w:p>
        </w:tc>
        <w:tc>
          <w:tcPr>
            <w:tcW w:w="850" w:type="dxa"/>
            <w:shd w:val="clear" w:color="auto" w:fill="C4EFCE"/>
            <w:noWrap/>
            <w:vAlign w:val="center"/>
          </w:tcPr>
          <w:p w14:paraId="17C9928F"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2B082B34" w14:textId="23598E88"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736E26A8" w14:textId="3DBDCE66" w:rsidR="00776A1F" w:rsidRDefault="00D8574B">
            <w:pPr>
              <w:pStyle w:val="P68B1DB1-Normal12"/>
              <w:spacing w:after="0" w:line="240" w:lineRule="auto"/>
              <w:jc w:val="center"/>
              <w:rPr>
                <w:rFonts w:eastAsia="Times New Roman" w:cstheme="minorHAnsi"/>
                <w:noProof/>
              </w:rPr>
            </w:pPr>
            <w:r>
              <w:rPr>
                <w:noProof/>
              </w:rPr>
              <w:t>2026</w:t>
            </w:r>
          </w:p>
        </w:tc>
        <w:tc>
          <w:tcPr>
            <w:tcW w:w="4395" w:type="dxa"/>
            <w:shd w:val="clear" w:color="auto" w:fill="C4EFCE"/>
            <w:vAlign w:val="center"/>
          </w:tcPr>
          <w:p w14:paraId="35A3F479" w14:textId="7E0BEAF8" w:rsidR="00776A1F" w:rsidRDefault="00D8574B">
            <w:pPr>
              <w:pStyle w:val="P68B1DB1-Bodytext1013"/>
              <w:spacing w:after="0" w:line="240" w:lineRule="auto"/>
              <w:jc w:val="both"/>
              <w:rPr>
                <w:rFonts w:cstheme="minorBidi"/>
                <w:noProof/>
              </w:rPr>
            </w:pPr>
            <w:r>
              <w:rPr>
                <w:noProof/>
              </w:rPr>
              <w:t>Tiek parakstīti seši līgumi par starptautiskām partnerībām zinātnes, tehnoloģiju un inovācijas jomā ar valsts uzņēmējām iestādēm.</w:t>
            </w:r>
          </w:p>
          <w:p w14:paraId="1570EE45" w14:textId="77777777" w:rsidR="00776A1F" w:rsidRDefault="00776A1F">
            <w:pPr>
              <w:pStyle w:val="Bodytext10"/>
              <w:spacing w:after="0" w:line="240" w:lineRule="auto"/>
              <w:jc w:val="both"/>
              <w:rPr>
                <w:rFonts w:asciiTheme="minorHAnsi" w:hAnsiTheme="minorHAnsi" w:cstheme="minorBidi"/>
                <w:noProof/>
                <w:sz w:val="16"/>
              </w:rPr>
            </w:pPr>
          </w:p>
          <w:p w14:paraId="6DE6A27E" w14:textId="4F262688" w:rsidR="00776A1F" w:rsidRDefault="00D8574B">
            <w:pPr>
              <w:pStyle w:val="P68B1DB1-Bodytext1013"/>
              <w:spacing w:after="0" w:line="240" w:lineRule="auto"/>
              <w:jc w:val="both"/>
              <w:rPr>
                <w:rFonts w:cstheme="minorBidi"/>
                <w:noProof/>
              </w:rPr>
            </w:pPr>
            <w:r>
              <w:rPr>
                <w:noProof/>
              </w:rPr>
              <w:t>Atbalsta 30 projektus, alianses un infrastruktūras ar valstu līdzdalību, kas izraudzītas Eiropas līmenī.</w:t>
            </w:r>
          </w:p>
          <w:p w14:paraId="63CDE0C8" w14:textId="71BFC2F0" w:rsidR="00776A1F" w:rsidRDefault="00D8574B">
            <w:pPr>
              <w:pStyle w:val="P68B1DB1-Bodytext1013"/>
              <w:spacing w:after="0" w:line="240" w:lineRule="auto"/>
              <w:jc w:val="both"/>
              <w:rPr>
                <w:rFonts w:cstheme="minorBidi"/>
                <w:noProof/>
              </w:rPr>
            </w:pPr>
            <w:r>
              <w:rPr>
                <w:noProof/>
              </w:rPr>
              <w:t>Atbalsta 100 valstu pētnieku un skolotāju starptautisko mobilitāti.</w:t>
            </w:r>
          </w:p>
        </w:tc>
      </w:tr>
      <w:tr w:rsidR="00776A1F" w14:paraId="66721075" w14:textId="77777777">
        <w:trPr>
          <w:trHeight w:val="640"/>
        </w:trPr>
        <w:tc>
          <w:tcPr>
            <w:tcW w:w="1135" w:type="dxa"/>
            <w:shd w:val="clear" w:color="auto" w:fill="C5EFCE"/>
            <w:vAlign w:val="center"/>
          </w:tcPr>
          <w:p w14:paraId="48CD17D8" w14:textId="27C11524" w:rsidR="00776A1F" w:rsidRDefault="00D8574B">
            <w:pPr>
              <w:pStyle w:val="P68B1DB1-Normal11"/>
              <w:spacing w:after="0" w:line="240" w:lineRule="auto"/>
              <w:jc w:val="center"/>
              <w:rPr>
                <w:noProof/>
              </w:rPr>
            </w:pPr>
            <w:r>
              <w:rPr>
                <w:noProof/>
              </w:rPr>
              <w:t>6.21</w:t>
            </w:r>
          </w:p>
        </w:tc>
        <w:tc>
          <w:tcPr>
            <w:tcW w:w="1276" w:type="dxa"/>
            <w:shd w:val="clear" w:color="auto" w:fill="C4EFCE"/>
            <w:noWrap/>
            <w:vAlign w:val="center"/>
          </w:tcPr>
          <w:p w14:paraId="7F188F7C" w14:textId="66E53AF2" w:rsidR="00776A1F" w:rsidRDefault="00D8574B">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C4575F7" w14:textId="03133D2B" w:rsidR="00776A1F" w:rsidRDefault="00D8574B">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FCB708D" w14:textId="3B3E8E18" w:rsidR="00776A1F" w:rsidRDefault="00D8574B">
            <w:pPr>
              <w:pStyle w:val="P68B1DB1-Normal12"/>
              <w:spacing w:after="0" w:line="240" w:lineRule="auto"/>
              <w:jc w:val="center"/>
              <w:rPr>
                <w:noProof/>
              </w:rPr>
            </w:pPr>
            <w:r>
              <w:rPr>
                <w:noProof/>
              </w:rPr>
              <w:t xml:space="preserve">Agrārās zinātnes tehnoloģiskā un digitālā modernizācija: Agrārās zinātnes mācību programmas reforma, lauksaimniecības skolu atvēršana vidusskolēniem un speciālistu pārkvalifikācija  </w:t>
            </w:r>
          </w:p>
        </w:tc>
        <w:tc>
          <w:tcPr>
            <w:tcW w:w="1275" w:type="dxa"/>
            <w:shd w:val="clear" w:color="auto" w:fill="C4EFCE"/>
            <w:noWrap/>
            <w:vAlign w:val="center"/>
          </w:tcPr>
          <w:p w14:paraId="7AA9B9BF" w14:textId="42CE9F74" w:rsidR="00776A1F" w:rsidRDefault="00776A1F">
            <w:pPr>
              <w:spacing w:after="0" w:line="240" w:lineRule="auto"/>
              <w:jc w:val="center"/>
              <w:rPr>
                <w:noProof/>
                <w:sz w:val="16"/>
              </w:rPr>
            </w:pPr>
          </w:p>
        </w:tc>
        <w:tc>
          <w:tcPr>
            <w:tcW w:w="993" w:type="dxa"/>
            <w:shd w:val="clear" w:color="auto" w:fill="C4EFCE"/>
            <w:noWrap/>
            <w:vAlign w:val="center"/>
          </w:tcPr>
          <w:p w14:paraId="5C47BD23" w14:textId="71BE01C2" w:rsidR="00776A1F" w:rsidRDefault="00D8574B">
            <w:pPr>
              <w:pStyle w:val="P68B1DB1-Normal12"/>
              <w:spacing w:after="0" w:line="240" w:lineRule="auto"/>
              <w:jc w:val="center"/>
              <w:rPr>
                <w:noProof/>
              </w:rPr>
            </w:pPr>
            <w:r>
              <w:rPr>
                <w:noProof/>
              </w:rPr>
              <w:t>Skaits</w:t>
            </w:r>
          </w:p>
        </w:tc>
        <w:tc>
          <w:tcPr>
            <w:tcW w:w="992" w:type="dxa"/>
            <w:shd w:val="clear" w:color="auto" w:fill="C4EFCE"/>
            <w:noWrap/>
            <w:vAlign w:val="center"/>
          </w:tcPr>
          <w:p w14:paraId="472FBF28" w14:textId="2DD9CCA7" w:rsidR="00776A1F" w:rsidRDefault="00D8574B">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0DC53A66" w14:textId="64A65D02" w:rsidR="00776A1F" w:rsidRDefault="00D8574B">
            <w:pPr>
              <w:pStyle w:val="P68B1DB1-Normal12"/>
              <w:spacing w:after="0" w:line="240" w:lineRule="auto"/>
              <w:jc w:val="center"/>
              <w:rPr>
                <w:rFonts w:eastAsia="Times New Roman"/>
                <w:noProof/>
              </w:rPr>
            </w:pPr>
            <w:r>
              <w:rPr>
                <w:noProof/>
              </w:rPr>
              <w:t>7 020</w:t>
            </w:r>
          </w:p>
        </w:tc>
        <w:tc>
          <w:tcPr>
            <w:tcW w:w="567" w:type="dxa"/>
            <w:shd w:val="clear" w:color="auto" w:fill="C4EFCE"/>
            <w:noWrap/>
            <w:vAlign w:val="center"/>
          </w:tcPr>
          <w:p w14:paraId="625E1EDD" w14:textId="12420CA2" w:rsidR="00776A1F" w:rsidRDefault="00D8574B">
            <w:pPr>
              <w:pStyle w:val="P68B1DB1-Normal12"/>
              <w:spacing w:after="0" w:line="240" w:lineRule="auto"/>
              <w:jc w:val="center"/>
              <w:rPr>
                <w:rFonts w:cstheme="minorHAnsi"/>
                <w:noProof/>
              </w:rPr>
            </w:pPr>
            <w:r>
              <w:rPr>
                <w:noProof/>
              </w:rPr>
              <w:t>2. CET.</w:t>
            </w:r>
          </w:p>
        </w:tc>
        <w:tc>
          <w:tcPr>
            <w:tcW w:w="708" w:type="dxa"/>
            <w:shd w:val="clear" w:color="auto" w:fill="C4EFCE"/>
            <w:noWrap/>
            <w:vAlign w:val="center"/>
          </w:tcPr>
          <w:p w14:paraId="4FD2ECE2" w14:textId="0AEB54AF" w:rsidR="00776A1F" w:rsidRDefault="00D8574B">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D0A3DF6" w14:textId="2108C601" w:rsidR="00776A1F" w:rsidRDefault="00D8574B">
            <w:pPr>
              <w:pStyle w:val="P68B1DB1-Bodytext1013"/>
              <w:spacing w:after="0" w:line="240" w:lineRule="auto"/>
              <w:jc w:val="both"/>
              <w:rPr>
                <w:rFonts w:cstheme="minorBidi"/>
                <w:noProof/>
              </w:rPr>
            </w:pPr>
            <w:r>
              <w:rPr>
                <w:noProof/>
              </w:rPr>
              <w:t>Īstenojusi 20 grādu programmu (bakalaura vai maģistra, vai abu) reformu agrārās zinātnēs:</w:t>
            </w:r>
          </w:p>
          <w:p w14:paraId="6CF7E7C6" w14:textId="77777777" w:rsidR="00776A1F" w:rsidRDefault="00D8574B">
            <w:pPr>
              <w:pStyle w:val="P68B1DB1-Bodytext1013"/>
              <w:spacing w:after="0" w:line="240" w:lineRule="auto"/>
              <w:jc w:val="both"/>
              <w:rPr>
                <w:rFonts w:cstheme="minorBidi"/>
                <w:noProof/>
              </w:rPr>
            </w:pPr>
            <w:r>
              <w:rPr>
                <w:noProof/>
              </w:rPr>
              <w:t>stiprināt tās digitālo un tehnoloģisko komponentu, iegādājoties aprīkojumu izglītības iestādēm</w:t>
            </w:r>
          </w:p>
          <w:p w14:paraId="7D8375DC" w14:textId="3010FE9E" w:rsidR="00776A1F" w:rsidRDefault="00D8574B">
            <w:pPr>
              <w:pStyle w:val="P68B1DB1-Bodytext1013"/>
              <w:spacing w:after="0" w:line="240" w:lineRule="auto"/>
              <w:jc w:val="both"/>
              <w:rPr>
                <w:rFonts w:cstheme="minorBidi"/>
                <w:noProof/>
              </w:rPr>
            </w:pPr>
            <w:r>
              <w:rPr>
                <w:noProof/>
              </w:rPr>
              <w:t>internacionalizācija, tostarp uzaicināto priekšsēdētāju vadīšana</w:t>
            </w:r>
          </w:p>
          <w:p w14:paraId="1227FFF1" w14:textId="319AEAE0" w:rsidR="00776A1F" w:rsidRDefault="00D8574B">
            <w:pPr>
              <w:pStyle w:val="P68B1DB1-Bodytext1013"/>
              <w:spacing w:after="0" w:line="240" w:lineRule="auto"/>
              <w:jc w:val="both"/>
              <w:rPr>
                <w:rFonts w:cstheme="minorBidi"/>
                <w:noProof/>
              </w:rPr>
            </w:pPr>
            <w:r>
              <w:rPr>
                <w:noProof/>
              </w:rPr>
              <w:t xml:space="preserve">iestāžu sadarbība, īstenojot lauksaimniecības izglītības internacionalizācijas stratēģiju konsorcijā. </w:t>
            </w:r>
          </w:p>
          <w:p w14:paraId="53ABA183" w14:textId="319AEAE0" w:rsidR="00776A1F" w:rsidRDefault="00776A1F">
            <w:pPr>
              <w:pStyle w:val="Bodytext10"/>
              <w:spacing w:after="0" w:line="240" w:lineRule="auto"/>
              <w:jc w:val="both"/>
              <w:rPr>
                <w:rStyle w:val="Bodytext1"/>
                <w:rFonts w:asciiTheme="minorHAnsi" w:hAnsiTheme="minorHAnsi" w:cstheme="minorBidi"/>
                <w:noProof/>
                <w:sz w:val="16"/>
              </w:rPr>
            </w:pPr>
          </w:p>
          <w:p w14:paraId="496B7FD9" w14:textId="544DE159" w:rsidR="00776A1F" w:rsidRDefault="00D8574B">
            <w:pPr>
              <w:pStyle w:val="P68B1DB1-Bodytext1013"/>
              <w:spacing w:after="0" w:line="240" w:lineRule="auto"/>
              <w:jc w:val="both"/>
              <w:rPr>
                <w:rFonts w:cstheme="minorBidi"/>
                <w:noProof/>
              </w:rPr>
            </w:pPr>
            <w:r>
              <w:rPr>
                <w:noProof/>
              </w:rPr>
              <w:t>6000 vidusskolu audzēkņu izmanto vienas nedēļas programmu lauksaimniecības skolās, kuras mērķis ir palielināt lauksaimniecības skolu pievilcību potenciālajiem pieteikumu iesniedzējiem.</w:t>
            </w:r>
          </w:p>
          <w:p w14:paraId="1FC3030B" w14:textId="3C773367" w:rsidR="00776A1F" w:rsidRDefault="00776A1F">
            <w:pPr>
              <w:pStyle w:val="Bodytext10"/>
              <w:spacing w:after="0" w:line="240" w:lineRule="auto"/>
              <w:jc w:val="both"/>
              <w:rPr>
                <w:rFonts w:asciiTheme="minorHAnsi" w:hAnsiTheme="minorHAnsi" w:cstheme="minorBidi"/>
                <w:noProof/>
                <w:sz w:val="16"/>
              </w:rPr>
            </w:pPr>
          </w:p>
          <w:p w14:paraId="69D689D1" w14:textId="63B60CD2" w:rsidR="00776A1F" w:rsidRDefault="00D8574B">
            <w:pPr>
              <w:pStyle w:val="P68B1DB1-Bodytext1013"/>
              <w:spacing w:after="0" w:line="240" w:lineRule="auto"/>
              <w:jc w:val="both"/>
              <w:rPr>
                <w:rStyle w:val="Bodytext1"/>
                <w:rFonts w:asciiTheme="minorHAnsi" w:hAnsiTheme="minorHAnsi" w:cstheme="minorBidi"/>
                <w:noProof/>
                <w:sz w:val="16"/>
              </w:rPr>
            </w:pPr>
            <w:r>
              <w:rPr>
                <w:noProof/>
              </w:rPr>
              <w:t>1000 lauksaimniecības nozares profesionāļu pabeidz digitālo un tehnoloģisko apmācību, izmantojot mikroapliecinājumus vai īsu augstākās izglītības profesionālo apmācību vai profesionālo maģistra grādu.</w:t>
            </w:r>
          </w:p>
        </w:tc>
      </w:tr>
      <w:tr w:rsidR="00776A1F" w14:paraId="5AB95557" w14:textId="77777777">
        <w:trPr>
          <w:trHeight w:val="640"/>
        </w:trPr>
        <w:tc>
          <w:tcPr>
            <w:tcW w:w="1135" w:type="dxa"/>
            <w:shd w:val="clear" w:color="auto" w:fill="C5EFCE"/>
            <w:vAlign w:val="center"/>
          </w:tcPr>
          <w:p w14:paraId="0D1BDDD8" w14:textId="07872EC0" w:rsidR="00776A1F" w:rsidRDefault="00D8574B">
            <w:pPr>
              <w:pStyle w:val="P68B1DB1-Normal11"/>
              <w:spacing w:after="0" w:line="240" w:lineRule="auto"/>
              <w:jc w:val="center"/>
              <w:rPr>
                <w:noProof/>
              </w:rPr>
            </w:pPr>
            <w:r>
              <w:rPr>
                <w:noProof/>
              </w:rPr>
              <w:t>6.22</w:t>
            </w:r>
          </w:p>
        </w:tc>
        <w:tc>
          <w:tcPr>
            <w:tcW w:w="1276" w:type="dxa"/>
            <w:shd w:val="clear" w:color="auto" w:fill="C4EFCE"/>
            <w:noWrap/>
            <w:vAlign w:val="center"/>
          </w:tcPr>
          <w:p w14:paraId="011A4D16" w14:textId="7298F3BD" w:rsidR="00776A1F" w:rsidRDefault="00D8574B">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90BFF82" w14:textId="70CB804F" w:rsidR="00776A1F" w:rsidRDefault="00D8574B">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0C56191D" w14:textId="4A065135" w:rsidR="00776A1F" w:rsidRDefault="00D8574B">
            <w:pPr>
              <w:pStyle w:val="P68B1DB1-Normal12"/>
              <w:spacing w:after="0" w:line="240" w:lineRule="auto"/>
              <w:jc w:val="center"/>
              <w:rPr>
                <w:rFonts w:cstheme="minorHAnsi"/>
                <w:noProof/>
              </w:rPr>
            </w:pPr>
            <w:r>
              <w:rPr>
                <w:noProof/>
              </w:rPr>
              <w:t>Medicīnas modernizācija</w:t>
            </w:r>
          </w:p>
        </w:tc>
        <w:tc>
          <w:tcPr>
            <w:tcW w:w="1275" w:type="dxa"/>
            <w:shd w:val="clear" w:color="auto" w:fill="C4EFCE"/>
            <w:noWrap/>
            <w:vAlign w:val="center"/>
          </w:tcPr>
          <w:p w14:paraId="5E0E2847" w14:textId="77777777" w:rsidR="00776A1F" w:rsidRDefault="00776A1F">
            <w:pPr>
              <w:spacing w:after="0" w:line="240" w:lineRule="auto"/>
              <w:jc w:val="center"/>
              <w:rPr>
                <w:rFonts w:cstheme="minorHAnsi"/>
                <w:noProof/>
                <w:sz w:val="16"/>
              </w:rPr>
            </w:pPr>
          </w:p>
        </w:tc>
        <w:tc>
          <w:tcPr>
            <w:tcW w:w="993" w:type="dxa"/>
            <w:shd w:val="clear" w:color="auto" w:fill="C4EFCE"/>
            <w:noWrap/>
            <w:vAlign w:val="center"/>
          </w:tcPr>
          <w:p w14:paraId="602C1537" w14:textId="535C74AD" w:rsidR="00776A1F" w:rsidRDefault="00D8574B">
            <w:pPr>
              <w:pStyle w:val="P68B1DB1-Normal12"/>
              <w:spacing w:after="0" w:line="240" w:lineRule="auto"/>
              <w:jc w:val="center"/>
              <w:rPr>
                <w:noProof/>
              </w:rPr>
            </w:pPr>
            <w:r>
              <w:rPr>
                <w:noProof/>
              </w:rPr>
              <w:t>Skaits</w:t>
            </w:r>
          </w:p>
        </w:tc>
        <w:tc>
          <w:tcPr>
            <w:tcW w:w="992" w:type="dxa"/>
            <w:shd w:val="clear" w:color="auto" w:fill="C4EFCE"/>
            <w:noWrap/>
            <w:vAlign w:val="center"/>
          </w:tcPr>
          <w:p w14:paraId="1636CEA0" w14:textId="3F6BC36D" w:rsidR="00776A1F" w:rsidRDefault="00D8574B">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4FA19C54" w14:textId="5DA13673" w:rsidR="00776A1F" w:rsidRDefault="00D8574B">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05F711F2" w14:textId="578373FB" w:rsidR="00776A1F" w:rsidRDefault="00D8574B">
            <w:pPr>
              <w:pStyle w:val="P68B1DB1-Normal12"/>
              <w:spacing w:after="0" w:line="240" w:lineRule="auto"/>
              <w:jc w:val="center"/>
              <w:rPr>
                <w:noProof/>
              </w:rPr>
            </w:pPr>
            <w:r>
              <w:rPr>
                <w:noProof/>
              </w:rPr>
              <w:t>2. CET.</w:t>
            </w:r>
          </w:p>
        </w:tc>
        <w:tc>
          <w:tcPr>
            <w:tcW w:w="708" w:type="dxa"/>
            <w:shd w:val="clear" w:color="auto" w:fill="C4EFCE"/>
            <w:noWrap/>
            <w:vAlign w:val="center"/>
          </w:tcPr>
          <w:p w14:paraId="727812B4" w14:textId="69053B8C" w:rsidR="00776A1F" w:rsidRDefault="00D8574B">
            <w:pPr>
              <w:pStyle w:val="P68B1DB1-Normal12"/>
              <w:spacing w:after="0" w:line="240" w:lineRule="auto"/>
              <w:jc w:val="center"/>
              <w:rPr>
                <w:noProof/>
              </w:rPr>
            </w:pPr>
            <w:r>
              <w:rPr>
                <w:noProof/>
              </w:rPr>
              <w:t>2026</w:t>
            </w:r>
          </w:p>
        </w:tc>
        <w:tc>
          <w:tcPr>
            <w:tcW w:w="4395" w:type="dxa"/>
            <w:shd w:val="clear" w:color="auto" w:fill="C4EFCE"/>
            <w:vAlign w:val="center"/>
          </w:tcPr>
          <w:p w14:paraId="0BE60C62" w14:textId="57230731" w:rsidR="00776A1F" w:rsidRDefault="00D8574B">
            <w:pPr>
              <w:pStyle w:val="P68B1DB1-Bodytext1013"/>
              <w:spacing w:line="240" w:lineRule="auto"/>
              <w:jc w:val="both"/>
              <w:rPr>
                <w:rFonts w:cstheme="minorBidi"/>
                <w:noProof/>
              </w:rPr>
            </w:pPr>
            <w:r>
              <w:rPr>
                <w:noProof/>
              </w:rPr>
              <w:t>Vismaz 5000 studentu ar integrēto maģistra grādu piedalās mācību programmās, izmantojot digitālo vidi vai medicīnisko simulāciju. Šim nolūkam izmanto tādas iekārtas kā augstas uzticamības manekenus vai virtuālās realitātes simulatorus.</w:t>
            </w:r>
          </w:p>
          <w:p w14:paraId="03728086" w14:textId="31BE029E" w:rsidR="00776A1F" w:rsidRDefault="00D8574B">
            <w:pPr>
              <w:pStyle w:val="P68B1DB1-Bodytext1013"/>
              <w:spacing w:after="0" w:line="240" w:lineRule="auto"/>
              <w:jc w:val="both"/>
              <w:rPr>
                <w:rFonts w:cstheme="minorBidi"/>
                <w:noProof/>
              </w:rPr>
            </w:pPr>
            <w:r>
              <w:rPr>
                <w:noProof/>
              </w:rPr>
              <w:t>Vismaz 7500 veselības aprūpes speciālistu piedalās medicīnas apmācībā, kas vērsta uz veselības aprūpes nozares tehnoloģisko un digitālo modernizāciju. Piedāvā trīs veidu apmācību: īsi augstākās izglītības kursi, profesionāli maģistrantūras un/vai mikroapliecinājumi.</w:t>
            </w:r>
          </w:p>
        </w:tc>
      </w:tr>
      <w:tr w:rsidR="00776A1F" w14:paraId="7E7C518B" w14:textId="77777777">
        <w:trPr>
          <w:trHeight w:val="640"/>
        </w:trPr>
        <w:tc>
          <w:tcPr>
            <w:tcW w:w="1135" w:type="dxa"/>
            <w:shd w:val="clear" w:color="auto" w:fill="C5EFCE"/>
            <w:vAlign w:val="center"/>
          </w:tcPr>
          <w:p w14:paraId="7342B9AB" w14:textId="4D1C1BE5" w:rsidR="00776A1F" w:rsidRDefault="00D8574B">
            <w:pPr>
              <w:pStyle w:val="P68B1DB1-Normal11"/>
              <w:spacing w:after="0" w:line="240" w:lineRule="auto"/>
              <w:jc w:val="center"/>
              <w:rPr>
                <w:noProof/>
              </w:rPr>
            </w:pPr>
            <w:r>
              <w:rPr>
                <w:noProof/>
              </w:rPr>
              <w:t>6.23</w:t>
            </w:r>
          </w:p>
        </w:tc>
        <w:tc>
          <w:tcPr>
            <w:tcW w:w="1276" w:type="dxa"/>
            <w:shd w:val="clear" w:color="auto" w:fill="C4EFCE"/>
            <w:noWrap/>
            <w:vAlign w:val="center"/>
          </w:tcPr>
          <w:p w14:paraId="61D9CF67" w14:textId="5923C0BC" w:rsidR="00776A1F" w:rsidRDefault="00D8574B">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7BF68D0A" w14:textId="4BA5BECB" w:rsidR="00776A1F" w:rsidRDefault="00D8574B">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C8DA4AE" w14:textId="30954B10" w:rsidR="00776A1F" w:rsidRDefault="00D8574B">
            <w:pPr>
              <w:pStyle w:val="P68B1DB1-Normal12"/>
              <w:spacing w:after="0" w:line="240" w:lineRule="auto"/>
              <w:jc w:val="center"/>
              <w:rPr>
                <w:rFonts w:cstheme="minorHAnsi"/>
                <w:noProof/>
              </w:rPr>
            </w:pPr>
            <w:r>
              <w:rPr>
                <w:noProof/>
              </w:rPr>
              <w:t>Digitālo prasmju stiprināšana</w:t>
            </w:r>
          </w:p>
        </w:tc>
        <w:tc>
          <w:tcPr>
            <w:tcW w:w="1275" w:type="dxa"/>
            <w:shd w:val="clear" w:color="auto" w:fill="C4EFCE"/>
            <w:noWrap/>
            <w:vAlign w:val="center"/>
          </w:tcPr>
          <w:p w14:paraId="20F37E5B" w14:textId="77777777" w:rsidR="00776A1F" w:rsidRDefault="00776A1F">
            <w:pPr>
              <w:spacing w:after="0" w:line="240" w:lineRule="auto"/>
              <w:jc w:val="center"/>
              <w:rPr>
                <w:rFonts w:cstheme="minorHAnsi"/>
                <w:noProof/>
                <w:sz w:val="16"/>
              </w:rPr>
            </w:pPr>
          </w:p>
        </w:tc>
        <w:tc>
          <w:tcPr>
            <w:tcW w:w="993" w:type="dxa"/>
            <w:shd w:val="clear" w:color="auto" w:fill="C4EFCE"/>
            <w:noWrap/>
            <w:vAlign w:val="center"/>
          </w:tcPr>
          <w:p w14:paraId="3843260D" w14:textId="7E687270" w:rsidR="00776A1F" w:rsidRDefault="00D8574B">
            <w:pPr>
              <w:pStyle w:val="P68B1DB1-Normal12"/>
              <w:spacing w:after="0" w:line="240" w:lineRule="auto"/>
              <w:jc w:val="center"/>
              <w:rPr>
                <w:noProof/>
              </w:rPr>
            </w:pPr>
            <w:r>
              <w:rPr>
                <w:noProof/>
              </w:rPr>
              <w:t xml:space="preserve"> Skaits</w:t>
            </w:r>
          </w:p>
        </w:tc>
        <w:tc>
          <w:tcPr>
            <w:tcW w:w="992" w:type="dxa"/>
            <w:shd w:val="clear" w:color="auto" w:fill="C4EFCE"/>
            <w:noWrap/>
            <w:vAlign w:val="center"/>
          </w:tcPr>
          <w:p w14:paraId="03179505" w14:textId="02D7BE6B" w:rsidR="00776A1F" w:rsidRDefault="00D8574B">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3ABCA18E" w14:textId="5D6BAAE1" w:rsidR="00776A1F" w:rsidRDefault="00D8574B">
            <w:pPr>
              <w:pStyle w:val="P68B1DB1-Normal12"/>
              <w:spacing w:after="0" w:line="240" w:lineRule="auto"/>
              <w:jc w:val="center"/>
              <w:rPr>
                <w:rFonts w:eastAsia="Times New Roman" w:cstheme="minorHAnsi"/>
                <w:noProof/>
              </w:rPr>
            </w:pPr>
            <w:r>
              <w:rPr>
                <w:noProof/>
              </w:rPr>
              <w:t>11 750</w:t>
            </w:r>
          </w:p>
        </w:tc>
        <w:tc>
          <w:tcPr>
            <w:tcW w:w="567" w:type="dxa"/>
            <w:shd w:val="clear" w:color="auto" w:fill="C4EFCE"/>
            <w:noWrap/>
            <w:vAlign w:val="center"/>
          </w:tcPr>
          <w:p w14:paraId="718E9C07" w14:textId="7AFA7A93" w:rsidR="00776A1F" w:rsidRDefault="00D8574B">
            <w:pPr>
              <w:pStyle w:val="P68B1DB1-Normal12"/>
              <w:spacing w:after="0" w:line="240" w:lineRule="auto"/>
              <w:jc w:val="center"/>
              <w:rPr>
                <w:rFonts w:cstheme="minorHAnsi"/>
                <w:noProof/>
              </w:rPr>
            </w:pPr>
            <w:r>
              <w:rPr>
                <w:noProof/>
              </w:rPr>
              <w:t>2. CET.</w:t>
            </w:r>
          </w:p>
        </w:tc>
        <w:tc>
          <w:tcPr>
            <w:tcW w:w="708" w:type="dxa"/>
            <w:shd w:val="clear" w:color="auto" w:fill="C4EFCE"/>
            <w:noWrap/>
            <w:vAlign w:val="center"/>
          </w:tcPr>
          <w:p w14:paraId="0704A86A" w14:textId="763D5987" w:rsidR="00776A1F" w:rsidRDefault="00D8574B">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8BDA553" w14:textId="0C921B07" w:rsidR="00776A1F" w:rsidRDefault="00D8574B">
            <w:pPr>
              <w:pStyle w:val="P68B1DB1-Bodytext1013"/>
              <w:spacing w:after="0" w:line="240" w:lineRule="auto"/>
              <w:jc w:val="both"/>
              <w:rPr>
                <w:rFonts w:cstheme="minorBidi"/>
                <w:noProof/>
              </w:rPr>
            </w:pPr>
            <w:r>
              <w:rPr>
                <w:noProof/>
              </w:rPr>
              <w:t>Digitālo prasmju stiprināšanas programmās piedalās 11750 jauniešu un pieaugušo no jomām, kas nav STEAM jomas.</w:t>
            </w:r>
          </w:p>
        </w:tc>
      </w:tr>
      <w:tr w:rsidR="00776A1F" w14:paraId="4D94B093" w14:textId="77777777">
        <w:trPr>
          <w:trHeight w:val="640"/>
        </w:trPr>
        <w:tc>
          <w:tcPr>
            <w:tcW w:w="1135" w:type="dxa"/>
            <w:shd w:val="clear" w:color="auto" w:fill="C5EFCE"/>
            <w:vAlign w:val="center"/>
          </w:tcPr>
          <w:p w14:paraId="34E64220" w14:textId="772B93AE" w:rsidR="00776A1F" w:rsidRDefault="00D8574B">
            <w:pPr>
              <w:pStyle w:val="P68B1DB1-Normal11"/>
              <w:spacing w:after="0" w:line="240" w:lineRule="auto"/>
              <w:jc w:val="center"/>
              <w:rPr>
                <w:noProof/>
              </w:rPr>
            </w:pPr>
            <w:r>
              <w:rPr>
                <w:noProof/>
              </w:rPr>
              <w:t>6.24</w:t>
            </w:r>
          </w:p>
        </w:tc>
        <w:tc>
          <w:tcPr>
            <w:tcW w:w="1276" w:type="dxa"/>
            <w:shd w:val="clear" w:color="auto" w:fill="C4EFCE"/>
            <w:noWrap/>
            <w:vAlign w:val="center"/>
          </w:tcPr>
          <w:p w14:paraId="0083973A" w14:textId="5FF91370" w:rsidR="00776A1F" w:rsidRDefault="00D8574B">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534D3821" w14:textId="716BA925" w:rsidR="00776A1F" w:rsidRDefault="00D8574B">
            <w:pPr>
              <w:pStyle w:val="P68B1DB1-Normal12"/>
              <w:spacing w:after="0" w:line="240" w:lineRule="auto"/>
              <w:jc w:val="center"/>
              <w:rPr>
                <w:rFonts w:cstheme="minorHAnsi"/>
                <w:noProof/>
              </w:rPr>
            </w:pPr>
            <w:r>
              <w:rPr>
                <w:noProof/>
              </w:rPr>
              <w:t>M</w:t>
            </w:r>
          </w:p>
        </w:tc>
        <w:tc>
          <w:tcPr>
            <w:tcW w:w="1701" w:type="dxa"/>
            <w:shd w:val="clear" w:color="auto" w:fill="C4EFCE"/>
            <w:noWrap/>
            <w:vAlign w:val="center"/>
          </w:tcPr>
          <w:p w14:paraId="546F1C56" w14:textId="4A44DB24" w:rsidR="00776A1F" w:rsidRDefault="00D8574B">
            <w:pPr>
              <w:pStyle w:val="P68B1DB1-Normal12"/>
              <w:spacing w:after="0" w:line="240" w:lineRule="auto"/>
              <w:jc w:val="center"/>
              <w:rPr>
                <w:rFonts w:cstheme="minorHAnsi"/>
                <w:noProof/>
              </w:rPr>
            </w:pPr>
            <w:r>
              <w:rPr>
                <w:noProof/>
              </w:rPr>
              <w:t>Inovācija un pedagoģiskā modernizācija augstākajā izglītībā</w:t>
            </w:r>
          </w:p>
        </w:tc>
        <w:tc>
          <w:tcPr>
            <w:tcW w:w="1275" w:type="dxa"/>
            <w:shd w:val="clear" w:color="auto" w:fill="C4EFCE"/>
            <w:noWrap/>
            <w:vAlign w:val="center"/>
          </w:tcPr>
          <w:p w14:paraId="459EE616" w14:textId="77777777" w:rsidR="00776A1F" w:rsidRDefault="00776A1F">
            <w:pPr>
              <w:spacing w:after="0" w:line="240" w:lineRule="auto"/>
              <w:jc w:val="center"/>
              <w:rPr>
                <w:rFonts w:cstheme="minorHAnsi"/>
                <w:noProof/>
                <w:sz w:val="16"/>
              </w:rPr>
            </w:pPr>
          </w:p>
        </w:tc>
        <w:tc>
          <w:tcPr>
            <w:tcW w:w="993" w:type="dxa"/>
            <w:shd w:val="clear" w:color="auto" w:fill="C4EFCE"/>
            <w:noWrap/>
            <w:vAlign w:val="center"/>
          </w:tcPr>
          <w:p w14:paraId="7BEDA178" w14:textId="53F4813C" w:rsidR="00776A1F" w:rsidRDefault="00D8574B">
            <w:pPr>
              <w:pStyle w:val="P68B1DB1-Normal12"/>
              <w:spacing w:after="0" w:line="240" w:lineRule="auto"/>
              <w:jc w:val="center"/>
              <w:rPr>
                <w:noProof/>
              </w:rPr>
            </w:pPr>
            <w:r>
              <w:rPr>
                <w:noProof/>
              </w:rPr>
              <w:t xml:space="preserve"> Skaits</w:t>
            </w:r>
          </w:p>
        </w:tc>
        <w:tc>
          <w:tcPr>
            <w:tcW w:w="992" w:type="dxa"/>
            <w:shd w:val="clear" w:color="auto" w:fill="C4EFCE"/>
            <w:noWrap/>
            <w:vAlign w:val="center"/>
          </w:tcPr>
          <w:p w14:paraId="665883BC" w14:textId="2EC998CE" w:rsidR="00776A1F" w:rsidRDefault="00D8574B">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6CC2A8F9" w14:textId="06F7ECA2" w:rsidR="00776A1F" w:rsidRDefault="00D8574B">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02D944F5" w14:textId="703DB580" w:rsidR="00776A1F" w:rsidRDefault="00D8574B">
            <w:pPr>
              <w:pStyle w:val="P68B1DB1-Normal12"/>
              <w:spacing w:after="0" w:line="240" w:lineRule="auto"/>
              <w:jc w:val="center"/>
              <w:rPr>
                <w:rFonts w:cstheme="minorHAnsi"/>
                <w:noProof/>
              </w:rPr>
            </w:pPr>
            <w:r>
              <w:rPr>
                <w:noProof/>
              </w:rPr>
              <w:t xml:space="preserve">4. CET. </w:t>
            </w:r>
          </w:p>
        </w:tc>
        <w:tc>
          <w:tcPr>
            <w:tcW w:w="708" w:type="dxa"/>
            <w:shd w:val="clear" w:color="auto" w:fill="C4EFCE"/>
            <w:noWrap/>
            <w:vAlign w:val="center"/>
          </w:tcPr>
          <w:p w14:paraId="64371F14" w14:textId="0A68E79D" w:rsidR="00776A1F" w:rsidRDefault="00D8574B">
            <w:pPr>
              <w:pStyle w:val="P68B1DB1-Normal12"/>
              <w:spacing w:after="0" w:line="240" w:lineRule="auto"/>
              <w:jc w:val="center"/>
              <w:rPr>
                <w:rFonts w:cstheme="minorHAnsi"/>
                <w:noProof/>
              </w:rPr>
            </w:pPr>
            <w:r>
              <w:rPr>
                <w:noProof/>
              </w:rPr>
              <w:t>2024</w:t>
            </w:r>
          </w:p>
        </w:tc>
        <w:tc>
          <w:tcPr>
            <w:tcW w:w="4395" w:type="dxa"/>
            <w:shd w:val="clear" w:color="auto" w:fill="C4EFCE"/>
            <w:vAlign w:val="center"/>
          </w:tcPr>
          <w:p w14:paraId="31B02553" w14:textId="31BE029E" w:rsidR="00776A1F" w:rsidRDefault="00D8574B">
            <w:pPr>
              <w:pStyle w:val="P68B1DB1-Bodytext1013"/>
              <w:spacing w:after="0" w:line="240" w:lineRule="auto"/>
              <w:jc w:val="both"/>
              <w:rPr>
                <w:rFonts w:cstheme="minorBidi"/>
                <w:noProof/>
              </w:rPr>
            </w:pPr>
            <w:r>
              <w:rPr>
                <w:noProof/>
              </w:rPr>
              <w:t xml:space="preserve">Izveido piecus pedagoģiskās inovācijas izcilības centrus, galveno uzmanību pievēršot jomām, kas nav saistītas ar tehnoloģijām (sociālajām zinātnēm, humanitārajām zinātnēm un mākslai). Izveido Valsts pedagoģiskās inovācijas padomi augstākajā izglītībā. </w:t>
            </w:r>
          </w:p>
        </w:tc>
      </w:tr>
      <w:tr w:rsidR="00776A1F" w14:paraId="5EDD3E14" w14:textId="77777777">
        <w:trPr>
          <w:trHeight w:val="640"/>
        </w:trPr>
        <w:tc>
          <w:tcPr>
            <w:tcW w:w="1135" w:type="dxa"/>
            <w:shd w:val="clear" w:color="auto" w:fill="C5EFCE"/>
            <w:vAlign w:val="center"/>
          </w:tcPr>
          <w:p w14:paraId="42FF49FC" w14:textId="25C76D14" w:rsidR="00776A1F" w:rsidRDefault="00D8574B">
            <w:pPr>
              <w:pStyle w:val="P68B1DB1-Normal11"/>
              <w:spacing w:after="0" w:line="240" w:lineRule="auto"/>
              <w:jc w:val="center"/>
              <w:rPr>
                <w:noProof/>
              </w:rPr>
            </w:pPr>
            <w:r>
              <w:rPr>
                <w:noProof/>
                <w:shd w:val="clear" w:color="auto" w:fill="E6E6E6"/>
              </w:rPr>
              <w:t>6.2</w:t>
            </w:r>
            <w:r>
              <w:rPr>
                <w:noProof/>
              </w:rPr>
              <w:t>5</w:t>
            </w:r>
          </w:p>
        </w:tc>
        <w:tc>
          <w:tcPr>
            <w:tcW w:w="1276" w:type="dxa"/>
            <w:shd w:val="clear" w:color="auto" w:fill="C4EFCE"/>
            <w:noWrap/>
            <w:vAlign w:val="center"/>
          </w:tcPr>
          <w:p w14:paraId="56C60FE1" w14:textId="4068A0BE" w:rsidR="00776A1F" w:rsidRDefault="00D8574B">
            <w:pPr>
              <w:pStyle w:val="P68B1DB1-Normal12"/>
              <w:spacing w:after="0" w:line="240" w:lineRule="auto"/>
              <w:jc w:val="center"/>
              <w:rPr>
                <w:noProof/>
              </w:rPr>
            </w:pPr>
            <w:r>
              <w:rPr>
                <w:noProof/>
              </w:rPr>
              <w:t>Re-C06-i07</w:t>
            </w:r>
          </w:p>
        </w:tc>
        <w:tc>
          <w:tcPr>
            <w:tcW w:w="1134" w:type="dxa"/>
            <w:shd w:val="clear" w:color="auto" w:fill="C4EFCE"/>
            <w:noWrap/>
            <w:vAlign w:val="center"/>
          </w:tcPr>
          <w:p w14:paraId="075C0195" w14:textId="08EB7FE7" w:rsidR="00776A1F" w:rsidRDefault="00D8574B">
            <w:pPr>
              <w:pStyle w:val="P68B1DB1-Normal12"/>
              <w:spacing w:after="0" w:line="240" w:lineRule="auto"/>
              <w:jc w:val="center"/>
              <w:rPr>
                <w:noProof/>
              </w:rPr>
            </w:pPr>
            <w:r>
              <w:rPr>
                <w:noProof/>
              </w:rPr>
              <w:t>T</w:t>
            </w:r>
          </w:p>
        </w:tc>
        <w:tc>
          <w:tcPr>
            <w:tcW w:w="1701" w:type="dxa"/>
            <w:shd w:val="clear" w:color="auto" w:fill="C4EFCE"/>
            <w:noWrap/>
            <w:vAlign w:val="center"/>
          </w:tcPr>
          <w:p w14:paraId="6FB5789C" w14:textId="4D968374" w:rsidR="00776A1F" w:rsidRDefault="00D8574B">
            <w:pPr>
              <w:pStyle w:val="P68B1DB1-Normal12"/>
              <w:spacing w:after="0" w:line="240" w:lineRule="auto"/>
              <w:jc w:val="center"/>
              <w:rPr>
                <w:noProof/>
              </w:rPr>
            </w:pPr>
            <w:r>
              <w:rPr>
                <w:noProof/>
              </w:rPr>
              <w:t>Inovācija un pedagoģiskā modernizācija augstākajā izglītībā</w:t>
            </w:r>
          </w:p>
        </w:tc>
        <w:tc>
          <w:tcPr>
            <w:tcW w:w="1275" w:type="dxa"/>
            <w:shd w:val="clear" w:color="auto" w:fill="C4EFCE"/>
            <w:noWrap/>
            <w:vAlign w:val="center"/>
          </w:tcPr>
          <w:p w14:paraId="1FE0DD74" w14:textId="77777777" w:rsidR="00776A1F" w:rsidRDefault="00776A1F">
            <w:pPr>
              <w:spacing w:after="0" w:line="240" w:lineRule="auto"/>
              <w:jc w:val="center"/>
              <w:rPr>
                <w:noProof/>
                <w:sz w:val="16"/>
              </w:rPr>
            </w:pPr>
          </w:p>
        </w:tc>
        <w:tc>
          <w:tcPr>
            <w:tcW w:w="993" w:type="dxa"/>
            <w:shd w:val="clear" w:color="auto" w:fill="C4EFCE"/>
            <w:noWrap/>
            <w:vAlign w:val="center"/>
          </w:tcPr>
          <w:p w14:paraId="109C6A75" w14:textId="6DC07688" w:rsidR="00776A1F" w:rsidRDefault="00D8574B">
            <w:pPr>
              <w:pStyle w:val="P68B1DB1-Normal12"/>
              <w:spacing w:after="0" w:line="240" w:lineRule="auto"/>
              <w:jc w:val="center"/>
              <w:rPr>
                <w:noProof/>
              </w:rPr>
            </w:pPr>
            <w:r>
              <w:rPr>
                <w:noProof/>
              </w:rPr>
              <w:t>Procentuālā daļa</w:t>
            </w:r>
          </w:p>
        </w:tc>
        <w:tc>
          <w:tcPr>
            <w:tcW w:w="992" w:type="dxa"/>
            <w:shd w:val="clear" w:color="auto" w:fill="C4EFCE"/>
            <w:noWrap/>
            <w:vAlign w:val="center"/>
          </w:tcPr>
          <w:p w14:paraId="5BACD0A3" w14:textId="2B76B72B" w:rsidR="00776A1F" w:rsidRDefault="00D8574B">
            <w:pPr>
              <w:pStyle w:val="P68B1DB1-Normal12"/>
              <w:spacing w:after="0" w:line="240" w:lineRule="auto"/>
              <w:jc w:val="center"/>
              <w:rPr>
                <w:noProof/>
              </w:rPr>
            </w:pPr>
            <w:r>
              <w:rPr>
                <w:noProof/>
              </w:rPr>
              <w:t>24</w:t>
            </w:r>
          </w:p>
        </w:tc>
        <w:tc>
          <w:tcPr>
            <w:tcW w:w="850" w:type="dxa"/>
            <w:shd w:val="clear" w:color="auto" w:fill="C4EFCE"/>
            <w:noWrap/>
            <w:vAlign w:val="center"/>
          </w:tcPr>
          <w:p w14:paraId="0FCCD7A8" w14:textId="17E68BD7" w:rsidR="00776A1F" w:rsidRDefault="00D8574B">
            <w:pPr>
              <w:pStyle w:val="P68B1DB1-Normal12"/>
              <w:spacing w:after="0" w:line="240" w:lineRule="auto"/>
              <w:jc w:val="center"/>
              <w:rPr>
                <w:noProof/>
              </w:rPr>
            </w:pPr>
            <w:r>
              <w:rPr>
                <w:noProof/>
              </w:rPr>
              <w:t>22</w:t>
            </w:r>
          </w:p>
        </w:tc>
        <w:tc>
          <w:tcPr>
            <w:tcW w:w="567" w:type="dxa"/>
            <w:shd w:val="clear" w:color="auto" w:fill="C4EFCE"/>
            <w:noWrap/>
            <w:vAlign w:val="center"/>
          </w:tcPr>
          <w:p w14:paraId="407A04B9" w14:textId="6C671152" w:rsidR="00776A1F" w:rsidRDefault="00D8574B">
            <w:pPr>
              <w:pStyle w:val="P68B1DB1-Normal12"/>
              <w:spacing w:after="0" w:line="240" w:lineRule="auto"/>
              <w:jc w:val="center"/>
              <w:rPr>
                <w:noProof/>
              </w:rPr>
            </w:pPr>
            <w:r>
              <w:rPr>
                <w:noProof/>
              </w:rPr>
              <w:t xml:space="preserve">2. CET. </w:t>
            </w:r>
          </w:p>
        </w:tc>
        <w:tc>
          <w:tcPr>
            <w:tcW w:w="708" w:type="dxa"/>
            <w:shd w:val="clear" w:color="auto" w:fill="C4EFCE"/>
            <w:noWrap/>
            <w:vAlign w:val="center"/>
          </w:tcPr>
          <w:p w14:paraId="24140BFE" w14:textId="49106AB4" w:rsidR="00776A1F" w:rsidRDefault="00D8574B">
            <w:pPr>
              <w:pStyle w:val="P68B1DB1-Normal12"/>
              <w:spacing w:after="0" w:line="240" w:lineRule="auto"/>
              <w:jc w:val="center"/>
              <w:rPr>
                <w:noProof/>
              </w:rPr>
            </w:pPr>
            <w:r>
              <w:rPr>
                <w:noProof/>
              </w:rPr>
              <w:t>2026</w:t>
            </w:r>
          </w:p>
        </w:tc>
        <w:tc>
          <w:tcPr>
            <w:tcW w:w="4395" w:type="dxa"/>
            <w:shd w:val="clear" w:color="auto" w:fill="C4EFCE"/>
            <w:vAlign w:val="center"/>
          </w:tcPr>
          <w:p w14:paraId="301CE07F" w14:textId="78DC95DE" w:rsidR="00776A1F" w:rsidRDefault="00D8574B">
            <w:pPr>
              <w:pStyle w:val="P68B1DB1-Bodytext1013"/>
              <w:spacing w:after="0" w:line="240" w:lineRule="auto"/>
              <w:jc w:val="both"/>
              <w:rPr>
                <w:rFonts w:cstheme="minorBidi"/>
                <w:noProof/>
              </w:rPr>
            </w:pPr>
            <w:r>
              <w:rPr>
                <w:noProof/>
              </w:rPr>
              <w:t>Salīdzinot ar 2020./2021. mācību</w:t>
            </w:r>
            <w:r>
              <w:rPr>
                <w:noProof/>
                <w:vertAlign w:val="superscript"/>
              </w:rPr>
              <w:t>gadu</w:t>
            </w:r>
            <w:r>
              <w:rPr>
                <w:noProof/>
              </w:rPr>
              <w:t xml:space="preserve">, to skolēnu vidējais rādītājs, kuri priekšlaicīgi pametuši mācības pirmajā gadā, un to skolēnu vidējais īpatsvars, kuri pirmo reizi piedalās sākotnējā apmācībā, samazinās no 24 % līdz 22 %. </w:t>
            </w:r>
          </w:p>
        </w:tc>
      </w:tr>
      <w:tr w:rsidR="00776A1F" w14:paraId="1B6CC263" w14:textId="77777777">
        <w:trPr>
          <w:trHeight w:val="1200"/>
        </w:trPr>
        <w:tc>
          <w:tcPr>
            <w:tcW w:w="1135" w:type="dxa"/>
            <w:shd w:val="clear" w:color="auto" w:fill="C5EFCE"/>
            <w:vAlign w:val="center"/>
          </w:tcPr>
          <w:p w14:paraId="17852A2F" w14:textId="4BC71954" w:rsidR="00776A1F" w:rsidRDefault="00D8574B">
            <w:pPr>
              <w:pStyle w:val="P68B1DB1-Normal11"/>
              <w:spacing w:after="0" w:line="240" w:lineRule="auto"/>
              <w:jc w:val="center"/>
              <w:rPr>
                <w:noProof/>
              </w:rPr>
            </w:pPr>
            <w:r>
              <w:rPr>
                <w:noProof/>
              </w:rPr>
              <w:t>6.26</w:t>
            </w:r>
          </w:p>
        </w:tc>
        <w:tc>
          <w:tcPr>
            <w:tcW w:w="1276" w:type="dxa"/>
            <w:shd w:val="clear" w:color="auto" w:fill="C4EFCE"/>
            <w:noWrap/>
            <w:vAlign w:val="center"/>
          </w:tcPr>
          <w:p w14:paraId="6AB0021F" w14:textId="36D94200" w:rsidR="00776A1F" w:rsidRDefault="00D8574B">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D4E502D" w14:textId="257DAB64" w:rsidR="00776A1F" w:rsidRDefault="00D8574B">
            <w:pPr>
              <w:pStyle w:val="P68B1DB1-Normal12"/>
              <w:spacing w:after="0" w:line="240" w:lineRule="auto"/>
              <w:jc w:val="center"/>
              <w:rPr>
                <w:rFonts w:cstheme="minorHAnsi"/>
                <w:noProof/>
                <w:highlight w:val="yellow"/>
              </w:rPr>
            </w:pPr>
            <w:r>
              <w:rPr>
                <w:noProof/>
              </w:rPr>
              <w:t>M</w:t>
            </w:r>
          </w:p>
        </w:tc>
        <w:tc>
          <w:tcPr>
            <w:tcW w:w="1701" w:type="dxa"/>
            <w:shd w:val="clear" w:color="auto" w:fill="C4EFCE"/>
            <w:noWrap/>
            <w:vAlign w:val="center"/>
          </w:tcPr>
          <w:p w14:paraId="4066C449" w14:textId="4911D8E4" w:rsidR="00776A1F" w:rsidRDefault="00D8574B">
            <w:pPr>
              <w:pStyle w:val="P68B1DB1-Normal12"/>
              <w:spacing w:after="0" w:line="240" w:lineRule="auto"/>
              <w:jc w:val="center"/>
              <w:rPr>
                <w:noProof/>
                <w:highlight w:val="yellow"/>
              </w:rPr>
            </w:pPr>
            <w:r>
              <w:rPr>
                <w:noProof/>
              </w:rPr>
              <w:t>Parakstīts līgums par CITMA ēkas paplašināšanu</w:t>
            </w:r>
          </w:p>
        </w:tc>
        <w:tc>
          <w:tcPr>
            <w:tcW w:w="1275" w:type="dxa"/>
            <w:shd w:val="clear" w:color="auto" w:fill="C4EFCE"/>
            <w:noWrap/>
            <w:vAlign w:val="center"/>
          </w:tcPr>
          <w:p w14:paraId="4184FAC3" w14:textId="57DE588F" w:rsidR="00776A1F" w:rsidRDefault="00D8574B">
            <w:pPr>
              <w:pStyle w:val="P68B1DB1-Normal12"/>
              <w:spacing w:after="0" w:line="240" w:lineRule="auto"/>
              <w:jc w:val="center"/>
              <w:rPr>
                <w:noProof/>
              </w:rPr>
            </w:pPr>
            <w:r>
              <w:rPr>
                <w:noProof/>
              </w:rPr>
              <w:t>Parakstīts līgums ar līgumslēdzēju par CITMA ēkas paplašināšanu</w:t>
            </w:r>
          </w:p>
        </w:tc>
        <w:tc>
          <w:tcPr>
            <w:tcW w:w="993" w:type="dxa"/>
            <w:shd w:val="clear" w:color="auto" w:fill="C4EFCE"/>
            <w:noWrap/>
            <w:vAlign w:val="center"/>
          </w:tcPr>
          <w:p w14:paraId="2594E74E" w14:textId="77777777" w:rsidR="00776A1F" w:rsidRDefault="00776A1F">
            <w:pPr>
              <w:spacing w:after="0" w:line="240" w:lineRule="auto"/>
              <w:jc w:val="center"/>
              <w:rPr>
                <w:rFonts w:cstheme="minorHAnsi"/>
                <w:noProof/>
                <w:sz w:val="16"/>
                <w:highlight w:val="yellow"/>
              </w:rPr>
            </w:pPr>
          </w:p>
        </w:tc>
        <w:tc>
          <w:tcPr>
            <w:tcW w:w="992" w:type="dxa"/>
            <w:shd w:val="clear" w:color="auto" w:fill="C4EFCE"/>
            <w:noWrap/>
            <w:vAlign w:val="center"/>
          </w:tcPr>
          <w:p w14:paraId="5C7A545B" w14:textId="77777777" w:rsidR="00776A1F" w:rsidRDefault="00776A1F">
            <w:pPr>
              <w:spacing w:after="0" w:line="240" w:lineRule="auto"/>
              <w:jc w:val="center"/>
              <w:rPr>
                <w:rFonts w:cstheme="minorHAnsi"/>
                <w:noProof/>
                <w:sz w:val="16"/>
                <w:highlight w:val="yellow"/>
              </w:rPr>
            </w:pPr>
          </w:p>
        </w:tc>
        <w:tc>
          <w:tcPr>
            <w:tcW w:w="850" w:type="dxa"/>
            <w:shd w:val="clear" w:color="auto" w:fill="C4EFCE"/>
            <w:noWrap/>
            <w:vAlign w:val="center"/>
          </w:tcPr>
          <w:p w14:paraId="5C0309AA" w14:textId="77777777" w:rsidR="00776A1F" w:rsidRDefault="00776A1F">
            <w:pPr>
              <w:spacing w:after="0" w:line="240" w:lineRule="auto"/>
              <w:jc w:val="center"/>
              <w:rPr>
                <w:rFonts w:cstheme="minorHAnsi"/>
                <w:noProof/>
                <w:sz w:val="16"/>
                <w:highlight w:val="yellow"/>
              </w:rPr>
            </w:pPr>
          </w:p>
        </w:tc>
        <w:tc>
          <w:tcPr>
            <w:tcW w:w="567" w:type="dxa"/>
            <w:shd w:val="clear" w:color="auto" w:fill="C4EFCE"/>
            <w:noWrap/>
            <w:vAlign w:val="center"/>
          </w:tcPr>
          <w:p w14:paraId="7B969A18" w14:textId="75D7CB06" w:rsidR="00776A1F" w:rsidRDefault="00D8574B">
            <w:pPr>
              <w:pStyle w:val="P68B1DB1-Normal12"/>
              <w:spacing w:after="0" w:line="240" w:lineRule="auto"/>
              <w:jc w:val="center"/>
              <w:rPr>
                <w:noProof/>
                <w:highlight w:val="yellow"/>
              </w:rPr>
            </w:pPr>
            <w:r>
              <w:rPr>
                <w:noProof/>
              </w:rPr>
              <w:t>4. CET.</w:t>
            </w:r>
          </w:p>
        </w:tc>
        <w:tc>
          <w:tcPr>
            <w:tcW w:w="708" w:type="dxa"/>
            <w:shd w:val="clear" w:color="auto" w:fill="C4EFCE"/>
            <w:noWrap/>
            <w:vAlign w:val="center"/>
          </w:tcPr>
          <w:p w14:paraId="5BA274AA" w14:textId="7294986B" w:rsidR="00776A1F" w:rsidRDefault="00D8574B">
            <w:pPr>
              <w:pStyle w:val="P68B1DB1-Normal12"/>
              <w:spacing w:after="0" w:line="240" w:lineRule="auto"/>
              <w:jc w:val="center"/>
              <w:rPr>
                <w:noProof/>
                <w:highlight w:val="yellow"/>
              </w:rPr>
            </w:pPr>
            <w:r>
              <w:rPr>
                <w:noProof/>
              </w:rPr>
              <w:t>2024</w:t>
            </w:r>
          </w:p>
        </w:tc>
        <w:tc>
          <w:tcPr>
            <w:tcW w:w="4395" w:type="dxa"/>
            <w:shd w:val="clear" w:color="auto" w:fill="C4EFCE"/>
          </w:tcPr>
          <w:p w14:paraId="026297F8" w14:textId="55F6305A" w:rsidR="00776A1F" w:rsidRDefault="00D8574B">
            <w:pPr>
              <w:pStyle w:val="P68B1DB1-Bodytext1013"/>
              <w:spacing w:line="240" w:lineRule="auto"/>
              <w:jc w:val="both"/>
              <w:rPr>
                <w:rFonts w:cstheme="minorBidi"/>
                <w:noProof/>
              </w:rPr>
            </w:pPr>
            <w:r>
              <w:rPr>
                <w:noProof/>
              </w:rPr>
              <w:t>Parakstīts līgums par Madeiras Zinātniskā un tehnoloģiskā centra (CITMA) ēkas paplašināšanu. Paplašinājumu veido trīs stāvu pievienošana strāvas ēkai un pirmā stāva paplašināšana. Ēku pielāgo cilvēku ar ierobežotām pārvietošanās spējām vajadzībām.</w:t>
            </w:r>
          </w:p>
        </w:tc>
      </w:tr>
      <w:tr w:rsidR="00776A1F" w14:paraId="26661FA7" w14:textId="77777777">
        <w:trPr>
          <w:trHeight w:val="640"/>
        </w:trPr>
        <w:tc>
          <w:tcPr>
            <w:tcW w:w="1135" w:type="dxa"/>
            <w:shd w:val="clear" w:color="auto" w:fill="C5EFCE"/>
            <w:vAlign w:val="center"/>
          </w:tcPr>
          <w:p w14:paraId="16FCC56E" w14:textId="432F4705" w:rsidR="00776A1F" w:rsidRDefault="00D8574B">
            <w:pPr>
              <w:pStyle w:val="P68B1DB1-Normal11"/>
              <w:spacing w:after="0" w:line="240" w:lineRule="auto"/>
              <w:jc w:val="center"/>
              <w:rPr>
                <w:noProof/>
              </w:rPr>
            </w:pPr>
            <w:r>
              <w:rPr>
                <w:noProof/>
              </w:rPr>
              <w:t>6.27</w:t>
            </w:r>
          </w:p>
        </w:tc>
        <w:tc>
          <w:tcPr>
            <w:tcW w:w="1276" w:type="dxa"/>
            <w:shd w:val="clear" w:color="auto" w:fill="C4EFCE"/>
            <w:noWrap/>
            <w:vAlign w:val="center"/>
          </w:tcPr>
          <w:p w14:paraId="7A2ED63D" w14:textId="6A226D82" w:rsidR="00776A1F" w:rsidRDefault="00D8574B">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1DDD4B9" w14:textId="3B2B0BFD" w:rsidR="00776A1F" w:rsidRDefault="00D8574B">
            <w:pPr>
              <w:pStyle w:val="P68B1DB1-Normal12"/>
              <w:spacing w:after="0" w:line="240" w:lineRule="auto"/>
              <w:jc w:val="center"/>
              <w:rPr>
                <w:rFonts w:cstheme="minorHAnsi"/>
                <w:noProof/>
                <w:highlight w:val="yellow"/>
              </w:rPr>
            </w:pPr>
            <w:r>
              <w:rPr>
                <w:noProof/>
              </w:rPr>
              <w:t>T</w:t>
            </w:r>
          </w:p>
        </w:tc>
        <w:tc>
          <w:tcPr>
            <w:tcW w:w="1701" w:type="dxa"/>
            <w:shd w:val="clear" w:color="auto" w:fill="C4EFCE"/>
            <w:noWrap/>
            <w:vAlign w:val="center"/>
          </w:tcPr>
          <w:p w14:paraId="6636B311" w14:textId="0722EF78" w:rsidR="00776A1F" w:rsidRDefault="00D8574B">
            <w:pPr>
              <w:pStyle w:val="P68B1DB1-Normal12"/>
              <w:spacing w:after="0" w:line="240" w:lineRule="auto"/>
              <w:jc w:val="center"/>
              <w:rPr>
                <w:rFonts w:cstheme="minorHAnsi"/>
                <w:noProof/>
                <w:highlight w:val="yellow"/>
              </w:rPr>
            </w:pPr>
            <w:r>
              <w:rPr>
                <w:noProof/>
              </w:rPr>
              <w:t>CITMA ēkas paplašināšana pabeigta</w:t>
            </w:r>
          </w:p>
        </w:tc>
        <w:tc>
          <w:tcPr>
            <w:tcW w:w="1275" w:type="dxa"/>
            <w:shd w:val="clear" w:color="auto" w:fill="C4EFCE"/>
            <w:noWrap/>
            <w:vAlign w:val="center"/>
          </w:tcPr>
          <w:p w14:paraId="5B8088BD" w14:textId="77777777" w:rsidR="00776A1F" w:rsidRDefault="00776A1F">
            <w:pPr>
              <w:spacing w:after="0" w:line="240" w:lineRule="auto"/>
              <w:jc w:val="center"/>
              <w:rPr>
                <w:rFonts w:cstheme="minorHAnsi"/>
                <w:noProof/>
                <w:sz w:val="16"/>
              </w:rPr>
            </w:pPr>
          </w:p>
        </w:tc>
        <w:tc>
          <w:tcPr>
            <w:tcW w:w="993" w:type="dxa"/>
            <w:shd w:val="clear" w:color="auto" w:fill="C4EFCE"/>
            <w:noWrap/>
            <w:vAlign w:val="center"/>
          </w:tcPr>
          <w:p w14:paraId="6D0A9446" w14:textId="77152A4E" w:rsidR="00776A1F" w:rsidRDefault="00D8574B">
            <w:pPr>
              <w:pStyle w:val="P68B1DB1-Normal12"/>
              <w:spacing w:after="0" w:line="240" w:lineRule="auto"/>
              <w:jc w:val="center"/>
              <w:rPr>
                <w:rFonts w:cstheme="minorHAnsi"/>
                <w:noProof/>
                <w:highlight w:val="yellow"/>
              </w:rPr>
            </w:pPr>
            <w:r>
              <w:rPr>
                <w:noProof/>
              </w:rPr>
              <w:t>m² (bruto)</w:t>
            </w:r>
          </w:p>
        </w:tc>
        <w:tc>
          <w:tcPr>
            <w:tcW w:w="992" w:type="dxa"/>
            <w:shd w:val="clear" w:color="auto" w:fill="C4EFCE"/>
            <w:noWrap/>
            <w:vAlign w:val="center"/>
          </w:tcPr>
          <w:p w14:paraId="49E7248F" w14:textId="0204F5B0" w:rsidR="00776A1F" w:rsidRDefault="00D8574B">
            <w:pPr>
              <w:pStyle w:val="P68B1DB1-Normal12"/>
              <w:spacing w:after="0" w:line="240" w:lineRule="auto"/>
              <w:jc w:val="center"/>
              <w:rPr>
                <w:rFonts w:cstheme="minorHAnsi"/>
                <w:noProof/>
                <w:highlight w:val="yellow"/>
              </w:rPr>
            </w:pPr>
            <w:r>
              <w:rPr>
                <w:noProof/>
              </w:rPr>
              <w:t>0</w:t>
            </w:r>
          </w:p>
        </w:tc>
        <w:tc>
          <w:tcPr>
            <w:tcW w:w="850" w:type="dxa"/>
            <w:shd w:val="clear" w:color="auto" w:fill="C4EFCE"/>
            <w:noWrap/>
            <w:vAlign w:val="center"/>
          </w:tcPr>
          <w:p w14:paraId="437267C7" w14:textId="13522473" w:rsidR="00776A1F" w:rsidRDefault="00D8574B">
            <w:pPr>
              <w:pStyle w:val="P68B1DB1-Normal12"/>
              <w:spacing w:after="0" w:line="240" w:lineRule="auto"/>
              <w:jc w:val="center"/>
              <w:rPr>
                <w:rFonts w:cstheme="minorHAnsi"/>
                <w:noProof/>
                <w:highlight w:val="yellow"/>
              </w:rPr>
            </w:pPr>
            <w:r>
              <w:rPr>
                <w:noProof/>
              </w:rPr>
              <w:t>9.030</w:t>
            </w:r>
          </w:p>
        </w:tc>
        <w:tc>
          <w:tcPr>
            <w:tcW w:w="567" w:type="dxa"/>
            <w:shd w:val="clear" w:color="auto" w:fill="C4EFCE"/>
            <w:noWrap/>
            <w:vAlign w:val="center"/>
          </w:tcPr>
          <w:p w14:paraId="1704115E" w14:textId="514D1C81" w:rsidR="00776A1F" w:rsidRDefault="00D8574B">
            <w:pPr>
              <w:pStyle w:val="P68B1DB1-Normal12"/>
              <w:spacing w:after="0" w:line="240" w:lineRule="auto"/>
              <w:jc w:val="center"/>
              <w:rPr>
                <w:rFonts w:cstheme="minorHAnsi"/>
                <w:noProof/>
                <w:highlight w:val="yellow"/>
              </w:rPr>
            </w:pPr>
            <w:r>
              <w:rPr>
                <w:noProof/>
              </w:rPr>
              <w:t>2. CET.</w:t>
            </w:r>
          </w:p>
        </w:tc>
        <w:tc>
          <w:tcPr>
            <w:tcW w:w="708" w:type="dxa"/>
            <w:shd w:val="clear" w:color="auto" w:fill="C4EFCE"/>
            <w:noWrap/>
            <w:vAlign w:val="center"/>
          </w:tcPr>
          <w:p w14:paraId="121AEEFC" w14:textId="164B71B5" w:rsidR="00776A1F" w:rsidRDefault="00D8574B">
            <w:pPr>
              <w:pStyle w:val="P68B1DB1-Normal12"/>
              <w:spacing w:after="0" w:line="240" w:lineRule="auto"/>
              <w:jc w:val="center"/>
              <w:rPr>
                <w:rFonts w:cstheme="minorHAnsi"/>
                <w:noProof/>
                <w:highlight w:val="yellow"/>
              </w:rPr>
            </w:pPr>
            <w:r>
              <w:rPr>
                <w:noProof/>
              </w:rPr>
              <w:t>2026</w:t>
            </w:r>
          </w:p>
        </w:tc>
        <w:tc>
          <w:tcPr>
            <w:tcW w:w="4395" w:type="dxa"/>
            <w:shd w:val="clear" w:color="auto" w:fill="C4EFCE"/>
          </w:tcPr>
          <w:p w14:paraId="6755F55B" w14:textId="6249822E" w:rsidR="00776A1F" w:rsidRDefault="00D8574B">
            <w:pPr>
              <w:pStyle w:val="P68B1DB1-Bodytext1013"/>
              <w:spacing w:after="0" w:line="240" w:lineRule="auto"/>
              <w:jc w:val="both"/>
              <w:rPr>
                <w:rFonts w:cstheme="minorBidi"/>
                <w:noProof/>
              </w:rPr>
            </w:pPr>
            <w:r>
              <w:rPr>
                <w:noProof/>
              </w:rPr>
              <w:t xml:space="preserve">Visu ar CITMA ēkas paplašināšanu saistīto līgumdarbu pabeigšana, kā norādīts M6.26. punktā. </w:t>
            </w:r>
          </w:p>
          <w:p w14:paraId="2E4EF6FD" w14:textId="67B2A4A2" w:rsidR="00776A1F" w:rsidRDefault="00D8574B">
            <w:pPr>
              <w:pStyle w:val="P68B1DB1-Bodytext1013"/>
              <w:spacing w:after="0" w:line="240" w:lineRule="auto"/>
              <w:jc w:val="both"/>
              <w:rPr>
                <w:rFonts w:cstheme="minorHAnsi"/>
                <w:noProof/>
                <w:highlight w:val="yellow"/>
              </w:rPr>
            </w:pPr>
            <w:r>
              <w:rPr>
                <w:noProof/>
              </w:rPr>
              <w:t>Ēkas primārās enerģijas pieprasījums ir vismaz par 20 % zemāks nekā prasības gandrīz nulles enerģijas ēkām.</w:t>
            </w:r>
          </w:p>
        </w:tc>
      </w:tr>
    </w:tbl>
    <w:p w14:paraId="703445A0"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126"/>
          <w:headerReference w:type="default" r:id="rId127"/>
          <w:footerReference w:type="even" r:id="rId128"/>
          <w:footerReference w:type="default" r:id="rId129"/>
          <w:headerReference w:type="first" r:id="rId130"/>
          <w:footerReference w:type="first" r:id="rId131"/>
          <w:pgSz w:w="16839" w:h="11907" w:orient="landscape"/>
          <w:pgMar w:top="1134" w:right="1134" w:bottom="1134" w:left="1134" w:header="567" w:footer="567" w:gutter="0"/>
          <w:cols w:space="720"/>
          <w:docGrid w:linePitch="360"/>
        </w:sectPr>
      </w:pPr>
    </w:p>
    <w:p w14:paraId="0B57B546" w14:textId="00CBED5A" w:rsidR="00776A1F" w:rsidRDefault="00D8574B">
      <w:pPr>
        <w:pStyle w:val="P68B1DB1-Normal3"/>
        <w:spacing w:before="40" w:after="120" w:line="259" w:lineRule="auto"/>
        <w:ind w:left="130" w:firstLine="720"/>
        <w:jc w:val="both"/>
        <w:outlineLvl w:val="2"/>
        <w:rPr>
          <w:rFonts w:eastAsiaTheme="minorEastAsia" w:cs="Times New Roman"/>
          <w:noProof/>
        </w:rPr>
      </w:pPr>
      <w:r>
        <w:rPr>
          <w:noProof/>
        </w:rPr>
        <w:t>F.3. Aizdevumam pieteikto reformu un investīciju apraksts</w:t>
      </w:r>
    </w:p>
    <w:p w14:paraId="4E706AE3" w14:textId="4F5820BE" w:rsidR="00776A1F" w:rsidRDefault="00D8574B">
      <w:pPr>
        <w:pStyle w:val="P68B1DB1-Heading214"/>
        <w:rPr>
          <w:noProof/>
        </w:rPr>
      </w:pPr>
      <w:bookmarkStart w:id="21" w:name="_Toc137472455"/>
      <w:r>
        <w:rPr>
          <w:noProof/>
        </w:rPr>
        <w:t>Ieguldījums RE-C06-i09: Jaunas vai atjaunotas skolas</w:t>
      </w:r>
      <w:bookmarkEnd w:id="21"/>
    </w:p>
    <w:p w14:paraId="49C17223" w14:textId="77777777" w:rsidR="00776A1F" w:rsidRDefault="00D8574B">
      <w:pPr>
        <w:pStyle w:val="P68B1DB1-Normal4"/>
        <w:spacing w:after="0" w:line="259" w:lineRule="auto"/>
        <w:jc w:val="both"/>
        <w:rPr>
          <w:rFonts w:cs="Times New Roman"/>
          <w:noProof/>
        </w:rPr>
      </w:pPr>
      <w:r>
        <w:rPr>
          <w:noProof/>
        </w:rPr>
        <w:t>Pasākuma mērķis ir nodrošināt vienlīdzīgu piekļuvi kvalitatīvām valsts skolām, tādējādi palielinot to pievilcību un iekļautību un samazinot teritoriālās atšķirības.</w:t>
      </w:r>
    </w:p>
    <w:p w14:paraId="1D44833B" w14:textId="597CE0EA" w:rsidR="00776A1F" w:rsidRDefault="00D8574B">
      <w:pPr>
        <w:pStyle w:val="P68B1DB1-Normal4"/>
        <w:spacing w:after="0" w:line="259" w:lineRule="auto"/>
        <w:jc w:val="both"/>
        <w:rPr>
          <w:rFonts w:cs="Times New Roman"/>
          <w:noProof/>
        </w:rPr>
      </w:pPr>
      <w:r>
        <w:rPr>
          <w:noProof/>
        </w:rPr>
        <w:t xml:space="preserve">Ieguldījums ietver jaunu skolu celtniecību vai esošo skolu atjaunošanu. Investīcijas ir vērstas uz 75 pamatskolām un vidusskolām, kas ir atzītas par prioritārām. </w:t>
      </w:r>
    </w:p>
    <w:p w14:paraId="4983461D" w14:textId="77777777" w:rsidR="00776A1F" w:rsidRDefault="00D8574B">
      <w:pPr>
        <w:pStyle w:val="P68B1DB1-Normal4"/>
        <w:spacing w:after="0" w:line="259" w:lineRule="auto"/>
        <w:jc w:val="both"/>
        <w:rPr>
          <w:rFonts w:cs="Times New Roman"/>
          <w:noProof/>
        </w:rPr>
        <w:sectPr w:rsidR="00776A1F" w:rsidSect="00E00EDD">
          <w:headerReference w:type="even" r:id="rId132"/>
          <w:headerReference w:type="default" r:id="rId133"/>
          <w:footerReference w:type="even" r:id="rId134"/>
          <w:footerReference w:type="default" r:id="rId135"/>
          <w:headerReference w:type="first" r:id="rId136"/>
          <w:footerReference w:type="first" r:id="rId137"/>
          <w:pgSz w:w="11907" w:h="16839"/>
          <w:pgMar w:top="1134" w:right="1134" w:bottom="1134" w:left="1134" w:header="567" w:footer="567" w:gutter="0"/>
          <w:cols w:space="720"/>
          <w:docGrid w:linePitch="360"/>
        </w:sectPr>
      </w:pPr>
      <w:r>
        <w:rPr>
          <w:noProof/>
        </w:rPr>
        <w:t>Ieguldījumu īstenošanu pabeidz līdz 2026. gada 30. jūnijam.</w:t>
      </w:r>
    </w:p>
    <w:p w14:paraId="7558F518" w14:textId="06FC37A9" w:rsidR="00776A1F" w:rsidRDefault="00D8574B">
      <w:pPr>
        <w:pStyle w:val="P68B1DB1-Normal3"/>
        <w:spacing w:before="40" w:after="120" w:line="259" w:lineRule="auto"/>
        <w:ind w:left="130" w:firstLine="720"/>
        <w:jc w:val="both"/>
        <w:outlineLvl w:val="2"/>
        <w:rPr>
          <w:rFonts w:eastAsiaTheme="minorEastAsia" w:cs="Times New Roman"/>
          <w:noProof/>
        </w:rPr>
      </w:pPr>
      <w:r>
        <w:rPr>
          <w:noProof/>
        </w:rPr>
        <w:t>F.4. Atskaites punkti, mērķrādītāji, citi rādītāji un aizdevuma uzraudzības un īstenošanas grafiks</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776A1F" w14:paraId="35CBC765" w14:textId="77777777">
        <w:trPr>
          <w:trHeight w:val="910"/>
        </w:trPr>
        <w:tc>
          <w:tcPr>
            <w:tcW w:w="1135" w:type="dxa"/>
            <w:vMerge w:val="restart"/>
            <w:shd w:val="clear" w:color="auto" w:fill="BDD6EE"/>
            <w:vAlign w:val="center"/>
            <w:hideMark/>
          </w:tcPr>
          <w:p w14:paraId="1828903B"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6731E7DF"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009937F2"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vAlign w:val="center"/>
            <w:hideMark/>
          </w:tcPr>
          <w:p w14:paraId="110401E7"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61C9BD3B"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835" w:type="dxa"/>
            <w:gridSpan w:val="3"/>
            <w:shd w:val="clear" w:color="auto" w:fill="BDD6EE"/>
            <w:vAlign w:val="center"/>
            <w:hideMark/>
          </w:tcPr>
          <w:p w14:paraId="136D5C43"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65792DA3"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395" w:type="dxa"/>
            <w:vMerge w:val="restart"/>
            <w:shd w:val="clear" w:color="auto" w:fill="BDD6EE"/>
            <w:noWrap/>
            <w:vAlign w:val="center"/>
            <w:hideMark/>
          </w:tcPr>
          <w:p w14:paraId="74D8A200"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0BB373E4" w14:textId="77777777">
        <w:trPr>
          <w:trHeight w:val="470"/>
        </w:trPr>
        <w:tc>
          <w:tcPr>
            <w:tcW w:w="1135" w:type="dxa"/>
            <w:vMerge/>
            <w:vAlign w:val="center"/>
            <w:hideMark/>
          </w:tcPr>
          <w:p w14:paraId="65AD4F05"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44BD7125"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32AA7BB9" w14:textId="77777777" w:rsidR="00776A1F" w:rsidRDefault="00776A1F">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1593588"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66678DA0"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2DB1308E"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01A093FA"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850" w:type="dxa"/>
            <w:shd w:val="clear" w:color="auto" w:fill="BDD6EE"/>
            <w:vAlign w:val="center"/>
            <w:hideMark/>
          </w:tcPr>
          <w:p w14:paraId="08598FE0"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6EF144BD"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38E6ED20"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395" w:type="dxa"/>
            <w:vMerge/>
            <w:vAlign w:val="center"/>
            <w:hideMark/>
          </w:tcPr>
          <w:p w14:paraId="0E23BA6C" w14:textId="77777777" w:rsidR="00776A1F" w:rsidRDefault="00776A1F">
            <w:pPr>
              <w:spacing w:after="0" w:line="240" w:lineRule="auto"/>
              <w:rPr>
                <w:rFonts w:ascii="Times New Roman" w:eastAsia="Times New Roman" w:hAnsi="Times New Roman" w:cs="Times New Roman"/>
                <w:b/>
                <w:noProof/>
                <w:sz w:val="18"/>
              </w:rPr>
            </w:pPr>
          </w:p>
        </w:tc>
      </w:tr>
      <w:tr w:rsidR="00776A1F" w14:paraId="3D20A5EA" w14:textId="77777777">
        <w:trPr>
          <w:trHeight w:val="640"/>
        </w:trPr>
        <w:tc>
          <w:tcPr>
            <w:tcW w:w="1135" w:type="dxa"/>
            <w:shd w:val="clear" w:color="auto" w:fill="C5EFCE"/>
            <w:vAlign w:val="center"/>
          </w:tcPr>
          <w:p w14:paraId="6A531982" w14:textId="77777777" w:rsidR="00776A1F" w:rsidRDefault="00D8574B">
            <w:pPr>
              <w:pStyle w:val="P68B1DB1-Normal11"/>
              <w:spacing w:after="0" w:line="240" w:lineRule="auto"/>
              <w:jc w:val="center"/>
              <w:rPr>
                <w:noProof/>
              </w:rPr>
            </w:pPr>
            <w:r>
              <w:rPr>
                <w:noProof/>
              </w:rPr>
              <w:t>6.28</w:t>
            </w:r>
          </w:p>
        </w:tc>
        <w:tc>
          <w:tcPr>
            <w:tcW w:w="1276" w:type="dxa"/>
            <w:shd w:val="clear" w:color="auto" w:fill="C4EFCE"/>
            <w:noWrap/>
            <w:vAlign w:val="center"/>
          </w:tcPr>
          <w:p w14:paraId="110672C3" w14:textId="77777777" w:rsidR="00776A1F" w:rsidRDefault="00D8574B">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3F6D50D9" w14:textId="77777777" w:rsidR="00776A1F" w:rsidRDefault="00D8574B">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5FC35C89" w14:textId="77777777" w:rsidR="00776A1F" w:rsidRDefault="00D8574B">
            <w:pPr>
              <w:pStyle w:val="P68B1DB1-Normal12"/>
              <w:spacing w:after="0" w:line="240" w:lineRule="auto"/>
              <w:jc w:val="center"/>
              <w:rPr>
                <w:noProof/>
              </w:rPr>
            </w:pPr>
            <w:r>
              <w:rPr>
                <w:noProof/>
              </w:rPr>
              <w:t>Līgumu parakstīšana par valsts skolu celtniecību un renovāciju</w:t>
            </w:r>
          </w:p>
        </w:tc>
        <w:tc>
          <w:tcPr>
            <w:tcW w:w="1275" w:type="dxa"/>
            <w:shd w:val="clear" w:color="auto" w:fill="C4EFCE"/>
            <w:noWrap/>
            <w:vAlign w:val="center"/>
          </w:tcPr>
          <w:p w14:paraId="64C1ED73" w14:textId="77777777" w:rsidR="00776A1F" w:rsidRDefault="00D8574B">
            <w:pPr>
              <w:pStyle w:val="P68B1DB1-Normal12"/>
              <w:spacing w:after="0" w:line="240" w:lineRule="auto"/>
              <w:jc w:val="center"/>
              <w:rPr>
                <w:noProof/>
              </w:rPr>
            </w:pPr>
            <w:r>
              <w:rPr>
                <w:noProof/>
              </w:rPr>
              <w:t xml:space="preserve"> Parakstītie līgumi </w:t>
            </w:r>
          </w:p>
        </w:tc>
        <w:tc>
          <w:tcPr>
            <w:tcW w:w="993" w:type="dxa"/>
            <w:shd w:val="clear" w:color="auto" w:fill="C4EFCE"/>
            <w:noWrap/>
            <w:vAlign w:val="center"/>
          </w:tcPr>
          <w:p w14:paraId="7EBF5460" w14:textId="77777777" w:rsidR="00776A1F" w:rsidRDefault="00D8574B">
            <w:pPr>
              <w:pStyle w:val="P68B1DB1-Normal12"/>
              <w:spacing w:after="0" w:line="240" w:lineRule="auto"/>
              <w:jc w:val="center"/>
              <w:rPr>
                <w:noProof/>
              </w:rPr>
            </w:pPr>
            <w:r>
              <w:rPr>
                <w:noProof/>
              </w:rPr>
              <w:t>Skaits</w:t>
            </w:r>
          </w:p>
        </w:tc>
        <w:tc>
          <w:tcPr>
            <w:tcW w:w="992" w:type="dxa"/>
            <w:shd w:val="clear" w:color="auto" w:fill="C4EFCE"/>
            <w:noWrap/>
            <w:vAlign w:val="center"/>
          </w:tcPr>
          <w:p w14:paraId="0D14F3E5" w14:textId="77777777" w:rsidR="00776A1F" w:rsidRDefault="00D8574B">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77DD45F8" w14:textId="77777777" w:rsidR="00776A1F" w:rsidRDefault="00D8574B">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ED23A9E" w14:textId="77777777" w:rsidR="00776A1F" w:rsidRDefault="00D8574B">
            <w:pPr>
              <w:pStyle w:val="P68B1DB1-Normal12"/>
              <w:spacing w:after="0" w:line="240" w:lineRule="auto"/>
              <w:jc w:val="center"/>
              <w:rPr>
                <w:rFonts w:cstheme="minorHAnsi"/>
                <w:noProof/>
              </w:rPr>
            </w:pPr>
            <w:r>
              <w:rPr>
                <w:noProof/>
              </w:rPr>
              <w:t>4. CET.</w:t>
            </w:r>
          </w:p>
        </w:tc>
        <w:tc>
          <w:tcPr>
            <w:tcW w:w="708" w:type="dxa"/>
            <w:shd w:val="clear" w:color="auto" w:fill="C4EFCE"/>
            <w:noWrap/>
            <w:vAlign w:val="center"/>
          </w:tcPr>
          <w:p w14:paraId="621FC598" w14:textId="77777777" w:rsidR="00776A1F" w:rsidRDefault="00D8574B">
            <w:pPr>
              <w:pStyle w:val="P68B1DB1-Normal12"/>
              <w:spacing w:after="0" w:line="240" w:lineRule="auto"/>
              <w:jc w:val="center"/>
              <w:rPr>
                <w:rFonts w:cstheme="minorHAnsi"/>
                <w:noProof/>
              </w:rPr>
            </w:pPr>
            <w:r>
              <w:rPr>
                <w:noProof/>
              </w:rPr>
              <w:t>2024</w:t>
            </w:r>
          </w:p>
        </w:tc>
        <w:tc>
          <w:tcPr>
            <w:tcW w:w="4395" w:type="dxa"/>
            <w:shd w:val="clear" w:color="auto" w:fill="C4EFCE"/>
          </w:tcPr>
          <w:p w14:paraId="77EC3E58" w14:textId="26CD502B" w:rsidR="00776A1F" w:rsidRDefault="00D8574B">
            <w:pPr>
              <w:pStyle w:val="P68B1DB1-Bodytext1013"/>
              <w:spacing w:after="0" w:line="240" w:lineRule="auto"/>
              <w:jc w:val="both"/>
              <w:rPr>
                <w:rFonts w:cstheme="minorBidi"/>
                <w:noProof/>
              </w:rPr>
            </w:pPr>
            <w:r>
              <w:rPr>
                <w:noProof/>
              </w:rPr>
              <w:t xml:space="preserve">Līgumus paraksta par pamatskolu un vidusskolu celtniecību vai renovāciju. Izvēle par to, kuras skolas renovēt un kur ir vajadzīgas jaunas skolas, pamatojas uz vajadzību novērtējumu.  </w:t>
            </w:r>
          </w:p>
        </w:tc>
      </w:tr>
      <w:tr w:rsidR="00776A1F" w14:paraId="37FA4D82" w14:textId="77777777">
        <w:trPr>
          <w:trHeight w:val="640"/>
        </w:trPr>
        <w:tc>
          <w:tcPr>
            <w:tcW w:w="1135" w:type="dxa"/>
            <w:shd w:val="clear" w:color="auto" w:fill="C5EFCE"/>
            <w:vAlign w:val="center"/>
          </w:tcPr>
          <w:p w14:paraId="2889C3DF" w14:textId="77777777" w:rsidR="00776A1F" w:rsidRDefault="00D8574B">
            <w:pPr>
              <w:pStyle w:val="P68B1DB1-Normal11"/>
              <w:spacing w:after="0" w:line="240" w:lineRule="auto"/>
              <w:jc w:val="center"/>
              <w:rPr>
                <w:noProof/>
              </w:rPr>
            </w:pPr>
            <w:r>
              <w:rPr>
                <w:noProof/>
              </w:rPr>
              <w:t>6.29</w:t>
            </w:r>
          </w:p>
        </w:tc>
        <w:tc>
          <w:tcPr>
            <w:tcW w:w="1276" w:type="dxa"/>
            <w:shd w:val="clear" w:color="auto" w:fill="C4EFCE"/>
            <w:noWrap/>
            <w:vAlign w:val="center"/>
          </w:tcPr>
          <w:p w14:paraId="482C0EE3" w14:textId="77777777" w:rsidR="00776A1F" w:rsidRDefault="00D8574B">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5D44023D" w14:textId="77777777" w:rsidR="00776A1F" w:rsidRDefault="00D8574B">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1516CDF5" w14:textId="77777777" w:rsidR="00776A1F" w:rsidRDefault="00D8574B">
            <w:pPr>
              <w:pStyle w:val="P68B1DB1-Normal12"/>
              <w:spacing w:after="0" w:line="240" w:lineRule="auto"/>
              <w:jc w:val="center"/>
              <w:rPr>
                <w:rFonts w:cstheme="minorHAnsi"/>
                <w:noProof/>
              </w:rPr>
            </w:pPr>
            <w:r>
              <w:rPr>
                <w:noProof/>
              </w:rPr>
              <w:t>Skolas ir uzbūvētas vai atjaunotas</w:t>
            </w:r>
          </w:p>
        </w:tc>
        <w:tc>
          <w:tcPr>
            <w:tcW w:w="1275" w:type="dxa"/>
            <w:shd w:val="clear" w:color="auto" w:fill="C4EFCE"/>
            <w:noWrap/>
            <w:vAlign w:val="center"/>
          </w:tcPr>
          <w:p w14:paraId="26E7E3C8" w14:textId="77777777" w:rsidR="00776A1F" w:rsidRDefault="00776A1F">
            <w:pPr>
              <w:spacing w:after="0" w:line="240" w:lineRule="auto"/>
              <w:jc w:val="center"/>
              <w:rPr>
                <w:rFonts w:cstheme="minorHAnsi"/>
                <w:noProof/>
                <w:sz w:val="16"/>
              </w:rPr>
            </w:pPr>
          </w:p>
        </w:tc>
        <w:tc>
          <w:tcPr>
            <w:tcW w:w="993" w:type="dxa"/>
            <w:shd w:val="clear" w:color="auto" w:fill="C4EFCE"/>
            <w:noWrap/>
            <w:vAlign w:val="center"/>
          </w:tcPr>
          <w:p w14:paraId="291A36D7" w14:textId="0D94A62A" w:rsidR="00776A1F" w:rsidRDefault="00D8574B">
            <w:pPr>
              <w:pStyle w:val="P68B1DB1-Normal12"/>
              <w:spacing w:after="0" w:line="240" w:lineRule="auto"/>
              <w:jc w:val="center"/>
              <w:rPr>
                <w:rFonts w:cstheme="minorHAnsi"/>
                <w:noProof/>
              </w:rPr>
            </w:pPr>
            <w:r>
              <w:rPr>
                <w:noProof/>
              </w:rPr>
              <w:t>Uzbūvēto vai renovēto skolu skaits</w:t>
            </w:r>
          </w:p>
        </w:tc>
        <w:tc>
          <w:tcPr>
            <w:tcW w:w="992" w:type="dxa"/>
            <w:shd w:val="clear" w:color="auto" w:fill="C4EFCE"/>
            <w:noWrap/>
            <w:vAlign w:val="center"/>
          </w:tcPr>
          <w:p w14:paraId="6DB69F02" w14:textId="77777777" w:rsidR="00776A1F" w:rsidRDefault="00D8574B">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11FF05D1" w14:textId="77777777" w:rsidR="00776A1F" w:rsidRDefault="00D8574B">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F8EE097" w14:textId="77777777" w:rsidR="00776A1F" w:rsidRDefault="00D8574B">
            <w:pPr>
              <w:pStyle w:val="P68B1DB1-Normal12"/>
              <w:spacing w:after="0" w:line="240" w:lineRule="auto"/>
              <w:jc w:val="center"/>
              <w:rPr>
                <w:rFonts w:cstheme="minorHAnsi"/>
                <w:noProof/>
              </w:rPr>
            </w:pPr>
            <w:r>
              <w:rPr>
                <w:noProof/>
              </w:rPr>
              <w:t>2. CET.</w:t>
            </w:r>
          </w:p>
        </w:tc>
        <w:tc>
          <w:tcPr>
            <w:tcW w:w="708" w:type="dxa"/>
            <w:shd w:val="clear" w:color="auto" w:fill="C4EFCE"/>
            <w:noWrap/>
            <w:vAlign w:val="center"/>
          </w:tcPr>
          <w:p w14:paraId="274AED81" w14:textId="77777777" w:rsidR="00776A1F" w:rsidRDefault="00D8574B">
            <w:pPr>
              <w:pStyle w:val="P68B1DB1-Normal12"/>
              <w:spacing w:after="0" w:line="240" w:lineRule="auto"/>
              <w:jc w:val="center"/>
              <w:rPr>
                <w:rFonts w:cstheme="minorHAnsi"/>
                <w:noProof/>
              </w:rPr>
            </w:pPr>
            <w:r>
              <w:rPr>
                <w:noProof/>
              </w:rPr>
              <w:t>2026</w:t>
            </w:r>
          </w:p>
        </w:tc>
        <w:tc>
          <w:tcPr>
            <w:tcW w:w="4395" w:type="dxa"/>
            <w:shd w:val="clear" w:color="auto" w:fill="C4EFCE"/>
          </w:tcPr>
          <w:p w14:paraId="00863007" w14:textId="60A9DB36" w:rsidR="00776A1F" w:rsidRDefault="00D8574B">
            <w:pPr>
              <w:pStyle w:val="P68B1DB1-Bodytext1013"/>
              <w:spacing w:after="0" w:line="240" w:lineRule="auto"/>
              <w:jc w:val="both"/>
              <w:rPr>
                <w:rFonts w:cstheme="minorBidi"/>
                <w:noProof/>
              </w:rPr>
            </w:pPr>
            <w:r>
              <w:rPr>
                <w:noProof/>
              </w:rPr>
              <w:t xml:space="preserve">Tiek būvētas vai atjaunotas 75 valsts skolas, un tās ir gatavas lietošanai. Tas ietver tāda aprīkojuma iegādi kā digitālie plašsaziņas līdzekļi, kas ir nepieciešams jauno/renovēto skolu darbībai. </w:t>
            </w:r>
          </w:p>
          <w:p w14:paraId="36ED3EEE" w14:textId="41AE783C" w:rsidR="00776A1F" w:rsidRDefault="00D8574B">
            <w:pPr>
              <w:pStyle w:val="P68B1DB1-Bodytext1013"/>
              <w:spacing w:after="0" w:line="240" w:lineRule="auto"/>
              <w:jc w:val="both"/>
              <w:rPr>
                <w:rFonts w:cstheme="minorHAnsi"/>
                <w:noProof/>
              </w:rPr>
            </w:pPr>
            <w:r>
              <w:rPr>
                <w:noProof/>
              </w:rPr>
              <w:t xml:space="preserve">Jaunu ēku primārās enerģijas pieprasījums ir vismaz par 20 % zemāks nekā prasības, kas noteiktas gandrīz nulles enerģijas ēkām. </w:t>
            </w:r>
          </w:p>
          <w:p w14:paraId="469407C1" w14:textId="77777777" w:rsidR="00776A1F" w:rsidRDefault="00D8574B">
            <w:pPr>
              <w:pStyle w:val="P68B1DB1-Bodytext1013"/>
              <w:spacing w:after="0" w:line="240" w:lineRule="auto"/>
              <w:jc w:val="both"/>
              <w:rPr>
                <w:rFonts w:cstheme="minorHAnsi"/>
                <w:noProof/>
              </w:rPr>
            </w:pPr>
            <w:r>
              <w:rPr>
                <w:noProof/>
              </w:rPr>
              <w:t>Ar renovāciju vidēji panāk vismaz vidēja līmeņa renovāciju, kas definēta Komisijas Ieteikumā (ES) 2019/786 par ēku renovāciju.</w:t>
            </w:r>
          </w:p>
        </w:tc>
      </w:tr>
    </w:tbl>
    <w:p w14:paraId="710B72CF" w14:textId="77777777" w:rsidR="00776A1F" w:rsidRDefault="00776A1F">
      <w:pPr>
        <w:spacing w:before="40" w:after="0" w:line="259" w:lineRule="auto"/>
        <w:jc w:val="both"/>
        <w:outlineLvl w:val="2"/>
        <w:rPr>
          <w:rFonts w:ascii="Times New Roman" w:eastAsiaTheme="minorEastAsia" w:hAnsi="Times New Roman" w:cs="Times New Roman"/>
          <w:b/>
          <w:noProof/>
          <w:sz w:val="24"/>
          <w:u w:val="single"/>
        </w:rPr>
      </w:pPr>
    </w:p>
    <w:p w14:paraId="4D8543A1" w14:textId="77777777" w:rsidR="00776A1F" w:rsidRDefault="00776A1F">
      <w:pPr>
        <w:keepNext/>
        <w:spacing w:before="40" w:after="0" w:line="259" w:lineRule="auto"/>
        <w:jc w:val="both"/>
        <w:outlineLvl w:val="1"/>
        <w:rPr>
          <w:rFonts w:ascii="Times New Roman" w:eastAsiaTheme="minorEastAsia" w:hAnsi="Times New Roman" w:cs="Times New Roman"/>
          <w:b/>
          <w:noProof/>
          <w:sz w:val="24"/>
          <w:u w:val="single"/>
        </w:rPr>
        <w:sectPr w:rsidR="00776A1F" w:rsidSect="00EE3DC7">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1134" w:right="1134" w:bottom="1134" w:left="1134" w:header="567" w:footer="567" w:gutter="0"/>
          <w:cols w:space="720"/>
          <w:docGrid w:linePitch="360"/>
        </w:sectPr>
      </w:pPr>
    </w:p>
    <w:p w14:paraId="20600E2D" w14:textId="15EE7507" w:rsidR="00776A1F" w:rsidRDefault="00D8574B">
      <w:pPr>
        <w:pStyle w:val="P68B1DB1-Normal3"/>
        <w:keepNext/>
        <w:spacing w:before="40" w:after="0" w:line="259" w:lineRule="auto"/>
        <w:ind w:left="130" w:firstLine="720"/>
        <w:jc w:val="both"/>
        <w:outlineLvl w:val="1"/>
        <w:rPr>
          <w:rFonts w:eastAsiaTheme="minorEastAsia" w:cs="Times New Roman"/>
          <w:smallCaps/>
          <w:noProof/>
        </w:rPr>
      </w:pPr>
      <w:r>
        <w:rPr>
          <w:noProof/>
        </w:rPr>
        <w:t xml:space="preserve">G. 7. KOMPONENTS: Infrastruktūras </w:t>
      </w:r>
    </w:p>
    <w:p w14:paraId="200CA25A" w14:textId="77777777" w:rsidR="00776A1F" w:rsidRDefault="00D8574B">
      <w:pPr>
        <w:pStyle w:val="P68B1DB1-Normal4"/>
        <w:keepNext/>
        <w:spacing w:before="40" w:after="0" w:line="259" w:lineRule="auto"/>
        <w:jc w:val="both"/>
        <w:rPr>
          <w:rFonts w:eastAsiaTheme="minorEastAsia" w:cs="Times New Roman"/>
          <w:noProof/>
        </w:rPr>
      </w:pPr>
      <w:r>
        <w:rPr>
          <w:noProof/>
        </w:rPr>
        <w:t>Šis Portugāles atveseļošanas un noturības plāna</w:t>
      </w:r>
      <w:r>
        <w:rPr>
          <w:i/>
          <w:noProof/>
        </w:rPr>
        <w:t xml:space="preserve"> </w:t>
      </w:r>
      <w:r>
        <w:rPr>
          <w:noProof/>
        </w:rPr>
        <w:t>komponents</w:t>
      </w:r>
      <w:r>
        <w:rPr>
          <w:i/>
          <w:noProof/>
        </w:rPr>
        <w:t xml:space="preserve"> </w:t>
      </w:r>
      <w:r>
        <w:rPr>
          <w:noProof/>
        </w:rPr>
        <w:t xml:space="preserve">risina problēmu saistībā ar zemu teritoriālo kohēziju un uzņēmumu zemo konkurētspēju iekšzemes reģionos, ko rada nepietiekami savienojumi ar autoceļu tīklu. Tas uzņēmumiem rada konteksta izmaksas, piemēram, transporta izmaksas, ko rada zema autoceļu savienojamība, vai grūtības piesaistīt kvalificētus darbiniekus. Vēl viens uzdevums ir samazināt emisijas transporta nozarē un uzņēmējdarbības parkos. </w:t>
      </w:r>
    </w:p>
    <w:p w14:paraId="1FBD0D8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Komponenta mērķi ir palielināt teritoriālo kohēziju un uzlabot konkurētspēju, lai veicinātu iekšzemes reģionu ekonomisko attīstību. Ieviešot uzlādes stacijas, tās mērķis ir veicināt autotransporta dekarbonizāciju. </w:t>
      </w:r>
    </w:p>
    <w:p w14:paraId="32BD65D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Šajā nolūkā komponenta mērķis ir padarīt uzņēmējdarbības parkus ilgtspējīgākus un digitālākus un nodrošināt tiem labāku piekļuvi ceļu tīklam. Tās mērķis ir arī uzlabot autotransporta savienojamību, paplašinot autoceļu tīklu, piemēram, novēršot trūkstošos savienojumus, tostarp Azoru salās, un nodrošinot četrus pārrobežu savienojumus. Paredzams, ka publiski pieejamu elektrotransportlīdzekļu uzlādes staciju tīkla paplašināšanās paātrināšana palīdzēs samazināt autotransporta nozares oglekļa pēdu Portugālē un padarīs to ilgtspējīgāku. Šis ieguldījums ir papildpasākums ceļu infrastruktūras paplašināšanai saskaņā ar Komisijas NBK tehniskajiem norādījumiem (2021/C58/01). </w:t>
      </w:r>
    </w:p>
    <w:p w14:paraId="26F8A281" w14:textId="77777777" w:rsidR="00776A1F" w:rsidRDefault="00D8574B">
      <w:pPr>
        <w:pStyle w:val="P68B1DB1-Normal4"/>
        <w:keepNext/>
        <w:spacing w:before="40" w:after="0" w:line="259" w:lineRule="auto"/>
        <w:jc w:val="both"/>
        <w:rPr>
          <w:rFonts w:eastAsiaTheme="minorEastAsia" w:cs="Times New Roman"/>
          <w:noProof/>
        </w:rPr>
      </w:pPr>
      <w:r>
        <w:rPr>
          <w:noProof/>
        </w:rPr>
        <w:t>Komponents atbalsta konkrētai valstij adresētā ieteikuma īstenošanu par investīciju koncentrēšanu uz zaļo pārkārtošanos, ņemot vērā reģionālās atšķirības (konkrētais ieteikums Nr. 3 2019 un konkrētai valstij adresētais ieteikums Nr. 3 2020) un atbalstīt digitālo tehnoloģiju izmantošanu uzņēmumu konkurētspējas veicināšanai (valsts īpašais ieteikums Nr. 2 2020).</w:t>
      </w:r>
    </w:p>
    <w:p w14:paraId="2B7EE79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3E872C3A"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62B87287" w14:textId="77777777" w:rsidR="00776A1F" w:rsidRDefault="00D8574B">
      <w:pPr>
        <w:keepNext/>
        <w:spacing w:before="40" w:after="0" w:line="259" w:lineRule="auto"/>
        <w:ind w:left="130" w:firstLine="720"/>
        <w:jc w:val="both"/>
        <w:outlineLvl w:val="2"/>
        <w:rPr>
          <w:rFonts w:ascii="Times New Roman" w:eastAsiaTheme="minorEastAsia" w:hAnsi="Times New Roman" w:cs="Times New Roman"/>
          <w:b/>
          <w:i/>
          <w:noProof/>
          <w:sz w:val="24"/>
          <w:u w:val="single"/>
        </w:rPr>
      </w:pPr>
      <w:r>
        <w:rPr>
          <w:rFonts w:ascii="Times New Roman" w:hAnsi="Times New Roman"/>
          <w:b/>
          <w:noProof/>
          <w:sz w:val="24"/>
          <w:u w:val="single"/>
        </w:rPr>
        <w:t xml:space="preserve">G.1. </w:t>
      </w:r>
      <w:r>
        <w:rPr>
          <w:noProof/>
        </w:rPr>
        <w:tab/>
      </w:r>
      <w:r>
        <w:rPr>
          <w:rFonts w:ascii="Times New Roman" w:hAnsi="Times New Roman"/>
          <w:b/>
          <w:noProof/>
          <w:sz w:val="24"/>
          <w:u w:val="single"/>
        </w:rPr>
        <w:t>Neatmaksājamam finansiālajam atbalstam pieteikto reformu un investīciju apraksts</w:t>
      </w:r>
    </w:p>
    <w:p w14:paraId="590E8D7E"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RE-C07-i00: Elektrotransportlīdzekļu uzlādes tīkla paplašināšana</w:t>
      </w:r>
    </w:p>
    <w:p w14:paraId="1E56FC8F"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Pasākuma mērķis ir veicināt autotransporta dekarbonizāciju, veicinot elektromobilitāti. </w:t>
      </w:r>
    </w:p>
    <w:p w14:paraId="0A23AF01" w14:textId="62EBFE78" w:rsidR="00776A1F" w:rsidRDefault="00D8574B">
      <w:pPr>
        <w:pStyle w:val="P68B1DB1-Normal4"/>
        <w:keepNext/>
        <w:spacing w:before="40" w:after="0" w:line="259" w:lineRule="auto"/>
        <w:jc w:val="both"/>
        <w:rPr>
          <w:rFonts w:eastAsiaTheme="minorEastAsia" w:cs="Times New Roman"/>
          <w:noProof/>
        </w:rPr>
      </w:pPr>
      <w:r>
        <w:rPr>
          <w:noProof/>
        </w:rPr>
        <w:t>Investīcijas ietver to, ka Portugālē darbojas 15000 publiski pieejami uzlādes punkti. Tas ir papildu pasākums ieguldījumiem ceļu infrastruktūrā C07-I02, I03, I04 un I05, lai nodrošinātu atbilstību NBK principam attiecībā uz klimata pārmaiņu mazināšanas un piesārņojuma novēršanas un kontroles mērķiem. Privātas struktūras ir kļuvušas par galvenajiem tīkla paplašināšanas dalībniekiem. Portugāles valsts koncentrē savus ieguldījumus Mobi.E tīkla pārvaldības platformā un tirgus nepilnību novēršanā, atbalstot ieguldījumus reģionos, kuros privātais sektors nenodrošina vajadzīgo pārklājumu.</w:t>
      </w:r>
    </w:p>
    <w:p w14:paraId="15FD5D8E"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Investīciju īstenošanu pabeidz 2025. gada 31. decembrī. </w:t>
      </w:r>
    </w:p>
    <w:p w14:paraId="33FAE029"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RE-C07-i01: Uzņēmējdarbības uzņemšanas zonas</w:t>
      </w:r>
    </w:p>
    <w:p w14:paraId="3A765AFD" w14:textId="77777777" w:rsidR="00776A1F" w:rsidRDefault="00D8574B">
      <w:pPr>
        <w:pStyle w:val="P68B1DB1-Normal4"/>
        <w:keepNext/>
        <w:spacing w:before="40" w:after="0" w:line="259" w:lineRule="auto"/>
        <w:jc w:val="both"/>
        <w:rPr>
          <w:rFonts w:eastAsiaTheme="minorEastAsia" w:cs="Times New Roman"/>
          <w:noProof/>
        </w:rPr>
      </w:pPr>
      <w:r>
        <w:rPr>
          <w:noProof/>
        </w:rPr>
        <w:t>Pasākuma mērķis ir modernizēt uzņēmējdarbības uzņemšanas zonas, kas ir teritorija, kura ir attīstīta kā biroju, rūpnīcu un citu uzņēmumu vieta. Portugāles valsts infrastruktūras plānā 2030. gadam (PNI 2030) ir norādīts, ka uzņēmējdarbības parku modernizācija ir vajadzīga arī kā investīciju nepieciešamība.</w:t>
      </w:r>
    </w:p>
    <w:p w14:paraId="698D6A6F"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Investīcijas ietver intervences atsevišķos uzņēmējdarbības parkos, kas ietver atjaunīgās enerģijas ražošanas un uzkrāšanas sistēmu veicināšanu, izmēģinājuma intervences enerģijas stabilitātes uzlabošanai, elektrisko un ūdeņraža uzlādes staciju uzstādīšanu, uzlabotu 5G pārklājumu un aktīvus ugunsgrēku novēršanas pasākumus. Šos pasākumus, kas vērsti uz vidisko ilgtspēju un digitalizāciju, veic 10 uzņēmējdarbības uzņemšanas jomās, kas izvēlētas atklātā konkursā. </w:t>
      </w:r>
    </w:p>
    <w:p w14:paraId="71390BF3" w14:textId="77777777" w:rsidR="00776A1F" w:rsidRDefault="00D8574B">
      <w:pPr>
        <w:pStyle w:val="P68B1DB1-Normal4"/>
        <w:keepNext/>
        <w:spacing w:before="40" w:after="0" w:line="259" w:lineRule="auto"/>
        <w:jc w:val="both"/>
        <w:rPr>
          <w:rFonts w:eastAsiaTheme="minorEastAsia" w:cs="Times New Roman"/>
          <w:noProof/>
        </w:rPr>
      </w:pPr>
      <w:r>
        <w:rPr>
          <w:noProof/>
        </w:rPr>
        <w:t>Paredzams, ka investīciju īstenošana tiks pabeigta līdz 2025. gada 31. decembrim.</w:t>
      </w:r>
    </w:p>
    <w:p w14:paraId="348C4B22"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RE-C07-i02: Trūkstošie savienojumi un tīkla jaudas palielināšana</w:t>
      </w:r>
    </w:p>
    <w:p w14:paraId="052B39E3" w14:textId="77777777" w:rsidR="00776A1F" w:rsidRDefault="00D8574B">
      <w:pPr>
        <w:pStyle w:val="P68B1DB1-Normal4"/>
        <w:keepNext/>
        <w:spacing w:before="40" w:after="0" w:line="259" w:lineRule="auto"/>
        <w:jc w:val="both"/>
        <w:rPr>
          <w:rFonts w:eastAsiaTheme="minorEastAsia" w:cs="Times New Roman"/>
          <w:noProof/>
        </w:rPr>
      </w:pPr>
      <w:r>
        <w:rPr>
          <w:noProof/>
        </w:rPr>
        <w:t>Pasākuma mērķis ir uzlabot teritoriālo kohēziju un konkurētspēju, novēršot “trūkstošos posmus” ceļu tīklā. Šie trūkstošie posmi samazina ceļu tīkla veiktspēju un mazina uzņēmumu konkurētspēju. Ieguldījumu mērķis ir arī novērst sastrēgumus, uzlabot ceļu satiksmes drošību un gaisa kvalitāti un samazināt troksni vietās pie ceļiem.</w:t>
      </w:r>
    </w:p>
    <w:p w14:paraId="66586778"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Ieguldījums sastāv no ceļu būvniecības un modernizācijas. Intervences ietver pilsētu pārbrauktuvju likvidēšanu un sliežu ceļa jaudas adekvātuma nodrošināšanu, piekļuves palielināšanu galvenajiem transporta koridoriem un multimodālām saskarnēm. Intervences ietver TEN-T tīklā ietilpstošo ceļu modernizāciju, piemēram, IP2 Évora austrumu apvedceļu vai ieguldījumus IP8. </w:t>
      </w:r>
    </w:p>
    <w:p w14:paraId="688654A9" w14:textId="77777777" w:rsidR="00776A1F" w:rsidRDefault="00D8574B">
      <w:pPr>
        <w:pStyle w:val="P68B1DB1-Normal4"/>
        <w:keepNext/>
        <w:spacing w:before="40" w:after="0" w:line="259" w:lineRule="auto"/>
        <w:jc w:val="both"/>
        <w:rPr>
          <w:rFonts w:eastAsiaTheme="minorEastAsia" w:cs="Times New Roman"/>
          <w:noProof/>
        </w:rPr>
      </w:pPr>
      <w:r>
        <w:rPr>
          <w:noProof/>
        </w:rPr>
        <w:t>Paredzams, ka šis pasākums neradīs būtisku kaitējumu vides mērķiem Regulas (ES) 2020/852 17. panta nozīmē, ņemot vērā pasākuma aprakstu un atveseļošanas un noturības plānā izklāstītos riska mazināšanas pasākumus saskaņā ar DNSH tehniskajiem norādījumiem (2021/C58/01). Jo īpaši atbilstību NBK nodrošina ar ieguldījumu C07-I0 (elektrisko transportlīdzekļu uzlādes tīkla paplašināšana) kā papildu pasākumu. Visiem ceļu projektiem, kam varētu būt būtiska negatīva ietekme uz vidi, veic ietekmes uz vidi novērtējumu (IVN) saskaņā ar Direktīvu 2011/92/ES, lai nodrošinātu, ka atbilstība NBK principam tiek integrēta projektā un stingri ievērota infrastruktūras būvniecības, ekspluatācijas un ekspluatācijas pārtraukšanas posmos.</w:t>
      </w:r>
    </w:p>
    <w:p w14:paraId="046AD115" w14:textId="79CA9C50" w:rsidR="00776A1F" w:rsidRDefault="00D8574B">
      <w:pPr>
        <w:pStyle w:val="P68B1DB1-Normal4"/>
        <w:keepNext/>
        <w:spacing w:before="40" w:after="0" w:line="259" w:lineRule="auto"/>
        <w:jc w:val="both"/>
        <w:rPr>
          <w:rFonts w:eastAsiaTheme="minorEastAsia" w:cs="Times New Roman"/>
          <w:noProof/>
        </w:rPr>
      </w:pPr>
      <w:r>
        <w:rPr>
          <w:noProof/>
        </w:rPr>
        <w:t xml:space="preserve">No uzskaitītajiem ceļiem 111 kilometrus būvē vai modernizē: </w:t>
      </w:r>
    </w:p>
    <w:p w14:paraId="10E3C582"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ceļa/dzelzceļa saskarne Trofa/Santana, tostarp jauns tilts pār Ave upi; </w:t>
      </w:r>
    </w:p>
    <w:p w14:paraId="0D1CCC85"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Maia (Via Diagonal)/ceļa/dzelzceļa saskarne Trofa; </w:t>
      </w:r>
    </w:p>
    <w:p w14:paraId="24DEB7F3"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EN4: Atalaia apvedceļš; </w:t>
      </w:r>
    </w:p>
    <w:p w14:paraId="0F43B082"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Penafiel (EN15)/Rans; </w:t>
      </w:r>
    </w:p>
    <w:p w14:paraId="32D72CCA"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LR/Entre-os Rios; </w:t>
      </w:r>
    </w:p>
    <w:p w14:paraId="03DE18C1"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IP2: Evoras austrumu apvedceļš; </w:t>
      </w:r>
    </w:p>
    <w:p w14:paraId="7A684FA5"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Savienojums no Baião līdz Ermida tiltam; </w:t>
      </w:r>
    </w:p>
    <w:p w14:paraId="0EC45B3D"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Aveiro-Águeda ceļa ass; </w:t>
      </w:r>
    </w:p>
    <w:p w14:paraId="1DECF506"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EN344: km no 67 līdz 75 km — Pampilhosa da Serra; </w:t>
      </w:r>
    </w:p>
    <w:p w14:paraId="2680B40F"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EN125: Olhão austrumu apvedceļš; </w:t>
      </w:r>
    </w:p>
    <w:p w14:paraId="328864DD"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IC2 (EN1): Meirinhas (136. km)/Pombāla (148. km); </w:t>
      </w:r>
    </w:p>
    <w:p w14:paraId="35923BB7"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(EN121): Ferreira do Alentejo/Beja, tostarp Beringel apvedceļš; </w:t>
      </w:r>
    </w:p>
    <w:p w14:paraId="4609B59F"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(EN259): STA. Margarida do Sado/Ferreira do Alentejo, tostarp Figueira de Cavaleiros apvedceļš; </w:t>
      </w:r>
    </w:p>
    <w:p w14:paraId="7D895BF1"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(A26): Sinešas un A2 savienojuma jaudas palielināšana; </w:t>
      </w:r>
    </w:p>
    <w:p w14:paraId="19991BD2" w14:textId="77777777" w:rsidR="00776A1F" w:rsidRDefault="00D8574B">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EN211 — Quintã/Meshinhata apvedceļš. </w:t>
      </w:r>
    </w:p>
    <w:p w14:paraId="21CD1717"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4CD69178"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RE-C07-i05-RAA: Loģistikas shēmas — Azoru salu reģionālais tīkls</w:t>
      </w:r>
    </w:p>
    <w:p w14:paraId="5E978CC5" w14:textId="77777777" w:rsidR="00776A1F" w:rsidRDefault="00D8574B">
      <w:pPr>
        <w:pStyle w:val="P68B1DB1-Normal4"/>
        <w:keepNext/>
        <w:spacing w:before="40" w:after="0" w:line="259" w:lineRule="auto"/>
        <w:jc w:val="both"/>
        <w:rPr>
          <w:rFonts w:eastAsiaTheme="minorEastAsia" w:cs="Times New Roman"/>
          <w:noProof/>
        </w:rPr>
      </w:pPr>
      <w:r>
        <w:rPr>
          <w:noProof/>
        </w:rPr>
        <w:t>Pasākuma mērķis ir radīt apstākļus līdzsvarotākai ekonomikas attīstībai, atbalstot ekonomikas dalībniekus ārpus lielākajiem pilsētu centriem. Pasākumu mērķis ir arī samazināt ceļa attālumus, ceļā pavadīto laiku un sastrēgumus.</w:t>
      </w:r>
    </w:p>
    <w:p w14:paraId="77005C25"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Ieguldījumi sastāv no Azoru salu autoceļu infrastruktūras paplašināšanas un modernizēšanas. Tās mērķis ir uzlabot piekļuvi iedzīvotāju centriem un saimnieciskās darbības centriem, kā arī galvenajām ieejas infrastruktūrām katrā salā. Tās mērķis ir arī iejaukties apritīgu ceļu būvniecībā uz galvenajiem pilsētu centriem, samazinot pilsētu šķērsošanas vietu skaitu. </w:t>
      </w:r>
    </w:p>
    <w:p w14:paraId="63DBFDF0" w14:textId="77777777" w:rsidR="00776A1F" w:rsidRDefault="00D8574B">
      <w:pPr>
        <w:pStyle w:val="P68B1DB1-Normal4"/>
        <w:keepNext/>
        <w:spacing w:before="40" w:after="0" w:line="259" w:lineRule="auto"/>
        <w:jc w:val="both"/>
        <w:rPr>
          <w:rFonts w:eastAsiaTheme="minorEastAsia" w:cs="Times New Roman"/>
          <w:noProof/>
        </w:rPr>
      </w:pPr>
      <w:r>
        <w:rPr>
          <w:noProof/>
        </w:rPr>
        <w:t>Paredzams, ka šis pasākums neradīs būtisku kaitējumu vides mērķiem Regulas (ES) 2020/852 17. panta nozīmē, ņemot vērā pasākuma aprakstu un atveseļošanas un noturības plānā izklāstītos riska mazināšanas pasākumus saskaņā ar DNSH tehniskajiem norādījumiem (2021/C58/01). Jo īpaši atbilstību NBK nodrošina ar ieguldījumu C07-I0 (elektrisko transportlīdzekļu uzlādes tīkla paplašināšana) kā papildu pasākumu. Visiem ceļu projektiem, kam varētu būt būtiska negatīva ietekme uz vidi, veic ietekmes uz vidi novērtējumu (IVN) saskaņā ar Direktīvu 2011/92/ES, lai nodrošinātu, ka atbilstība NBK principam tiek integrēta projektā un stingri ievērota infrastruktūras būvniecības, ekspluatācijas un ekspluatācijas pārtraukšanas posmos. Kopumā būvē vai modernizē 34 kilometrus ceļu. Ir plānotas šādas darbības uz ceļiem:</w:t>
      </w:r>
    </w:p>
    <w:p w14:paraId="09A9BBD4"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Santa Maria</w:t>
      </w:r>
    </w:p>
    <w:p w14:paraId="4F976D1C"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Vila do Porto apvedceļš</w:t>
      </w:r>
    </w:p>
    <w:p w14:paraId="7F41B4BE"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Miguel</w:t>
      </w:r>
    </w:p>
    <w:p w14:paraId="16BFDA9B"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Pieejamības uzlabošana Furnas/Povoação —</w:t>
      </w:r>
      <w:r>
        <w:rPr>
          <w:noProof/>
          <w:vertAlign w:val="superscript"/>
        </w:rPr>
        <w:t>1.</w:t>
      </w:r>
      <w:r>
        <w:rPr>
          <w:noProof/>
        </w:rPr>
        <w:t xml:space="preserve"> posms: Furnas apvedceļš</w:t>
      </w:r>
    </w:p>
    <w:p w14:paraId="59323044"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Kapasas apvedceļš</w:t>
      </w:r>
    </w:p>
    <w:p w14:paraId="7572973D"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San Rokas apvedceļš</w:t>
      </w:r>
    </w:p>
    <w:p w14:paraId="4820E6A3"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Portāla do Vento apvedceļš</w:t>
      </w:r>
    </w:p>
    <w:p w14:paraId="313CCF36"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Ilha Terceira</w:t>
      </w:r>
    </w:p>
    <w:p w14:paraId="04E615D9"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Pieejamības, mobilitātes un ceļu satiksmes drošības nosacījumu veicināšana — savienojums starp Via Vitorino Nemésio un Angra apkārtrakstu</w:t>
      </w:r>
    </w:p>
    <w:p w14:paraId="09E0E766"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Ilha Graciosa</w:t>
      </w:r>
    </w:p>
    <w:p w14:paraId="1419E510"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Savienojums starp E.R. 3–2-E un E.R. 4–2ύ</w:t>
      </w:r>
    </w:p>
    <w:p w14:paraId="40754259"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Jorge</w:t>
      </w:r>
    </w:p>
    <w:p w14:paraId="6D7F1843"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Pieejamības, mobilitātes un ceļu satiksmes drošības nosacījumu veicināšana — Ziemeļu-dienvidu savienojums</w:t>
      </w:r>
    </w:p>
    <w:p w14:paraId="3FD2AA91"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Ilha do Pico </w:t>
      </w:r>
    </w:p>
    <w:p w14:paraId="0FE649A1"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Apļveida ceļa uz Vila da Madalena būvniecību</w:t>
      </w:r>
    </w:p>
    <w:p w14:paraId="10A36DDF"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Ilha do Faial</w:t>
      </w:r>
    </w:p>
    <w:p w14:paraId="68BAC951" w14:textId="77777777" w:rsidR="00776A1F" w:rsidRDefault="00D8574B">
      <w:pPr>
        <w:pStyle w:val="P68B1DB1-Normal4"/>
        <w:keepNext/>
        <w:numPr>
          <w:ilvl w:val="1"/>
          <w:numId w:val="25"/>
        </w:numPr>
        <w:spacing w:before="40" w:after="160" w:line="259" w:lineRule="auto"/>
        <w:contextualSpacing/>
        <w:jc w:val="both"/>
        <w:rPr>
          <w:rFonts w:eastAsiaTheme="minorEastAsia" w:cs="Times New Roman"/>
          <w:noProof/>
        </w:rPr>
      </w:pPr>
      <w:r>
        <w:rPr>
          <w:noProof/>
        </w:rPr>
        <w:t>Cidade da Horta apvedceļa 2.</w:t>
      </w:r>
      <w:r>
        <w:rPr>
          <w:noProof/>
          <w:vertAlign w:val="superscript"/>
        </w:rPr>
        <w:t>posma</w:t>
      </w:r>
      <w:r>
        <w:rPr>
          <w:noProof/>
        </w:rPr>
        <w:t xml:space="preserve"> būvniecība</w:t>
      </w:r>
    </w:p>
    <w:p w14:paraId="5A803078" w14:textId="21946209" w:rsidR="00776A1F" w:rsidRDefault="00D8574B">
      <w:pPr>
        <w:pStyle w:val="P68B1DB1-Normal4"/>
        <w:keepNext/>
        <w:spacing w:before="40" w:after="0" w:line="259" w:lineRule="auto"/>
        <w:jc w:val="both"/>
        <w:rPr>
          <w:rFonts w:eastAsiaTheme="minorEastAsia" w:cs="Times New Roman"/>
          <w:noProof/>
        </w:rPr>
        <w:sectPr w:rsidR="00776A1F" w:rsidSect="00E00EDD">
          <w:headerReference w:type="even" r:id="rId144"/>
          <w:headerReference w:type="default" r:id="rId145"/>
          <w:footerReference w:type="even" r:id="rId146"/>
          <w:footerReference w:type="default" r:id="rId147"/>
          <w:headerReference w:type="first" r:id="rId148"/>
          <w:footerReference w:type="first" r:id="rId149"/>
          <w:pgSz w:w="11907" w:h="16839"/>
          <w:pgMar w:top="1134" w:right="1134" w:bottom="1134" w:left="1134" w:header="567" w:footer="567" w:gutter="0"/>
          <w:cols w:space="720"/>
          <w:docGrid w:linePitch="360"/>
        </w:sectPr>
      </w:pPr>
      <w:r>
        <w:rPr>
          <w:noProof/>
        </w:rPr>
        <w:t>Ieguldījumu īstenošanu pabeidz līdz 2026. gada 30. jūnijam.</w:t>
      </w:r>
    </w:p>
    <w:p w14:paraId="02D059F8"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E182190" w14:textId="77777777" w:rsidR="00776A1F" w:rsidRDefault="00D8574B">
      <w:pPr>
        <w:pStyle w:val="P68B1DB1-Normal3"/>
        <w:keepNext/>
        <w:spacing w:before="40" w:after="120" w:line="259" w:lineRule="auto"/>
        <w:ind w:left="130" w:firstLine="720"/>
        <w:jc w:val="both"/>
        <w:outlineLvl w:val="2"/>
        <w:rPr>
          <w:rFonts w:eastAsiaTheme="minorEastAsia" w:cs="Times New Roman"/>
          <w:noProof/>
        </w:rPr>
      </w:pPr>
      <w:r>
        <w:rPr>
          <w:noProof/>
        </w:rPr>
        <w:t xml:space="preserve">G.2. </w:t>
      </w:r>
      <w:r>
        <w:rPr>
          <w:noProof/>
        </w:rPr>
        <w:tab/>
        <w:t>Atskaites punkti, mērķrādītāji, citi rādītāji un neatmaksājamā finansiālā atbalsta uzraudzības un īstenošanas grafiks</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76204668" w14:textId="77777777">
        <w:trPr>
          <w:trHeight w:val="910"/>
          <w:tblHeader/>
        </w:trPr>
        <w:tc>
          <w:tcPr>
            <w:tcW w:w="1135" w:type="dxa"/>
            <w:vMerge w:val="restart"/>
            <w:shd w:val="clear" w:color="auto" w:fill="BDD6EE"/>
            <w:vAlign w:val="center"/>
            <w:hideMark/>
          </w:tcPr>
          <w:p w14:paraId="10A83D55"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2145A2B9"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07805992" w14:textId="7DA60548"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vAlign w:val="center"/>
            <w:hideMark/>
          </w:tcPr>
          <w:p w14:paraId="61F8D8A7"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229C7BBA"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vAlign w:val="center"/>
            <w:hideMark/>
          </w:tcPr>
          <w:p w14:paraId="6843481D"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78326D8D"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41A1C571"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76EB62E6" w14:textId="77777777">
        <w:trPr>
          <w:trHeight w:val="470"/>
          <w:tblHeader/>
        </w:trPr>
        <w:tc>
          <w:tcPr>
            <w:tcW w:w="1135" w:type="dxa"/>
            <w:vMerge/>
            <w:vAlign w:val="center"/>
            <w:hideMark/>
          </w:tcPr>
          <w:p w14:paraId="4F39F320"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7D30E977"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58796813" w14:textId="7999AEB8" w:rsidR="00776A1F" w:rsidRDefault="00776A1F">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449A85D5"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770D098D"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A3469DF"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57CE6F65"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vAlign w:val="center"/>
            <w:hideMark/>
          </w:tcPr>
          <w:p w14:paraId="2594584D"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470C36F2"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3AA4CBDD"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5F2DB0FA" w14:textId="77777777" w:rsidR="00776A1F" w:rsidRDefault="00776A1F">
            <w:pPr>
              <w:spacing w:after="0" w:line="240" w:lineRule="auto"/>
              <w:rPr>
                <w:rFonts w:ascii="Times New Roman" w:eastAsia="Times New Roman" w:hAnsi="Times New Roman" w:cs="Times New Roman"/>
                <w:b/>
                <w:noProof/>
                <w:sz w:val="18"/>
              </w:rPr>
            </w:pPr>
          </w:p>
        </w:tc>
      </w:tr>
      <w:tr w:rsidR="00776A1F" w14:paraId="7CFEA922" w14:textId="77777777">
        <w:trPr>
          <w:trHeight w:val="300"/>
        </w:trPr>
        <w:tc>
          <w:tcPr>
            <w:tcW w:w="1135" w:type="dxa"/>
            <w:shd w:val="clear" w:color="auto" w:fill="C4EFCE"/>
            <w:vAlign w:val="center"/>
            <w:hideMark/>
          </w:tcPr>
          <w:p w14:paraId="3F3E09F7" w14:textId="77777777" w:rsidR="00776A1F" w:rsidRDefault="00D8574B">
            <w:pPr>
              <w:pStyle w:val="P68B1DB1-Normal7"/>
              <w:spacing w:after="0" w:line="240" w:lineRule="auto"/>
              <w:jc w:val="center"/>
              <w:rPr>
                <w:rFonts w:eastAsia="Times New Roman" w:cs="Calibri"/>
                <w:noProof/>
              </w:rPr>
            </w:pPr>
            <w:r>
              <w:rPr>
                <w:noProof/>
              </w:rPr>
              <w:t>7.1</w:t>
            </w:r>
          </w:p>
        </w:tc>
        <w:tc>
          <w:tcPr>
            <w:tcW w:w="1276" w:type="dxa"/>
            <w:shd w:val="clear" w:color="auto" w:fill="C4EFCE"/>
            <w:noWrap/>
            <w:vAlign w:val="center"/>
            <w:hideMark/>
          </w:tcPr>
          <w:p w14:paraId="4A111EAC" w14:textId="77777777" w:rsidR="00776A1F" w:rsidRDefault="00D8574B">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0DD29370"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26EF931" w14:textId="10CF120E" w:rsidR="00776A1F" w:rsidRDefault="00D8574B">
            <w:pPr>
              <w:pStyle w:val="P68B1DB1-Normal8"/>
              <w:spacing w:after="0" w:line="240" w:lineRule="auto"/>
              <w:jc w:val="center"/>
              <w:rPr>
                <w:rFonts w:eastAsia="Times New Roman" w:cs="Calibri"/>
                <w:noProof/>
              </w:rPr>
            </w:pPr>
            <w:r>
              <w:rPr>
                <w:noProof/>
              </w:rPr>
              <w:t>Publiski pieejami elektrotransportlīdzekļu uzlādes punkti</w:t>
            </w:r>
          </w:p>
        </w:tc>
        <w:tc>
          <w:tcPr>
            <w:tcW w:w="1275" w:type="dxa"/>
            <w:shd w:val="clear" w:color="auto" w:fill="C4EFCE"/>
            <w:noWrap/>
            <w:vAlign w:val="center"/>
            <w:hideMark/>
          </w:tcPr>
          <w:p w14:paraId="565AADE8"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CE86B4"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92" w:type="dxa"/>
            <w:shd w:val="clear" w:color="auto" w:fill="C4EFCE"/>
            <w:noWrap/>
            <w:vAlign w:val="center"/>
            <w:hideMark/>
          </w:tcPr>
          <w:p w14:paraId="61129708" w14:textId="77777777" w:rsidR="00776A1F" w:rsidRDefault="00D8574B">
            <w:pPr>
              <w:pStyle w:val="P68B1DB1-Normal8"/>
              <w:spacing w:after="0" w:line="240" w:lineRule="auto"/>
              <w:jc w:val="center"/>
              <w:rPr>
                <w:rFonts w:eastAsia="Times New Roman" w:cs="Calibri"/>
                <w:noProof/>
              </w:rPr>
            </w:pPr>
            <w:r>
              <w:rPr>
                <w:noProof/>
              </w:rPr>
              <w:t>3 520</w:t>
            </w:r>
          </w:p>
        </w:tc>
        <w:tc>
          <w:tcPr>
            <w:tcW w:w="709" w:type="dxa"/>
            <w:shd w:val="clear" w:color="auto" w:fill="C4EFCE"/>
            <w:noWrap/>
            <w:vAlign w:val="center"/>
            <w:hideMark/>
          </w:tcPr>
          <w:p w14:paraId="213900A0" w14:textId="77777777" w:rsidR="00776A1F" w:rsidRDefault="00D8574B">
            <w:pPr>
              <w:pStyle w:val="P68B1DB1-Normal8"/>
              <w:spacing w:after="0" w:line="240" w:lineRule="auto"/>
              <w:jc w:val="center"/>
              <w:rPr>
                <w:rFonts w:eastAsia="Times New Roman" w:cs="Calibri"/>
                <w:noProof/>
              </w:rPr>
            </w:pPr>
            <w:r>
              <w:rPr>
                <w:noProof/>
              </w:rPr>
              <w:t>5 250</w:t>
            </w:r>
          </w:p>
        </w:tc>
        <w:tc>
          <w:tcPr>
            <w:tcW w:w="567" w:type="dxa"/>
            <w:shd w:val="clear" w:color="auto" w:fill="C4EFCE"/>
            <w:noWrap/>
            <w:vAlign w:val="center"/>
            <w:hideMark/>
          </w:tcPr>
          <w:p w14:paraId="22D9B120"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46CD88B"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EBBFDA7" w14:textId="72F46DC9" w:rsidR="00776A1F" w:rsidRDefault="00D8574B">
            <w:pPr>
              <w:pStyle w:val="P68B1DB1-Normal8"/>
              <w:spacing w:after="0" w:line="240" w:lineRule="auto"/>
              <w:jc w:val="both"/>
              <w:rPr>
                <w:rFonts w:eastAsia="Times New Roman" w:cs="Calibri"/>
                <w:noProof/>
              </w:rPr>
            </w:pPr>
            <w:r>
              <w:rPr>
                <w:noProof/>
              </w:rPr>
              <w:t>Publiski pieejamu elektrotransportlīdzekļu uzlādes punktu skaits (salīdzinājumā ar 2021. gada 4. ceturkšņa bāzlīniju)</w:t>
            </w:r>
          </w:p>
        </w:tc>
      </w:tr>
      <w:tr w:rsidR="00776A1F" w14:paraId="411748AE" w14:textId="77777777">
        <w:trPr>
          <w:trHeight w:val="300"/>
        </w:trPr>
        <w:tc>
          <w:tcPr>
            <w:tcW w:w="1135" w:type="dxa"/>
            <w:shd w:val="clear" w:color="auto" w:fill="C4EFCE"/>
            <w:vAlign w:val="center"/>
            <w:hideMark/>
          </w:tcPr>
          <w:p w14:paraId="50AB89C4" w14:textId="77777777" w:rsidR="00776A1F" w:rsidRDefault="00D8574B">
            <w:pPr>
              <w:pStyle w:val="P68B1DB1-Normal7"/>
              <w:spacing w:after="0" w:line="240" w:lineRule="auto"/>
              <w:jc w:val="center"/>
              <w:rPr>
                <w:rFonts w:eastAsia="Times New Roman" w:cs="Calibri"/>
                <w:noProof/>
              </w:rPr>
            </w:pPr>
            <w:r>
              <w:rPr>
                <w:noProof/>
              </w:rPr>
              <w:t>7.2</w:t>
            </w:r>
          </w:p>
        </w:tc>
        <w:tc>
          <w:tcPr>
            <w:tcW w:w="1276" w:type="dxa"/>
            <w:shd w:val="clear" w:color="auto" w:fill="C4EFCE"/>
            <w:noWrap/>
            <w:vAlign w:val="center"/>
            <w:hideMark/>
          </w:tcPr>
          <w:p w14:paraId="5FD10D53" w14:textId="77777777" w:rsidR="00776A1F" w:rsidRDefault="00D8574B">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71F92348"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DCB8434" w14:textId="6A490E0A" w:rsidR="00776A1F" w:rsidRDefault="00D8574B">
            <w:pPr>
              <w:pStyle w:val="P68B1DB1-Normal8"/>
              <w:spacing w:after="0" w:line="240" w:lineRule="auto"/>
              <w:jc w:val="center"/>
              <w:rPr>
                <w:rFonts w:eastAsia="Times New Roman" w:cs="Calibri"/>
                <w:noProof/>
              </w:rPr>
            </w:pPr>
            <w:r>
              <w:rPr>
                <w:noProof/>
              </w:rPr>
              <w:t>Publiski pieejami elektrotransportlīdzekļu uzlādes punkti</w:t>
            </w:r>
          </w:p>
        </w:tc>
        <w:tc>
          <w:tcPr>
            <w:tcW w:w="1275" w:type="dxa"/>
            <w:shd w:val="clear" w:color="auto" w:fill="C4EFCE"/>
            <w:noWrap/>
            <w:vAlign w:val="center"/>
            <w:hideMark/>
          </w:tcPr>
          <w:p w14:paraId="039BB342"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738A1E7"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92" w:type="dxa"/>
            <w:shd w:val="clear" w:color="auto" w:fill="C4EFCE"/>
            <w:noWrap/>
            <w:vAlign w:val="center"/>
            <w:hideMark/>
          </w:tcPr>
          <w:p w14:paraId="22A7D3DE" w14:textId="77777777" w:rsidR="00776A1F" w:rsidRDefault="00D8574B">
            <w:pPr>
              <w:pStyle w:val="P68B1DB1-Normal8"/>
              <w:spacing w:after="0" w:line="240" w:lineRule="auto"/>
              <w:jc w:val="center"/>
              <w:rPr>
                <w:rFonts w:eastAsia="Times New Roman" w:cs="Calibri"/>
                <w:noProof/>
              </w:rPr>
            </w:pPr>
            <w:r>
              <w:rPr>
                <w:noProof/>
              </w:rPr>
              <w:t>5 250</w:t>
            </w:r>
          </w:p>
        </w:tc>
        <w:tc>
          <w:tcPr>
            <w:tcW w:w="709" w:type="dxa"/>
            <w:shd w:val="clear" w:color="auto" w:fill="C4EFCE"/>
            <w:noWrap/>
            <w:vAlign w:val="center"/>
            <w:hideMark/>
          </w:tcPr>
          <w:p w14:paraId="1B77A0ED" w14:textId="77777777" w:rsidR="00776A1F" w:rsidRDefault="00D8574B">
            <w:pPr>
              <w:pStyle w:val="P68B1DB1-Normal8"/>
              <w:spacing w:after="0" w:line="240" w:lineRule="auto"/>
              <w:jc w:val="center"/>
              <w:rPr>
                <w:rFonts w:eastAsia="Times New Roman" w:cs="Calibri"/>
                <w:noProof/>
              </w:rPr>
            </w:pPr>
            <w:r>
              <w:rPr>
                <w:noProof/>
              </w:rPr>
              <w:t>10 450</w:t>
            </w:r>
          </w:p>
        </w:tc>
        <w:tc>
          <w:tcPr>
            <w:tcW w:w="567" w:type="dxa"/>
            <w:shd w:val="clear" w:color="auto" w:fill="C4EFCE"/>
            <w:noWrap/>
            <w:vAlign w:val="center"/>
            <w:hideMark/>
          </w:tcPr>
          <w:p w14:paraId="57655D3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66B50A5F"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A5BDC17" w14:textId="0FAC8B46" w:rsidR="00776A1F" w:rsidRDefault="00D8574B">
            <w:pPr>
              <w:pStyle w:val="P68B1DB1-Normal8"/>
              <w:spacing w:after="0" w:line="240" w:lineRule="auto"/>
              <w:jc w:val="both"/>
              <w:rPr>
                <w:rFonts w:eastAsia="Times New Roman" w:cs="Calibri"/>
                <w:noProof/>
              </w:rPr>
            </w:pPr>
            <w:r>
              <w:rPr>
                <w:noProof/>
              </w:rPr>
              <w:t>Publiski pieejamu elektrotransportlīdzekļu uzlādes punktu skaits (salīdzinājumā ar 2022. gada 4. ceturkšņa bāzlīniju)</w:t>
            </w:r>
          </w:p>
        </w:tc>
      </w:tr>
      <w:tr w:rsidR="00776A1F" w14:paraId="0EAF8566" w14:textId="77777777">
        <w:trPr>
          <w:trHeight w:val="300"/>
        </w:trPr>
        <w:tc>
          <w:tcPr>
            <w:tcW w:w="1135" w:type="dxa"/>
            <w:shd w:val="clear" w:color="auto" w:fill="C4EFCE"/>
            <w:vAlign w:val="center"/>
            <w:hideMark/>
          </w:tcPr>
          <w:p w14:paraId="354C0B63" w14:textId="77777777" w:rsidR="00776A1F" w:rsidRDefault="00D8574B">
            <w:pPr>
              <w:pStyle w:val="P68B1DB1-Normal7"/>
              <w:spacing w:after="0" w:line="240" w:lineRule="auto"/>
              <w:jc w:val="center"/>
              <w:rPr>
                <w:rFonts w:eastAsia="Times New Roman" w:cs="Calibri"/>
                <w:noProof/>
              </w:rPr>
            </w:pPr>
            <w:r>
              <w:rPr>
                <w:noProof/>
              </w:rPr>
              <w:t>7.3</w:t>
            </w:r>
          </w:p>
        </w:tc>
        <w:tc>
          <w:tcPr>
            <w:tcW w:w="1276" w:type="dxa"/>
            <w:shd w:val="clear" w:color="auto" w:fill="C4EFCE"/>
            <w:noWrap/>
            <w:vAlign w:val="center"/>
            <w:hideMark/>
          </w:tcPr>
          <w:p w14:paraId="415D9614" w14:textId="77777777" w:rsidR="00776A1F" w:rsidRDefault="00D8574B">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3E535130"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D5E62B3" w14:textId="4AD6DD50" w:rsidR="00776A1F" w:rsidRDefault="00D8574B">
            <w:pPr>
              <w:pStyle w:val="P68B1DB1-Normal8"/>
              <w:spacing w:after="0" w:line="240" w:lineRule="auto"/>
              <w:jc w:val="center"/>
              <w:rPr>
                <w:rFonts w:eastAsia="Times New Roman" w:cs="Calibri"/>
                <w:noProof/>
              </w:rPr>
            </w:pPr>
            <w:r>
              <w:rPr>
                <w:noProof/>
              </w:rPr>
              <w:t>Publiski pieejami elektrotransportlīdzekļu uzlādes punkti</w:t>
            </w:r>
          </w:p>
        </w:tc>
        <w:tc>
          <w:tcPr>
            <w:tcW w:w="1275" w:type="dxa"/>
            <w:shd w:val="clear" w:color="auto" w:fill="C4EFCE"/>
            <w:noWrap/>
            <w:vAlign w:val="center"/>
            <w:hideMark/>
          </w:tcPr>
          <w:p w14:paraId="48FD32B6"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48F471C"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92" w:type="dxa"/>
            <w:shd w:val="clear" w:color="auto" w:fill="C4EFCE"/>
            <w:noWrap/>
            <w:vAlign w:val="center"/>
            <w:hideMark/>
          </w:tcPr>
          <w:p w14:paraId="77A7D296" w14:textId="77777777" w:rsidR="00776A1F" w:rsidRDefault="00D8574B">
            <w:pPr>
              <w:pStyle w:val="P68B1DB1-Normal8"/>
              <w:spacing w:after="0" w:line="240" w:lineRule="auto"/>
              <w:jc w:val="center"/>
              <w:rPr>
                <w:rFonts w:eastAsia="Times New Roman" w:cs="Calibri"/>
                <w:noProof/>
              </w:rPr>
            </w:pPr>
            <w:r>
              <w:rPr>
                <w:noProof/>
              </w:rPr>
              <w:t>10 450</w:t>
            </w:r>
          </w:p>
        </w:tc>
        <w:tc>
          <w:tcPr>
            <w:tcW w:w="709" w:type="dxa"/>
            <w:shd w:val="clear" w:color="auto" w:fill="C4EFCE"/>
            <w:noWrap/>
            <w:vAlign w:val="center"/>
            <w:hideMark/>
          </w:tcPr>
          <w:p w14:paraId="7C46C763" w14:textId="77777777" w:rsidR="00776A1F" w:rsidRDefault="00D8574B">
            <w:pPr>
              <w:pStyle w:val="P68B1DB1-Normal8"/>
              <w:spacing w:after="0" w:line="240" w:lineRule="auto"/>
              <w:jc w:val="center"/>
              <w:rPr>
                <w:rFonts w:eastAsia="Times New Roman" w:cs="Calibri"/>
                <w:noProof/>
              </w:rPr>
            </w:pPr>
            <w:r>
              <w:rPr>
                <w:noProof/>
              </w:rPr>
              <w:t>15 000</w:t>
            </w:r>
          </w:p>
        </w:tc>
        <w:tc>
          <w:tcPr>
            <w:tcW w:w="567" w:type="dxa"/>
            <w:shd w:val="clear" w:color="auto" w:fill="C4EFCE"/>
            <w:noWrap/>
            <w:vAlign w:val="center"/>
            <w:hideMark/>
          </w:tcPr>
          <w:p w14:paraId="425C2DC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65542AA4"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8F4B423" w14:textId="2FF52C31" w:rsidR="00776A1F" w:rsidRDefault="00D8574B">
            <w:pPr>
              <w:pStyle w:val="P68B1DB1-Normal8"/>
              <w:spacing w:after="0" w:line="240" w:lineRule="auto"/>
              <w:jc w:val="both"/>
              <w:rPr>
                <w:rFonts w:eastAsia="Times New Roman" w:cs="Calibri"/>
                <w:noProof/>
              </w:rPr>
            </w:pPr>
            <w:r>
              <w:rPr>
                <w:noProof/>
              </w:rPr>
              <w:t>Publiski pieejamu elektrotransportlīdzekļu uzlādes punktu skaits (salīdzinājumā ar 2024. gada 4. ceturkšņa bāzlīniju)</w:t>
            </w:r>
          </w:p>
        </w:tc>
      </w:tr>
      <w:tr w:rsidR="00776A1F" w14:paraId="6CDEF770" w14:textId="77777777">
        <w:trPr>
          <w:trHeight w:val="640"/>
        </w:trPr>
        <w:tc>
          <w:tcPr>
            <w:tcW w:w="1135" w:type="dxa"/>
            <w:shd w:val="clear" w:color="auto" w:fill="C4EFCE"/>
            <w:vAlign w:val="center"/>
            <w:hideMark/>
          </w:tcPr>
          <w:p w14:paraId="7E9D55FE" w14:textId="77777777" w:rsidR="00776A1F" w:rsidRDefault="00D8574B">
            <w:pPr>
              <w:pStyle w:val="P68B1DB1-Normal7"/>
              <w:spacing w:after="0" w:line="240" w:lineRule="auto"/>
              <w:jc w:val="center"/>
              <w:rPr>
                <w:rFonts w:eastAsia="Times New Roman" w:cs="Calibri"/>
                <w:noProof/>
              </w:rPr>
            </w:pPr>
            <w:r>
              <w:rPr>
                <w:noProof/>
              </w:rPr>
              <w:t>7.4</w:t>
            </w:r>
          </w:p>
        </w:tc>
        <w:tc>
          <w:tcPr>
            <w:tcW w:w="1276" w:type="dxa"/>
            <w:shd w:val="clear" w:color="auto" w:fill="C4EFCE"/>
            <w:noWrap/>
            <w:vAlign w:val="center"/>
            <w:hideMark/>
          </w:tcPr>
          <w:p w14:paraId="74F8FD76" w14:textId="77777777" w:rsidR="00776A1F" w:rsidRDefault="00D8574B">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0F209261"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F9C461D" w14:textId="77777777" w:rsidR="00776A1F" w:rsidRDefault="00D8574B">
            <w:pPr>
              <w:pStyle w:val="P68B1DB1-Normal8"/>
              <w:spacing w:after="0" w:line="240" w:lineRule="auto"/>
              <w:jc w:val="center"/>
              <w:rPr>
                <w:rFonts w:eastAsia="Times New Roman" w:cs="Calibri"/>
                <w:noProof/>
              </w:rPr>
            </w:pPr>
            <w:r>
              <w:rPr>
                <w:noProof/>
              </w:rPr>
              <w:t>Uzņēmējdarbības uzņemšanas jomu atlase intervencēm, kuru mērķis ir uzlabot vidisko ilgtspēju un digitalizāciju</w:t>
            </w:r>
          </w:p>
        </w:tc>
        <w:tc>
          <w:tcPr>
            <w:tcW w:w="1275" w:type="dxa"/>
            <w:shd w:val="clear" w:color="auto" w:fill="C4EFCE"/>
            <w:noWrap/>
            <w:vAlign w:val="center"/>
            <w:hideMark/>
          </w:tcPr>
          <w:p w14:paraId="593AAD30" w14:textId="77777777" w:rsidR="00776A1F" w:rsidRDefault="00D8574B">
            <w:pPr>
              <w:pStyle w:val="P68B1DB1-Normal8"/>
              <w:spacing w:after="0" w:line="240" w:lineRule="auto"/>
              <w:jc w:val="center"/>
              <w:rPr>
                <w:rFonts w:eastAsia="Times New Roman" w:cs="Calibri"/>
                <w:noProof/>
              </w:rPr>
            </w:pPr>
            <w:r>
              <w:rPr>
                <w:noProof/>
              </w:rPr>
              <w:t>Publiska protokola parakstīšana, ar ko apstiprina uzņēmējdarbības uzņemšanas zonu izvēli</w:t>
            </w:r>
          </w:p>
        </w:tc>
        <w:tc>
          <w:tcPr>
            <w:tcW w:w="993" w:type="dxa"/>
            <w:shd w:val="clear" w:color="auto" w:fill="C4EFCE"/>
            <w:noWrap/>
            <w:vAlign w:val="center"/>
            <w:hideMark/>
          </w:tcPr>
          <w:p w14:paraId="3B12DE95"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DF1D34B"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2143C3EF"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FC05994" w14:textId="77777777"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51394D9E"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E6391D9" w14:textId="77777777" w:rsidR="00776A1F" w:rsidRDefault="00D8574B">
            <w:pPr>
              <w:pStyle w:val="P68B1DB1-Normal8"/>
              <w:spacing w:after="0" w:line="240" w:lineRule="auto"/>
              <w:jc w:val="both"/>
              <w:rPr>
                <w:rFonts w:eastAsia="Times New Roman" w:cs="Calibri"/>
                <w:noProof/>
              </w:rPr>
            </w:pPr>
            <w:r>
              <w:rPr>
                <w:noProof/>
              </w:rPr>
              <w:t xml:space="preserve">Uzņēmējdarbības pieņemšanas zonas izvēlas konkursa procedūrā. Komisijai iesniedz parakstītu publisku protokolu, kas apstiprina, ka ir pabeigta uzņēmējdarbības uzņemšanas zonu atlase, un norāda izvēlētās uzņēmējdarbības pieņemšanas zonas. </w:t>
            </w:r>
          </w:p>
        </w:tc>
      </w:tr>
      <w:tr w:rsidR="00776A1F" w14:paraId="0512DFAB" w14:textId="77777777">
        <w:trPr>
          <w:trHeight w:val="420"/>
        </w:trPr>
        <w:tc>
          <w:tcPr>
            <w:tcW w:w="1135" w:type="dxa"/>
            <w:shd w:val="clear" w:color="auto" w:fill="C4EFCE"/>
            <w:vAlign w:val="center"/>
            <w:hideMark/>
          </w:tcPr>
          <w:p w14:paraId="40C77A13" w14:textId="77777777" w:rsidR="00776A1F" w:rsidRDefault="00D8574B">
            <w:pPr>
              <w:pStyle w:val="P68B1DB1-Normal7"/>
              <w:spacing w:after="0" w:line="240" w:lineRule="auto"/>
              <w:jc w:val="center"/>
              <w:rPr>
                <w:rFonts w:eastAsia="Times New Roman" w:cs="Calibri"/>
                <w:noProof/>
              </w:rPr>
            </w:pPr>
            <w:r>
              <w:rPr>
                <w:noProof/>
              </w:rPr>
              <w:t>7.5</w:t>
            </w:r>
          </w:p>
        </w:tc>
        <w:tc>
          <w:tcPr>
            <w:tcW w:w="1276" w:type="dxa"/>
            <w:shd w:val="clear" w:color="auto" w:fill="C4EFCE"/>
            <w:noWrap/>
            <w:vAlign w:val="center"/>
            <w:hideMark/>
          </w:tcPr>
          <w:p w14:paraId="3FA30471" w14:textId="77777777" w:rsidR="00776A1F" w:rsidRDefault="00D8574B">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6BEE3F36"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DFBE47E" w14:textId="77777777" w:rsidR="00776A1F" w:rsidRDefault="00D8574B">
            <w:pPr>
              <w:pStyle w:val="P68B1DB1-Normal8"/>
              <w:spacing w:after="0" w:line="240" w:lineRule="auto"/>
              <w:jc w:val="center"/>
              <w:rPr>
                <w:rFonts w:eastAsia="Times New Roman" w:cs="Calibri"/>
                <w:noProof/>
              </w:rPr>
            </w:pPr>
            <w:r>
              <w:rPr>
                <w:noProof/>
              </w:rPr>
              <w:t xml:space="preserve">Intervences pasākumu pabeigšana atsevišķās uzņēmējdarbības uzņemšanas jomās </w:t>
            </w:r>
          </w:p>
        </w:tc>
        <w:tc>
          <w:tcPr>
            <w:tcW w:w="1275" w:type="dxa"/>
            <w:shd w:val="clear" w:color="auto" w:fill="C4EFCE"/>
            <w:noWrap/>
            <w:vAlign w:val="center"/>
            <w:hideMark/>
          </w:tcPr>
          <w:p w14:paraId="33798293"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7932235"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42943F2B"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4C482E62" w14:textId="77777777" w:rsidR="00776A1F" w:rsidRDefault="00D8574B">
            <w:pPr>
              <w:pStyle w:val="P68B1DB1-Normal8"/>
              <w:spacing w:after="0" w:line="240" w:lineRule="auto"/>
              <w:jc w:val="center"/>
              <w:rPr>
                <w:rFonts w:eastAsia="Times New Roman" w:cs="Calibri"/>
                <w:noProof/>
              </w:rPr>
            </w:pPr>
            <w:r>
              <w:rPr>
                <w:noProof/>
              </w:rPr>
              <w:t>10</w:t>
            </w:r>
          </w:p>
        </w:tc>
        <w:tc>
          <w:tcPr>
            <w:tcW w:w="567" w:type="dxa"/>
            <w:shd w:val="clear" w:color="auto" w:fill="C4EFCE"/>
            <w:noWrap/>
            <w:vAlign w:val="center"/>
            <w:hideMark/>
          </w:tcPr>
          <w:p w14:paraId="082856AC"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0E91BBA3"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C3A76A8" w14:textId="77777777" w:rsidR="00776A1F" w:rsidRDefault="00D8574B">
            <w:pPr>
              <w:pStyle w:val="P68B1DB1-Normal8"/>
              <w:spacing w:after="0" w:line="240" w:lineRule="auto"/>
              <w:jc w:val="both"/>
              <w:rPr>
                <w:rFonts w:eastAsia="Times New Roman" w:cs="Calibri"/>
                <w:noProof/>
              </w:rPr>
            </w:pPr>
            <w:r>
              <w:rPr>
                <w:noProof/>
              </w:rPr>
              <w:t xml:space="preserve">To uzņēmējdarbības uzņemšanas jomu skaits, kurās ir pabeigti darbi, lai uzlabotu to vidisko ilgtspēju un digitalizāciju. </w:t>
            </w:r>
          </w:p>
          <w:p w14:paraId="07D803B5" w14:textId="10D8E79F" w:rsidR="00776A1F" w:rsidRDefault="00D8574B">
            <w:pPr>
              <w:pStyle w:val="P68B1DB1-Normal8"/>
              <w:spacing w:after="0" w:line="240" w:lineRule="auto"/>
              <w:jc w:val="both"/>
              <w:rPr>
                <w:rFonts w:eastAsia="Times New Roman" w:cs="Calibri"/>
                <w:noProof/>
              </w:rPr>
            </w:pPr>
            <w:r>
              <w:rPr>
                <w:noProof/>
              </w:rPr>
              <w:t>Uzņēmējdarbības uzņemšanas jomas intervencei, kas izvēlētas konkursa procedūrā.</w:t>
            </w:r>
          </w:p>
        </w:tc>
      </w:tr>
      <w:tr w:rsidR="00776A1F" w14:paraId="10CFA4E1" w14:textId="77777777">
        <w:trPr>
          <w:trHeight w:val="420"/>
        </w:trPr>
        <w:tc>
          <w:tcPr>
            <w:tcW w:w="1135" w:type="dxa"/>
            <w:shd w:val="clear" w:color="auto" w:fill="C4EFCE"/>
            <w:vAlign w:val="center"/>
            <w:hideMark/>
          </w:tcPr>
          <w:p w14:paraId="6BA90D44" w14:textId="77777777" w:rsidR="00776A1F" w:rsidRDefault="00D8574B">
            <w:pPr>
              <w:pStyle w:val="P68B1DB1-Normal7"/>
              <w:spacing w:after="0" w:line="240" w:lineRule="auto"/>
              <w:jc w:val="center"/>
              <w:rPr>
                <w:rFonts w:eastAsia="Times New Roman" w:cs="Calibri"/>
                <w:noProof/>
              </w:rPr>
            </w:pPr>
            <w:r>
              <w:rPr>
                <w:noProof/>
              </w:rPr>
              <w:t>7.6</w:t>
            </w:r>
          </w:p>
        </w:tc>
        <w:tc>
          <w:tcPr>
            <w:tcW w:w="1276" w:type="dxa"/>
            <w:shd w:val="clear" w:color="auto" w:fill="C4EFCE"/>
            <w:noWrap/>
            <w:vAlign w:val="center"/>
            <w:hideMark/>
          </w:tcPr>
          <w:p w14:paraId="4F6EE5A3" w14:textId="77777777" w:rsidR="00776A1F" w:rsidRDefault="00D8574B">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6C6C701C"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715D078" w14:textId="77777777" w:rsidR="00776A1F" w:rsidRDefault="00D8574B">
            <w:pPr>
              <w:pStyle w:val="P68B1DB1-Normal8"/>
              <w:spacing w:after="0" w:line="240" w:lineRule="auto"/>
              <w:jc w:val="center"/>
              <w:rPr>
                <w:rFonts w:eastAsia="Times New Roman" w:cs="Calibri"/>
                <w:noProof/>
              </w:rPr>
            </w:pPr>
            <w:r>
              <w:rPr>
                <w:noProof/>
              </w:rPr>
              <w:t>Parakstīts līgums par 1 autoceļa projektu</w:t>
            </w:r>
          </w:p>
        </w:tc>
        <w:tc>
          <w:tcPr>
            <w:tcW w:w="1275" w:type="dxa"/>
            <w:shd w:val="clear" w:color="auto" w:fill="C4EFCE"/>
            <w:noWrap/>
            <w:vAlign w:val="center"/>
            <w:hideMark/>
          </w:tcPr>
          <w:p w14:paraId="3AEB4D75" w14:textId="77777777" w:rsidR="00776A1F" w:rsidRDefault="00D8574B">
            <w:pPr>
              <w:pStyle w:val="P68B1DB1-Normal8"/>
              <w:spacing w:after="0" w:line="240" w:lineRule="auto"/>
              <w:jc w:val="center"/>
              <w:rPr>
                <w:rFonts w:eastAsia="Times New Roman" w:cs="Calibri"/>
                <w:noProof/>
              </w:rPr>
            </w:pPr>
            <w:r>
              <w:rPr>
                <w:noProof/>
              </w:rPr>
              <w:t>Līgums, kas parakstīts ar darbuzņēmēju par ceļa projektu</w:t>
            </w:r>
          </w:p>
        </w:tc>
        <w:tc>
          <w:tcPr>
            <w:tcW w:w="993" w:type="dxa"/>
            <w:shd w:val="clear" w:color="auto" w:fill="C4EFCE"/>
            <w:noWrap/>
            <w:vAlign w:val="center"/>
            <w:hideMark/>
          </w:tcPr>
          <w:p w14:paraId="70074E61"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356C703"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31DADF6"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74A7711C"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6AB2898"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518505D" w14:textId="77777777" w:rsidR="00776A1F" w:rsidRDefault="00D8574B">
            <w:pPr>
              <w:pStyle w:val="P68B1DB1-Normal8"/>
              <w:spacing w:after="0" w:line="240" w:lineRule="auto"/>
              <w:jc w:val="both"/>
              <w:rPr>
                <w:rFonts w:eastAsia="Times New Roman" w:cs="Calibri"/>
                <w:noProof/>
              </w:rPr>
            </w:pPr>
            <w:r>
              <w:rPr>
                <w:noProof/>
              </w:rPr>
              <w:t>Puses paraksta dokumentu, kas reglamentē to pienākumus saistībā ar būvdarbu izpildi pēc atklāta konkursa.</w:t>
            </w:r>
          </w:p>
        </w:tc>
      </w:tr>
      <w:tr w:rsidR="00776A1F" w14:paraId="0CFF3903" w14:textId="77777777">
        <w:trPr>
          <w:trHeight w:val="420"/>
        </w:trPr>
        <w:tc>
          <w:tcPr>
            <w:tcW w:w="1135" w:type="dxa"/>
            <w:shd w:val="clear" w:color="auto" w:fill="C4EFCE"/>
            <w:vAlign w:val="center"/>
            <w:hideMark/>
          </w:tcPr>
          <w:p w14:paraId="65D7863A" w14:textId="77777777" w:rsidR="00776A1F" w:rsidRDefault="00D8574B">
            <w:pPr>
              <w:pStyle w:val="P68B1DB1-Normal7"/>
              <w:spacing w:after="0" w:line="240" w:lineRule="auto"/>
              <w:jc w:val="center"/>
              <w:rPr>
                <w:rFonts w:eastAsia="Times New Roman" w:cs="Calibri"/>
                <w:noProof/>
              </w:rPr>
            </w:pPr>
            <w:r>
              <w:rPr>
                <w:noProof/>
              </w:rPr>
              <w:t>7.7</w:t>
            </w:r>
          </w:p>
        </w:tc>
        <w:tc>
          <w:tcPr>
            <w:tcW w:w="1276" w:type="dxa"/>
            <w:shd w:val="clear" w:color="auto" w:fill="C4EFCE"/>
            <w:noWrap/>
            <w:vAlign w:val="center"/>
            <w:hideMark/>
          </w:tcPr>
          <w:p w14:paraId="184546E3" w14:textId="77777777" w:rsidR="00776A1F" w:rsidRDefault="00D8574B">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34BD2C29"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53F57D" w14:textId="77777777" w:rsidR="00776A1F" w:rsidRDefault="00D8574B">
            <w:pPr>
              <w:pStyle w:val="P68B1DB1-Normal8"/>
              <w:spacing w:after="0" w:line="240" w:lineRule="auto"/>
              <w:jc w:val="center"/>
              <w:rPr>
                <w:rFonts w:eastAsia="Times New Roman" w:cs="Calibri"/>
                <w:noProof/>
              </w:rPr>
            </w:pPr>
            <w:r>
              <w:rPr>
                <w:noProof/>
              </w:rPr>
              <w:t>Parakstīts līgums par diviem ceļu projektiem</w:t>
            </w:r>
          </w:p>
        </w:tc>
        <w:tc>
          <w:tcPr>
            <w:tcW w:w="1275" w:type="dxa"/>
            <w:shd w:val="clear" w:color="auto" w:fill="C4EFCE"/>
            <w:noWrap/>
            <w:vAlign w:val="center"/>
            <w:hideMark/>
          </w:tcPr>
          <w:p w14:paraId="27FD9906" w14:textId="77777777" w:rsidR="00776A1F" w:rsidRDefault="00D8574B">
            <w:pPr>
              <w:pStyle w:val="P68B1DB1-Normal8"/>
              <w:spacing w:after="0" w:line="240" w:lineRule="auto"/>
              <w:jc w:val="center"/>
              <w:rPr>
                <w:rFonts w:eastAsia="Times New Roman" w:cs="Calibri"/>
                <w:noProof/>
              </w:rPr>
            </w:pPr>
            <w:r>
              <w:rPr>
                <w:noProof/>
              </w:rPr>
              <w:t>Līgums, kas parakstīts ar darbuzņēmēju par ceļu projektiem</w:t>
            </w:r>
          </w:p>
        </w:tc>
        <w:tc>
          <w:tcPr>
            <w:tcW w:w="993" w:type="dxa"/>
            <w:shd w:val="clear" w:color="auto" w:fill="C4EFCE"/>
            <w:noWrap/>
            <w:vAlign w:val="center"/>
            <w:hideMark/>
          </w:tcPr>
          <w:p w14:paraId="46E44223"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DCA1314"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C4AC25B"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0ED99A"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73BEB9CA"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C5F3EF7" w14:textId="77777777" w:rsidR="00776A1F" w:rsidRDefault="00D8574B">
            <w:pPr>
              <w:pStyle w:val="P68B1DB1-Normal8"/>
              <w:spacing w:after="0" w:line="240" w:lineRule="auto"/>
              <w:jc w:val="both"/>
              <w:rPr>
                <w:rFonts w:eastAsia="Times New Roman" w:cs="Calibri"/>
                <w:noProof/>
              </w:rPr>
            </w:pPr>
            <w:r>
              <w:rPr>
                <w:noProof/>
              </w:rPr>
              <w:t>Puses paraksta dokumentu, kas reglamentē to pienākumus saistībā ar būvdarbu izpildi pēc atklāta konkursa.</w:t>
            </w:r>
          </w:p>
        </w:tc>
      </w:tr>
      <w:tr w:rsidR="00776A1F" w14:paraId="265A481C" w14:textId="77777777">
        <w:trPr>
          <w:trHeight w:val="420"/>
        </w:trPr>
        <w:tc>
          <w:tcPr>
            <w:tcW w:w="1135" w:type="dxa"/>
            <w:shd w:val="clear" w:color="auto" w:fill="C4EFCE"/>
            <w:vAlign w:val="center"/>
            <w:hideMark/>
          </w:tcPr>
          <w:p w14:paraId="5CB9830A" w14:textId="77777777" w:rsidR="00776A1F" w:rsidRDefault="00D8574B">
            <w:pPr>
              <w:pStyle w:val="P68B1DB1-Normal7"/>
              <w:spacing w:after="0" w:line="240" w:lineRule="auto"/>
              <w:jc w:val="center"/>
              <w:rPr>
                <w:rFonts w:eastAsia="Times New Roman" w:cs="Calibri"/>
                <w:noProof/>
              </w:rPr>
            </w:pPr>
            <w:r>
              <w:rPr>
                <w:noProof/>
              </w:rPr>
              <w:t>7.8</w:t>
            </w:r>
          </w:p>
        </w:tc>
        <w:tc>
          <w:tcPr>
            <w:tcW w:w="1276" w:type="dxa"/>
            <w:shd w:val="clear" w:color="auto" w:fill="C4EFCE"/>
            <w:noWrap/>
            <w:vAlign w:val="center"/>
            <w:hideMark/>
          </w:tcPr>
          <w:p w14:paraId="53E4F8B7" w14:textId="77777777" w:rsidR="00776A1F" w:rsidRDefault="00D8574B">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12265568"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3A730D9" w14:textId="77777777" w:rsidR="00776A1F" w:rsidRDefault="00D8574B">
            <w:pPr>
              <w:pStyle w:val="P68B1DB1-Normal8"/>
              <w:spacing w:after="0" w:line="240" w:lineRule="auto"/>
              <w:jc w:val="center"/>
              <w:rPr>
                <w:rFonts w:eastAsia="Times New Roman" w:cs="Calibri"/>
                <w:noProof/>
              </w:rPr>
            </w:pPr>
            <w:r>
              <w:rPr>
                <w:noProof/>
              </w:rPr>
              <w:t>Uzbūvētie vai atjaunotie ceļi</w:t>
            </w:r>
          </w:p>
        </w:tc>
        <w:tc>
          <w:tcPr>
            <w:tcW w:w="1275" w:type="dxa"/>
            <w:shd w:val="clear" w:color="auto" w:fill="C4EFCE"/>
            <w:noWrap/>
            <w:vAlign w:val="center"/>
            <w:hideMark/>
          </w:tcPr>
          <w:p w14:paraId="2009EC45"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B9DB13"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shd w:val="clear" w:color="auto" w:fill="C4EFCE"/>
            <w:noWrap/>
            <w:vAlign w:val="center"/>
            <w:hideMark/>
          </w:tcPr>
          <w:p w14:paraId="701630BB"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58650E" w14:textId="77777777" w:rsidR="00776A1F" w:rsidRDefault="00D8574B">
            <w:pPr>
              <w:pStyle w:val="P68B1DB1-Normal8"/>
              <w:spacing w:after="0" w:line="240" w:lineRule="auto"/>
              <w:jc w:val="center"/>
              <w:rPr>
                <w:rFonts w:eastAsia="Times New Roman" w:cs="Calibri"/>
                <w:noProof/>
              </w:rPr>
            </w:pPr>
            <w:r>
              <w:rPr>
                <w:noProof/>
              </w:rPr>
              <w:t>111</w:t>
            </w:r>
          </w:p>
        </w:tc>
        <w:tc>
          <w:tcPr>
            <w:tcW w:w="567" w:type="dxa"/>
            <w:shd w:val="clear" w:color="auto" w:fill="C4EFCE"/>
            <w:noWrap/>
            <w:vAlign w:val="center"/>
            <w:hideMark/>
          </w:tcPr>
          <w:p w14:paraId="40298BF3"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4EAB628"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8015658" w14:textId="77777777" w:rsidR="00776A1F" w:rsidRDefault="00D8574B">
            <w:pPr>
              <w:pStyle w:val="P68B1DB1-Normal8"/>
              <w:spacing w:after="0" w:line="240" w:lineRule="auto"/>
              <w:jc w:val="both"/>
              <w:rPr>
                <w:rFonts w:eastAsia="Times New Roman" w:cs="Calibri"/>
                <w:noProof/>
              </w:rPr>
            </w:pPr>
            <w:r>
              <w:rPr>
                <w:noProof/>
              </w:rPr>
              <w:t>Km ceļu, kas uzbūvēti vai atjaunoti saskaņā ar konkursa tehniskajām specifikācijām un kuros pilnībā iekļauti visi ietekmes uz vidi novērtējuma rezultāti un nosacījumi.</w:t>
            </w:r>
          </w:p>
        </w:tc>
      </w:tr>
      <w:tr w:rsidR="00776A1F" w14:paraId="2261DAAD" w14:textId="77777777">
        <w:trPr>
          <w:trHeight w:val="420"/>
        </w:trPr>
        <w:tc>
          <w:tcPr>
            <w:tcW w:w="1135" w:type="dxa"/>
            <w:shd w:val="clear" w:color="auto" w:fill="C4EFCE"/>
            <w:vAlign w:val="center"/>
            <w:hideMark/>
          </w:tcPr>
          <w:p w14:paraId="4034FC64" w14:textId="77777777" w:rsidR="00776A1F" w:rsidRDefault="00D8574B">
            <w:pPr>
              <w:pStyle w:val="P68B1DB1-Normal7"/>
              <w:spacing w:after="0" w:line="240" w:lineRule="auto"/>
              <w:jc w:val="center"/>
              <w:rPr>
                <w:rFonts w:eastAsia="Times New Roman" w:cs="Calibri"/>
                <w:noProof/>
              </w:rPr>
            </w:pPr>
            <w:r>
              <w:rPr>
                <w:noProof/>
              </w:rPr>
              <w:t>7.13</w:t>
            </w:r>
          </w:p>
        </w:tc>
        <w:tc>
          <w:tcPr>
            <w:tcW w:w="1276" w:type="dxa"/>
            <w:shd w:val="clear" w:color="auto" w:fill="C4EFCE"/>
            <w:noWrap/>
            <w:vAlign w:val="center"/>
            <w:hideMark/>
          </w:tcPr>
          <w:p w14:paraId="4BC36517" w14:textId="77777777" w:rsidR="00776A1F" w:rsidRDefault="00D8574B">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209F840"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385815E" w14:textId="77777777" w:rsidR="00776A1F" w:rsidRDefault="00D8574B">
            <w:pPr>
              <w:pStyle w:val="P68B1DB1-Normal8"/>
              <w:spacing w:after="0" w:line="240" w:lineRule="auto"/>
              <w:jc w:val="center"/>
              <w:rPr>
                <w:rFonts w:eastAsia="Times New Roman" w:cs="Calibri"/>
                <w:noProof/>
              </w:rPr>
            </w:pPr>
            <w:r>
              <w:rPr>
                <w:noProof/>
              </w:rPr>
              <w:t>Parakstīts līgums par diviem ceļu projektiem</w:t>
            </w:r>
          </w:p>
        </w:tc>
        <w:tc>
          <w:tcPr>
            <w:tcW w:w="1275" w:type="dxa"/>
            <w:shd w:val="clear" w:color="auto" w:fill="C4EFCE"/>
            <w:noWrap/>
            <w:vAlign w:val="center"/>
            <w:hideMark/>
          </w:tcPr>
          <w:p w14:paraId="63C0F659" w14:textId="77777777" w:rsidR="00776A1F" w:rsidRDefault="00D8574B">
            <w:pPr>
              <w:pStyle w:val="P68B1DB1-Normal8"/>
              <w:spacing w:after="0" w:line="240" w:lineRule="auto"/>
              <w:jc w:val="center"/>
              <w:rPr>
                <w:rFonts w:eastAsia="Times New Roman" w:cs="Calibri"/>
                <w:noProof/>
              </w:rPr>
            </w:pPr>
            <w:r>
              <w:rPr>
                <w:noProof/>
              </w:rPr>
              <w:t xml:space="preserve">Līgums, kas parakstīts ar darbuzņēmēju par ceļu projektiem </w:t>
            </w:r>
          </w:p>
        </w:tc>
        <w:tc>
          <w:tcPr>
            <w:tcW w:w="993" w:type="dxa"/>
            <w:shd w:val="clear" w:color="auto" w:fill="C4EFCE"/>
            <w:noWrap/>
            <w:vAlign w:val="center"/>
            <w:hideMark/>
          </w:tcPr>
          <w:p w14:paraId="7CB79044"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9267C09"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4713E82"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777E7E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E0776BB"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6DA65D9A" w14:textId="77777777" w:rsidR="00776A1F" w:rsidRDefault="00D8574B">
            <w:pPr>
              <w:pStyle w:val="P68B1DB1-Normal8"/>
              <w:spacing w:after="0" w:line="240" w:lineRule="auto"/>
              <w:jc w:val="both"/>
              <w:rPr>
                <w:rFonts w:eastAsia="Times New Roman" w:cs="Calibri"/>
                <w:noProof/>
              </w:rPr>
            </w:pPr>
            <w:r>
              <w:rPr>
                <w:noProof/>
              </w:rPr>
              <w:t>Puses paraksta dokumentu, kas reglamentē to pienākumus attiecībā uz būvdarbu izpildi par cenu pēc atklāta konkursa.</w:t>
            </w:r>
          </w:p>
        </w:tc>
      </w:tr>
      <w:tr w:rsidR="00776A1F" w14:paraId="0682BEE4" w14:textId="77777777">
        <w:trPr>
          <w:trHeight w:val="401"/>
        </w:trPr>
        <w:tc>
          <w:tcPr>
            <w:tcW w:w="1135" w:type="dxa"/>
            <w:shd w:val="clear" w:color="auto" w:fill="C4EFCE"/>
            <w:vAlign w:val="center"/>
            <w:hideMark/>
          </w:tcPr>
          <w:p w14:paraId="1CA58A5D" w14:textId="77777777" w:rsidR="00776A1F" w:rsidRDefault="00D8574B">
            <w:pPr>
              <w:pStyle w:val="P68B1DB1-Normal7"/>
              <w:spacing w:after="0" w:line="240" w:lineRule="auto"/>
              <w:jc w:val="center"/>
              <w:rPr>
                <w:rFonts w:eastAsia="Times New Roman" w:cs="Calibri"/>
                <w:noProof/>
              </w:rPr>
            </w:pPr>
            <w:r>
              <w:rPr>
                <w:noProof/>
              </w:rPr>
              <w:t>7.14</w:t>
            </w:r>
          </w:p>
        </w:tc>
        <w:tc>
          <w:tcPr>
            <w:tcW w:w="1276" w:type="dxa"/>
            <w:shd w:val="clear" w:color="auto" w:fill="C4EFCE"/>
            <w:noWrap/>
            <w:vAlign w:val="center"/>
            <w:hideMark/>
          </w:tcPr>
          <w:p w14:paraId="15B9C650" w14:textId="77777777" w:rsidR="00776A1F" w:rsidRDefault="00D8574B">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12F9B6B5"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E2EC1A" w14:textId="77777777" w:rsidR="00776A1F" w:rsidRDefault="00D8574B">
            <w:pPr>
              <w:pStyle w:val="P68B1DB1-Normal8"/>
              <w:spacing w:after="0" w:line="240" w:lineRule="auto"/>
              <w:jc w:val="center"/>
              <w:rPr>
                <w:rFonts w:eastAsia="Times New Roman" w:cs="Calibri"/>
                <w:noProof/>
              </w:rPr>
            </w:pPr>
            <w:r>
              <w:rPr>
                <w:noProof/>
              </w:rPr>
              <w:t>Parakstīts līgums par 8 ceļu projektiem</w:t>
            </w:r>
          </w:p>
        </w:tc>
        <w:tc>
          <w:tcPr>
            <w:tcW w:w="1275" w:type="dxa"/>
            <w:shd w:val="clear" w:color="auto" w:fill="C4EFCE"/>
            <w:noWrap/>
            <w:vAlign w:val="center"/>
            <w:hideMark/>
          </w:tcPr>
          <w:p w14:paraId="6C884EF6" w14:textId="77777777" w:rsidR="00776A1F" w:rsidRDefault="00D8574B">
            <w:pPr>
              <w:pStyle w:val="P68B1DB1-Normal8"/>
              <w:spacing w:after="0" w:line="240" w:lineRule="auto"/>
              <w:jc w:val="center"/>
              <w:rPr>
                <w:rFonts w:eastAsia="Times New Roman" w:cs="Calibri"/>
                <w:noProof/>
              </w:rPr>
            </w:pPr>
            <w:r>
              <w:rPr>
                <w:noProof/>
              </w:rPr>
              <w:t xml:space="preserve">Līgums, kas parakstīts ar ceļu projektu darbuzņēmēju </w:t>
            </w:r>
          </w:p>
        </w:tc>
        <w:tc>
          <w:tcPr>
            <w:tcW w:w="993" w:type="dxa"/>
            <w:shd w:val="clear" w:color="auto" w:fill="C4EFCE"/>
            <w:noWrap/>
            <w:vAlign w:val="center"/>
            <w:hideMark/>
          </w:tcPr>
          <w:p w14:paraId="444A2DB0"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CC793F9"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3F84ABE5"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5FC35485" w14:textId="1E6AD43C"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638E5478" w14:textId="77777777" w:rsidR="00776A1F" w:rsidRDefault="00D8574B">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927CA24" w14:textId="1065D024" w:rsidR="00776A1F" w:rsidRDefault="00D8574B">
            <w:pPr>
              <w:pStyle w:val="P68B1DB1-Normal8"/>
              <w:spacing w:after="0" w:line="240" w:lineRule="auto"/>
              <w:jc w:val="both"/>
              <w:rPr>
                <w:rFonts w:eastAsia="Times New Roman" w:cs="Calibri"/>
                <w:noProof/>
              </w:rPr>
            </w:pPr>
            <w:r>
              <w:rPr>
                <w:noProof/>
              </w:rPr>
              <w:t xml:space="preserve">Puses paraksta dokumentu, kas reglamentē to pienākumus attiecībā uz būvdarbu izpildi par cenu pēc atklāta konkursa. </w:t>
            </w:r>
          </w:p>
        </w:tc>
      </w:tr>
      <w:tr w:rsidR="00776A1F" w14:paraId="7B5B5CC1" w14:textId="77777777">
        <w:trPr>
          <w:trHeight w:val="420"/>
        </w:trPr>
        <w:tc>
          <w:tcPr>
            <w:tcW w:w="1135" w:type="dxa"/>
            <w:shd w:val="clear" w:color="auto" w:fill="C4EFCE"/>
            <w:vAlign w:val="center"/>
            <w:hideMark/>
          </w:tcPr>
          <w:p w14:paraId="700C397C" w14:textId="77777777" w:rsidR="00776A1F" w:rsidRDefault="00D8574B">
            <w:pPr>
              <w:pStyle w:val="P68B1DB1-Normal7"/>
              <w:spacing w:after="0" w:line="240" w:lineRule="auto"/>
              <w:jc w:val="center"/>
              <w:rPr>
                <w:rFonts w:eastAsia="Times New Roman" w:cs="Calibri"/>
                <w:noProof/>
              </w:rPr>
            </w:pPr>
            <w:r>
              <w:rPr>
                <w:noProof/>
              </w:rPr>
              <w:t>7.15</w:t>
            </w:r>
          </w:p>
        </w:tc>
        <w:tc>
          <w:tcPr>
            <w:tcW w:w="1276" w:type="dxa"/>
            <w:shd w:val="clear" w:color="auto" w:fill="C4EFCE"/>
            <w:noWrap/>
            <w:vAlign w:val="center"/>
            <w:hideMark/>
          </w:tcPr>
          <w:p w14:paraId="20063F9D" w14:textId="77777777" w:rsidR="00776A1F" w:rsidRDefault="00D8574B">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AC31D5D"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A4A3C86" w14:textId="77777777" w:rsidR="00776A1F" w:rsidRDefault="00D8574B">
            <w:pPr>
              <w:pStyle w:val="P68B1DB1-Normal8"/>
              <w:spacing w:after="0" w:line="240" w:lineRule="auto"/>
              <w:jc w:val="center"/>
              <w:rPr>
                <w:rFonts w:eastAsia="Times New Roman" w:cs="Calibri"/>
                <w:noProof/>
              </w:rPr>
            </w:pPr>
            <w:r>
              <w:rPr>
                <w:noProof/>
              </w:rPr>
              <w:t>Uzbūvētie vai atjaunotie ceļi</w:t>
            </w:r>
          </w:p>
        </w:tc>
        <w:tc>
          <w:tcPr>
            <w:tcW w:w="1275" w:type="dxa"/>
            <w:shd w:val="clear" w:color="auto" w:fill="C4EFCE"/>
            <w:noWrap/>
            <w:vAlign w:val="center"/>
            <w:hideMark/>
          </w:tcPr>
          <w:p w14:paraId="2D009BF3"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B6B86C2"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shd w:val="clear" w:color="auto" w:fill="C4EFCE"/>
            <w:noWrap/>
            <w:vAlign w:val="center"/>
            <w:hideMark/>
          </w:tcPr>
          <w:p w14:paraId="371D6CE9"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EE7F577" w14:textId="77777777" w:rsidR="00776A1F" w:rsidRDefault="00D8574B">
            <w:pPr>
              <w:pStyle w:val="P68B1DB1-Normal8"/>
              <w:spacing w:after="0" w:line="240" w:lineRule="auto"/>
              <w:jc w:val="center"/>
              <w:rPr>
                <w:rFonts w:eastAsia="Times New Roman" w:cs="Calibri"/>
                <w:noProof/>
              </w:rPr>
            </w:pPr>
            <w:r>
              <w:rPr>
                <w:noProof/>
              </w:rPr>
              <w:t>34.38</w:t>
            </w:r>
          </w:p>
        </w:tc>
        <w:tc>
          <w:tcPr>
            <w:tcW w:w="567" w:type="dxa"/>
            <w:shd w:val="clear" w:color="auto" w:fill="C4EFCE"/>
            <w:noWrap/>
            <w:vAlign w:val="center"/>
            <w:hideMark/>
          </w:tcPr>
          <w:p w14:paraId="23C0D9BB" w14:textId="035CC7DC"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386DAC62" w14:textId="196BF008"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1595695" w14:textId="77777777" w:rsidR="00776A1F" w:rsidRDefault="00D8574B">
            <w:pPr>
              <w:pStyle w:val="P68B1DB1-Normal8"/>
              <w:spacing w:after="0" w:line="240" w:lineRule="auto"/>
              <w:jc w:val="both"/>
              <w:rPr>
                <w:rFonts w:eastAsia="Times New Roman" w:cs="Calibri"/>
                <w:noProof/>
              </w:rPr>
            </w:pPr>
            <w:r>
              <w:rPr>
                <w:noProof/>
              </w:rPr>
              <w:t>Km ceļu, kas uzbūvēti vai atjaunoti saskaņā ar konkursa tehniskajām specifikācijām un kuros pilnībā iekļauti visi ietekmes uz vidi novērtējuma rezultāti un nosacījumi.</w:t>
            </w:r>
          </w:p>
        </w:tc>
      </w:tr>
    </w:tbl>
    <w:p w14:paraId="215FEBDE"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1134" w:right="1134" w:bottom="1134" w:left="1134" w:header="567" w:footer="567" w:gutter="0"/>
          <w:cols w:space="720"/>
          <w:docGrid w:linePitch="360"/>
        </w:sectPr>
      </w:pPr>
    </w:p>
    <w:p w14:paraId="5FFBA500" w14:textId="77777777" w:rsidR="00776A1F" w:rsidRDefault="00D8574B">
      <w:pPr>
        <w:pStyle w:val="P68B1DB1-Normal3"/>
        <w:keepNext/>
        <w:spacing w:before="240" w:after="0" w:line="259" w:lineRule="auto"/>
        <w:ind w:left="851"/>
        <w:jc w:val="both"/>
        <w:outlineLvl w:val="3"/>
        <w:rPr>
          <w:rFonts w:eastAsiaTheme="minorEastAsia" w:cs="Times New Roman"/>
          <w:noProof/>
        </w:rPr>
      </w:pPr>
      <w:r>
        <w:rPr>
          <w:noProof/>
        </w:rPr>
        <w:t>G.3. Aizdevumam pieteikto reformu un investīciju apraksts</w:t>
      </w:r>
    </w:p>
    <w:p w14:paraId="5DC9AA23"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RE-C07-i03: Pārrobežu saiknes</w:t>
      </w:r>
    </w:p>
    <w:p w14:paraId="1C90E8F1" w14:textId="77777777" w:rsidR="00776A1F" w:rsidRDefault="00D8574B">
      <w:pPr>
        <w:pStyle w:val="P68B1DB1-Normal4"/>
        <w:keepNext/>
        <w:spacing w:before="40" w:after="0" w:line="259" w:lineRule="auto"/>
        <w:jc w:val="both"/>
        <w:rPr>
          <w:rFonts w:eastAsiaTheme="minorEastAsia" w:cs="Times New Roman"/>
          <w:noProof/>
        </w:rPr>
      </w:pPr>
      <w:r>
        <w:rPr>
          <w:noProof/>
        </w:rPr>
        <w:t>Pasākuma mērķis ir veicināt pārrobežu mobilitātes attīstību un uzlabot uzņēmumu konkurētspēju, piemēram, veicinot darbaspēka mobilitāti. Lieljaudas koridoru stiprināšanas mērķis ir arī ļaut kopīgi izmantot infrastruktūru, piemēram, ātrgaitas dzelzceļa līniju Sanabrijā vai Bragansas lidlauku, un uzlabot ceļu satiksmes drošību.</w:t>
      </w:r>
    </w:p>
    <w:p w14:paraId="7E45326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Investīcijas ietver ceļu infrastruktūras izveidi un modernizāciju, lai stiprinātu pārrobežu savienojumus ar Spāniju. </w:t>
      </w:r>
    </w:p>
    <w:p w14:paraId="3FAC6760"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Paredzams, ka šis pasākums neradīs būtisku kaitējumu vides mērķiem Regulas (ES) 2020/852 17. panta nozīmē, ņemot vērā pasākuma aprakstu un atveseļošanas un noturības plānā izklāstītos riska mazināšanas pasākumus saskaņā ar DNSH tehniskajiem norādījumiem (2021/C58/01). Jo īpaši atbilstību NBK nodrošina ar ieguldījumu C07-I0 (elektrisko transportlīdzekļu uzlādes tīkla paplašināšana) kā papildu pasākumu. Visiem ceļu projektiem, kam varētu būt būtiska negatīva ietekme uz vidi, veic ietekmes uz vidi novērtējumu (IVN) saskaņā ar Direktīvu 2011/92/ES, lai nodrošinātu, ka atbilstība NBK principam tiek integrēta projektā un stingri ievērota infrastruktūras būvniecības, ekspluatācijas un ekspluatācijas pārtraukšanas posmos. </w:t>
      </w:r>
    </w:p>
    <w:p w14:paraId="54069761" w14:textId="73841A5B" w:rsidR="00776A1F" w:rsidRDefault="00D8574B">
      <w:pPr>
        <w:pStyle w:val="P68B1DB1-Normal4"/>
        <w:keepNext/>
        <w:spacing w:before="40" w:after="0" w:line="259" w:lineRule="auto"/>
        <w:jc w:val="both"/>
        <w:rPr>
          <w:rFonts w:eastAsiaTheme="minorEastAsia" w:cs="Times New Roman"/>
          <w:noProof/>
        </w:rPr>
      </w:pPr>
      <w:r>
        <w:rPr>
          <w:noProof/>
        </w:rPr>
        <w:t>No uzskaitītajiem ceļiem 30 kilometrus būvē vai modernizē:</w:t>
      </w:r>
    </w:p>
    <w:p w14:paraId="1BEA4559" w14:textId="77777777" w:rsidR="00776A1F" w:rsidRDefault="00D8574B">
      <w:pPr>
        <w:pStyle w:val="P68B1DB1-Normal4"/>
        <w:keepNext/>
        <w:numPr>
          <w:ilvl w:val="0"/>
          <w:numId w:val="23"/>
        </w:numPr>
        <w:spacing w:before="40" w:after="160" w:line="259" w:lineRule="auto"/>
        <w:contextualSpacing/>
        <w:jc w:val="both"/>
        <w:rPr>
          <w:rFonts w:eastAsiaTheme="minorEastAsia" w:cs="Times New Roman"/>
          <w:noProof/>
        </w:rPr>
      </w:pPr>
      <w:r>
        <w:rPr>
          <w:noProof/>
        </w:rPr>
        <w:t>EN103: Vinhais/Bragança (apvedceļš);</w:t>
      </w:r>
    </w:p>
    <w:p w14:paraId="05732A66" w14:textId="77777777" w:rsidR="00776A1F" w:rsidRDefault="00D8574B">
      <w:pPr>
        <w:pStyle w:val="P68B1DB1-Normal4"/>
        <w:keepNext/>
        <w:numPr>
          <w:ilvl w:val="0"/>
          <w:numId w:val="23"/>
        </w:numPr>
        <w:spacing w:before="40" w:after="160" w:line="259" w:lineRule="auto"/>
        <w:contextualSpacing/>
        <w:jc w:val="both"/>
        <w:rPr>
          <w:rFonts w:eastAsiaTheme="minorEastAsia" w:cs="Times New Roman"/>
          <w:noProof/>
        </w:rPr>
      </w:pPr>
      <w:r>
        <w:rPr>
          <w:noProof/>
        </w:rPr>
        <w:t>Saite no Bragansas uz Puebla de Sanabria (Spānija);</w:t>
      </w:r>
    </w:p>
    <w:p w14:paraId="2E2E2DF9" w14:textId="77777777" w:rsidR="00776A1F" w:rsidRDefault="00D8574B">
      <w:pPr>
        <w:pStyle w:val="P68B1DB1-Normal4"/>
        <w:keepNext/>
        <w:numPr>
          <w:ilvl w:val="0"/>
          <w:numId w:val="23"/>
        </w:numPr>
        <w:spacing w:before="40" w:after="160" w:line="259" w:lineRule="auto"/>
        <w:contextualSpacing/>
        <w:jc w:val="both"/>
        <w:rPr>
          <w:rFonts w:eastAsiaTheme="minorEastAsia" w:cs="Times New Roman"/>
          <w:noProof/>
        </w:rPr>
      </w:pPr>
      <w:r>
        <w:rPr>
          <w:noProof/>
        </w:rPr>
        <w:t>Starptautisks tilts pār Sever upi;</w:t>
      </w:r>
    </w:p>
    <w:p w14:paraId="3CA675A9" w14:textId="77777777" w:rsidR="00776A1F" w:rsidRDefault="00D8574B">
      <w:pPr>
        <w:pStyle w:val="P68B1DB1-Normal4"/>
        <w:keepNext/>
        <w:numPr>
          <w:ilvl w:val="0"/>
          <w:numId w:val="23"/>
        </w:numPr>
        <w:spacing w:before="40" w:after="160" w:line="259" w:lineRule="auto"/>
        <w:contextualSpacing/>
        <w:jc w:val="both"/>
        <w:rPr>
          <w:rFonts w:eastAsiaTheme="minorEastAsia" w:cs="Times New Roman"/>
          <w:noProof/>
        </w:rPr>
      </w:pPr>
      <w:r>
        <w:rPr>
          <w:noProof/>
        </w:rPr>
        <w:t>Tilts Alcoutim — Saluncar de Guadiana (Spānija).</w:t>
      </w:r>
    </w:p>
    <w:p w14:paraId="58FCA3D1"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6F257771"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RE-C07–04: Uzņēmējdarbības uzņemšanas zonas — ceļu pieejamība</w:t>
      </w:r>
    </w:p>
    <w:p w14:paraId="0B64272F" w14:textId="77777777" w:rsidR="00776A1F" w:rsidRDefault="00D8574B">
      <w:pPr>
        <w:pStyle w:val="P68B1DB1-Normal4"/>
        <w:keepNext/>
        <w:spacing w:before="40" w:after="0" w:line="259" w:lineRule="auto"/>
        <w:jc w:val="both"/>
        <w:rPr>
          <w:rFonts w:eastAsiaTheme="minorEastAsia" w:cs="Times New Roman"/>
          <w:noProof/>
        </w:rPr>
      </w:pPr>
      <w:r>
        <w:rPr>
          <w:noProof/>
        </w:rPr>
        <w:t>Pasākumu mērķis ir uzlabot uzņēmējdarbības parku konkurētspēju, uzlabojot to ceļu tīkla savienojamību un veicinot lauku apvidu reindustrializāciju.</w:t>
      </w:r>
    </w:p>
    <w:p w14:paraId="1C3FF6B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veido ieguldījumi ceļu infrastruktūras paplašināšanā un modernizācijā. Tas papildina ieguldījumu RE-CCT-C7-I1, kura mērķis ir modernizēt uzņēmējdarbības parkus. </w:t>
      </w:r>
    </w:p>
    <w:p w14:paraId="5CE9812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Paredzams, ka šis pasākums neradīs būtisku kaitējumu vides mērķiem Regulas (ES) 2020/852 17. panta nozīmē, ņemot vērā pasākuma aprakstu un atveseļošanas un noturības plānā izklāstītos riska mazināšanas pasākumus saskaņā ar DNSH tehniskajiem norādījumiem (2021/C58/01). Jo īpaši atbilstību NBK nodrošina ar ieguldījumu C07-I0 (elektrisko transportlīdzekļu uzlādes tīkla paplašināšana) kā papildu pasākumu. Visiem ceļu projektiem, kam varētu būt būtiska negatīva ietekme uz vidi, veic ietekmes uz vidi novērtējumu (IVN) saskaņā ar Direktīvu 2011/92/ES, lai nodrošinātu, ka atbilstība NBK principam tiek integrēta projektā un stingri ievērota infrastruktūras būvniecības, ekspluatācijas un ekspluatācijas pārtraukšanas posmos. </w:t>
      </w:r>
    </w:p>
    <w:p w14:paraId="050BD257" w14:textId="4CB0EAD2" w:rsidR="00776A1F" w:rsidRDefault="00D8574B">
      <w:pPr>
        <w:pStyle w:val="P68B1DB1-Normal4"/>
        <w:keepNext/>
        <w:spacing w:before="40" w:after="0" w:line="259" w:lineRule="auto"/>
        <w:jc w:val="both"/>
        <w:rPr>
          <w:rFonts w:eastAsiaTheme="minorEastAsia" w:cs="Times New Roman"/>
          <w:noProof/>
        </w:rPr>
      </w:pPr>
      <w:r>
        <w:rPr>
          <w:noProof/>
        </w:rPr>
        <w:t>No uzskaitītajiem ceļiem 42 kilometrus būvē vai modernizē:</w:t>
      </w:r>
    </w:p>
    <w:p w14:paraId="3191170B"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Savienojums ar Mundas industriālo parku: ierobežojumu novēršana standartā EN229 Viseu/Sátão; </w:t>
      </w:r>
    </w:p>
    <w:p w14:paraId="262DC6C2"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Savienojums ar Mundas industriālo parku: EN229 — bijušais IP5/Mundão rūpnieciskais parks; </w:t>
      </w:r>
    </w:p>
    <w:p w14:paraId="452EB813"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Riachos industriālās zonas pieejamība; </w:t>
      </w:r>
    </w:p>
    <w:p w14:paraId="2C588233"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IC8 (Ansião) piekļuve Camporês uzņēmējdarbības parkam; </w:t>
      </w:r>
    </w:p>
    <w:p w14:paraId="5A87BB70"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EN10–4: Setúbal/Mitrena; </w:t>
      </w:r>
    </w:p>
    <w:p w14:paraId="242E9A85"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Savienojums ar Fontiscos industriālo parku un Ermida mezgla (Santo Tirso) atjaunošana; </w:t>
      </w:r>
    </w:p>
    <w:p w14:paraId="2AEAAA33"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A8 savienojums ar Palhagueiras industriālo parku Torres Vedras; </w:t>
      </w:r>
    </w:p>
    <w:p w14:paraId="07901DC1"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A11 savienojums ar Cabeça de Porca (Felgueiras) rūpniecības zonu;</w:t>
      </w:r>
    </w:p>
    <w:p w14:paraId="3ED22392"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EN114 savienojums ar Rio Maior rūpniecisko zonu; </w:t>
      </w:r>
    </w:p>
    <w:p w14:paraId="1EAB6332"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Uzlabota piekļuve Lavagueiras uzņēmējdarbības atrašanās vietas teritorijai (Castelo de Paiva); </w:t>
      </w:r>
    </w:p>
    <w:p w14:paraId="30092FC2"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Kampo Maior rūpniecības zonas pieejamības uzlabošana;</w:t>
      </w:r>
    </w:p>
    <w:p w14:paraId="6B7A00F6"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EN248 (Arruda dos Vinhos) apvedceļš; </w:t>
      </w:r>
    </w:p>
    <w:p w14:paraId="4283D541"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Aljustrel apvedceļš — uzlabot piekļuvi derīgo izrakteņu ieguves zonai un darbības vietas teritorijai; </w:t>
      </w:r>
    </w:p>
    <w:p w14:paraId="5698EA11"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Caur EN210 (Celorico de Basto) apvedceļa do Tâmega; </w:t>
      </w:r>
    </w:p>
    <w:p w14:paraId="435864A5"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IC2 savienojums ar Kasarão industriālo parku; </w:t>
      </w:r>
    </w:p>
    <w:p w14:paraId="3119D8F2"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Jauna Rio Lima šķērsošana starp EN203 — Deocriste un EN202 — Nogueira; </w:t>
      </w:r>
    </w:p>
    <w:p w14:paraId="47A48EEF"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Aplis EN246, lai piekļūtu Portalegre rūpnieciskajai zonai; </w:t>
      </w:r>
    </w:p>
    <w:p w14:paraId="0F0C4A8F"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Piekļuve Avepark — Taipas Zinātnes un tehnoloģiju parks (Guimarães); </w:t>
      </w:r>
    </w:p>
    <w:p w14:paraId="6594FA5B" w14:textId="77777777" w:rsidR="00776A1F" w:rsidRDefault="00D8574B">
      <w:pPr>
        <w:pStyle w:val="P68B1DB1-Normal4"/>
        <w:keepNext/>
        <w:numPr>
          <w:ilvl w:val="0"/>
          <w:numId w:val="24"/>
        </w:numPr>
        <w:spacing w:before="40" w:after="160" w:line="259" w:lineRule="auto"/>
        <w:contextualSpacing/>
        <w:jc w:val="both"/>
        <w:rPr>
          <w:rFonts w:eastAsiaTheme="minorEastAsia" w:cs="Times New Roman"/>
          <w:noProof/>
        </w:rPr>
      </w:pPr>
      <w:r>
        <w:rPr>
          <w:noProof/>
        </w:rPr>
        <w:t>Piekļuve Vale do Neiva rūpnieciskajai zonai A28 mezglā.</w:t>
      </w:r>
    </w:p>
    <w:p w14:paraId="1F556DE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529BEBFB"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4B27D11F"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28DDE69"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BF3640">
          <w:headerReference w:type="even" r:id="rId156"/>
          <w:headerReference w:type="default" r:id="rId157"/>
          <w:footerReference w:type="even" r:id="rId158"/>
          <w:footerReference w:type="default" r:id="rId159"/>
          <w:headerReference w:type="first" r:id="rId160"/>
          <w:footerReference w:type="first" r:id="rId161"/>
          <w:type w:val="continuous"/>
          <w:pgSz w:w="11907" w:h="16839" w:code="9"/>
          <w:pgMar w:top="1134" w:right="1134" w:bottom="1134" w:left="1134" w:header="567" w:footer="567" w:gutter="0"/>
          <w:cols w:space="720"/>
          <w:docGrid w:linePitch="360"/>
        </w:sectPr>
      </w:pPr>
    </w:p>
    <w:p w14:paraId="6299134D" w14:textId="7FD7908A" w:rsidR="00776A1F" w:rsidRDefault="00D8574B">
      <w:pPr>
        <w:pStyle w:val="P68B1DB1-Normal3"/>
        <w:spacing w:before="40" w:after="0" w:line="259" w:lineRule="auto"/>
        <w:ind w:left="130" w:firstLine="720"/>
        <w:jc w:val="both"/>
        <w:outlineLvl w:val="2"/>
        <w:rPr>
          <w:rFonts w:eastAsiaTheme="minorEastAsia" w:cs="Times New Roman"/>
          <w:noProof/>
        </w:rPr>
      </w:pPr>
      <w:r>
        <w:rPr>
          <w:noProof/>
        </w:rPr>
        <w:t>G.4. Atskaites punkti, mērķrādītāji, citi rādītāji un aizdevuma uzraudzības un īstenošanas grafiks</w:t>
      </w:r>
    </w:p>
    <w:p w14:paraId="2F2CB9FD" w14:textId="77777777" w:rsidR="00776A1F" w:rsidRDefault="00776A1F">
      <w:pPr>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36A011EF" w14:textId="77777777">
        <w:trPr>
          <w:trHeight w:val="910"/>
          <w:tblHeader/>
        </w:trPr>
        <w:tc>
          <w:tcPr>
            <w:tcW w:w="1135" w:type="dxa"/>
            <w:vMerge w:val="restart"/>
            <w:shd w:val="clear" w:color="auto" w:fill="BDD6EE"/>
            <w:vAlign w:val="center"/>
            <w:hideMark/>
          </w:tcPr>
          <w:p w14:paraId="44FD47D0"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43B8D62C"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24FD2722"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vAlign w:val="center"/>
            <w:hideMark/>
          </w:tcPr>
          <w:p w14:paraId="1ED31254"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2272E53A"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vAlign w:val="center"/>
            <w:hideMark/>
          </w:tcPr>
          <w:p w14:paraId="2CD0AB34"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5C44A828"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50F3DE32"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6E3E0C94" w14:textId="77777777">
        <w:trPr>
          <w:trHeight w:val="470"/>
          <w:tblHeader/>
        </w:trPr>
        <w:tc>
          <w:tcPr>
            <w:tcW w:w="1135" w:type="dxa"/>
            <w:vMerge/>
            <w:vAlign w:val="center"/>
            <w:hideMark/>
          </w:tcPr>
          <w:p w14:paraId="35DCDBA3"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74E2BF93"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39DC4F8E" w14:textId="77777777" w:rsidR="00776A1F" w:rsidRDefault="00776A1F">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3E4DCD1"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0DF81CCA"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02752337"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62D4A070"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vAlign w:val="center"/>
            <w:hideMark/>
          </w:tcPr>
          <w:p w14:paraId="121BD005"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50080670"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5EEBE07C"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1A0FE12C" w14:textId="77777777" w:rsidR="00776A1F" w:rsidRDefault="00776A1F">
            <w:pPr>
              <w:spacing w:after="0" w:line="240" w:lineRule="auto"/>
              <w:rPr>
                <w:rFonts w:ascii="Times New Roman" w:eastAsia="Times New Roman" w:hAnsi="Times New Roman" w:cs="Times New Roman"/>
                <w:b/>
                <w:noProof/>
                <w:sz w:val="18"/>
              </w:rPr>
            </w:pPr>
          </w:p>
        </w:tc>
      </w:tr>
      <w:tr w:rsidR="00776A1F" w14:paraId="59915854" w14:textId="77777777">
        <w:trPr>
          <w:trHeight w:val="503"/>
          <w:tblHeader/>
        </w:trPr>
        <w:tc>
          <w:tcPr>
            <w:tcW w:w="1135" w:type="dxa"/>
            <w:shd w:val="clear" w:color="auto" w:fill="C4EFCE"/>
            <w:vAlign w:val="center"/>
            <w:hideMark/>
          </w:tcPr>
          <w:p w14:paraId="01EFD0C3" w14:textId="77777777" w:rsidR="00776A1F" w:rsidRDefault="00D8574B">
            <w:pPr>
              <w:pStyle w:val="P68B1DB1-Normal7"/>
              <w:spacing w:after="0" w:line="240" w:lineRule="auto"/>
              <w:jc w:val="center"/>
              <w:rPr>
                <w:rFonts w:eastAsia="Times New Roman" w:cs="Calibri"/>
                <w:noProof/>
              </w:rPr>
            </w:pPr>
            <w:r>
              <w:rPr>
                <w:noProof/>
              </w:rPr>
              <w:t>7.9</w:t>
            </w:r>
          </w:p>
        </w:tc>
        <w:tc>
          <w:tcPr>
            <w:tcW w:w="1276" w:type="dxa"/>
            <w:shd w:val="clear" w:color="auto" w:fill="C4EFCE"/>
            <w:noWrap/>
            <w:vAlign w:val="center"/>
            <w:hideMark/>
          </w:tcPr>
          <w:p w14:paraId="68287771" w14:textId="77777777" w:rsidR="00776A1F" w:rsidRDefault="00D8574B">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737B2981"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6F42995" w14:textId="77777777" w:rsidR="00776A1F" w:rsidRDefault="00D8574B">
            <w:pPr>
              <w:pStyle w:val="P68B1DB1-Normal8"/>
              <w:spacing w:after="0" w:line="240" w:lineRule="auto"/>
              <w:jc w:val="center"/>
              <w:rPr>
                <w:rFonts w:eastAsia="Times New Roman" w:cs="Calibri"/>
                <w:noProof/>
              </w:rPr>
            </w:pPr>
            <w:r>
              <w:rPr>
                <w:noProof/>
              </w:rPr>
              <w:t>Pabeigts pirmais ietekmes uz vidi novērtējums</w:t>
            </w:r>
          </w:p>
        </w:tc>
        <w:tc>
          <w:tcPr>
            <w:tcW w:w="1275" w:type="dxa"/>
            <w:shd w:val="clear" w:color="auto" w:fill="C4EFCE"/>
            <w:noWrap/>
            <w:vAlign w:val="center"/>
            <w:hideMark/>
          </w:tcPr>
          <w:p w14:paraId="6FEC0C5F" w14:textId="77777777" w:rsidR="00776A1F" w:rsidRDefault="00D8574B">
            <w:pPr>
              <w:pStyle w:val="P68B1DB1-Normal8"/>
              <w:spacing w:after="0" w:line="240" w:lineRule="auto"/>
              <w:jc w:val="center"/>
              <w:rPr>
                <w:rFonts w:eastAsia="Times New Roman" w:cs="Calibri"/>
                <w:noProof/>
              </w:rPr>
            </w:pPr>
            <w:r>
              <w:rPr>
                <w:noProof/>
              </w:rPr>
              <w:t>Ietekmes uz vidi novērtējuma pabeigšana</w:t>
            </w:r>
          </w:p>
        </w:tc>
        <w:tc>
          <w:tcPr>
            <w:tcW w:w="993" w:type="dxa"/>
            <w:shd w:val="clear" w:color="auto" w:fill="C4EFCE"/>
            <w:noWrap/>
            <w:vAlign w:val="center"/>
            <w:hideMark/>
          </w:tcPr>
          <w:p w14:paraId="4DA39125"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704235E"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4CD8858"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F45E7A"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58D9453C"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242039D" w14:textId="77777777" w:rsidR="00776A1F" w:rsidRDefault="00D8574B">
            <w:pPr>
              <w:pStyle w:val="P68B1DB1-Normal8"/>
              <w:spacing w:after="0" w:line="240" w:lineRule="auto"/>
              <w:jc w:val="both"/>
              <w:rPr>
                <w:rFonts w:eastAsia="Times New Roman" w:cs="Calibri"/>
                <w:noProof/>
              </w:rPr>
            </w:pPr>
            <w:r>
              <w:rPr>
                <w:noProof/>
              </w:rPr>
              <w:t>Ir pabeigts viena autoceļa projekta ietekmes uz vidi novērtējums.</w:t>
            </w:r>
          </w:p>
        </w:tc>
      </w:tr>
      <w:tr w:rsidR="00776A1F" w14:paraId="18BA168D" w14:textId="77777777">
        <w:trPr>
          <w:trHeight w:val="420"/>
          <w:tblHeader/>
        </w:trPr>
        <w:tc>
          <w:tcPr>
            <w:tcW w:w="1135" w:type="dxa"/>
            <w:shd w:val="clear" w:color="auto" w:fill="C4EFCE"/>
            <w:vAlign w:val="center"/>
            <w:hideMark/>
          </w:tcPr>
          <w:p w14:paraId="37F6747E" w14:textId="77777777" w:rsidR="00776A1F" w:rsidRDefault="00D8574B">
            <w:pPr>
              <w:pStyle w:val="P68B1DB1-Normal7"/>
              <w:spacing w:after="0" w:line="240" w:lineRule="auto"/>
              <w:jc w:val="center"/>
              <w:rPr>
                <w:rFonts w:eastAsia="Times New Roman" w:cs="Calibri"/>
                <w:noProof/>
              </w:rPr>
            </w:pPr>
            <w:r>
              <w:rPr>
                <w:noProof/>
              </w:rPr>
              <w:t>7.10</w:t>
            </w:r>
          </w:p>
        </w:tc>
        <w:tc>
          <w:tcPr>
            <w:tcW w:w="1276" w:type="dxa"/>
            <w:shd w:val="clear" w:color="auto" w:fill="C4EFCE"/>
            <w:noWrap/>
            <w:vAlign w:val="center"/>
            <w:hideMark/>
          </w:tcPr>
          <w:p w14:paraId="04DFE7C9" w14:textId="77777777" w:rsidR="00776A1F" w:rsidRDefault="00D8574B">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1CCBAD9D"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D01E3A" w14:textId="77777777" w:rsidR="00776A1F" w:rsidRDefault="00D8574B">
            <w:pPr>
              <w:pStyle w:val="P68B1DB1-Normal8"/>
              <w:spacing w:after="0" w:line="240" w:lineRule="auto"/>
              <w:jc w:val="center"/>
              <w:rPr>
                <w:rFonts w:eastAsia="Times New Roman" w:cs="Calibri"/>
                <w:noProof/>
              </w:rPr>
            </w:pPr>
            <w:r>
              <w:rPr>
                <w:noProof/>
              </w:rPr>
              <w:t>Uzbūvētie vai atjaunotie ceļi</w:t>
            </w:r>
          </w:p>
        </w:tc>
        <w:tc>
          <w:tcPr>
            <w:tcW w:w="1275" w:type="dxa"/>
            <w:shd w:val="clear" w:color="auto" w:fill="C4EFCE"/>
            <w:noWrap/>
            <w:vAlign w:val="center"/>
            <w:hideMark/>
          </w:tcPr>
          <w:p w14:paraId="672467C4"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ADBC17"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shd w:val="clear" w:color="auto" w:fill="C4EFCE"/>
            <w:noWrap/>
            <w:vAlign w:val="center"/>
            <w:hideMark/>
          </w:tcPr>
          <w:p w14:paraId="7615C227"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BC63F7D" w14:textId="77777777" w:rsidR="00776A1F" w:rsidRDefault="00D8574B">
            <w:pPr>
              <w:pStyle w:val="P68B1DB1-Normal8"/>
              <w:spacing w:after="0" w:line="240" w:lineRule="auto"/>
              <w:jc w:val="center"/>
              <w:rPr>
                <w:rFonts w:eastAsia="Times New Roman" w:cs="Calibri"/>
                <w:noProof/>
              </w:rPr>
            </w:pPr>
            <w:r>
              <w:rPr>
                <w:noProof/>
              </w:rPr>
              <w:t>30</w:t>
            </w:r>
          </w:p>
        </w:tc>
        <w:tc>
          <w:tcPr>
            <w:tcW w:w="567" w:type="dxa"/>
            <w:shd w:val="clear" w:color="auto" w:fill="C4EFCE"/>
            <w:noWrap/>
            <w:vAlign w:val="center"/>
            <w:hideMark/>
          </w:tcPr>
          <w:p w14:paraId="3F7E78D9"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1EEFFE2"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8DB863F" w14:textId="77777777" w:rsidR="00776A1F" w:rsidRDefault="00D8574B">
            <w:pPr>
              <w:pStyle w:val="P68B1DB1-Normal8"/>
              <w:spacing w:after="0" w:line="240" w:lineRule="auto"/>
              <w:jc w:val="both"/>
              <w:rPr>
                <w:rFonts w:eastAsia="Times New Roman" w:cs="Calibri"/>
                <w:noProof/>
              </w:rPr>
            </w:pPr>
            <w:r>
              <w:rPr>
                <w:noProof/>
              </w:rPr>
              <w:t>Km ceļu, kas uzbūvēti vai atjaunoti saskaņā ar konkursa tehniskajām specifikācijām un kuros pilnībā iekļauti visi ietekmes uz vidi novērtējuma rezultāti un nosacījumi.</w:t>
            </w:r>
          </w:p>
        </w:tc>
      </w:tr>
      <w:tr w:rsidR="00776A1F" w14:paraId="5BBC378C" w14:textId="77777777">
        <w:trPr>
          <w:trHeight w:val="420"/>
          <w:tblHeader/>
        </w:trPr>
        <w:tc>
          <w:tcPr>
            <w:tcW w:w="1135" w:type="dxa"/>
            <w:shd w:val="clear" w:color="auto" w:fill="C4EFCE"/>
            <w:vAlign w:val="center"/>
            <w:hideMark/>
          </w:tcPr>
          <w:p w14:paraId="35FFD5D9" w14:textId="77777777" w:rsidR="00776A1F" w:rsidRDefault="00D8574B">
            <w:pPr>
              <w:pStyle w:val="P68B1DB1-Normal7"/>
              <w:spacing w:after="0" w:line="240" w:lineRule="auto"/>
              <w:jc w:val="center"/>
              <w:rPr>
                <w:rFonts w:eastAsia="Times New Roman" w:cs="Calibri"/>
                <w:noProof/>
              </w:rPr>
            </w:pPr>
            <w:r>
              <w:rPr>
                <w:noProof/>
              </w:rPr>
              <w:t>7.11</w:t>
            </w:r>
          </w:p>
        </w:tc>
        <w:tc>
          <w:tcPr>
            <w:tcW w:w="1276" w:type="dxa"/>
            <w:shd w:val="clear" w:color="auto" w:fill="C4EFCE"/>
            <w:noWrap/>
            <w:vAlign w:val="center"/>
            <w:hideMark/>
          </w:tcPr>
          <w:p w14:paraId="32BBA945" w14:textId="77777777" w:rsidR="00776A1F" w:rsidRDefault="00D8574B">
            <w:pPr>
              <w:pStyle w:val="P68B1DB1-Normal8"/>
              <w:spacing w:after="0" w:line="240" w:lineRule="auto"/>
              <w:jc w:val="center"/>
              <w:rPr>
                <w:rFonts w:eastAsia="Times New Roman" w:cs="Calibri"/>
                <w:noProof/>
              </w:rPr>
            </w:pPr>
            <w:r>
              <w:rPr>
                <w:noProof/>
              </w:rPr>
              <w:t>Re-C07-i04</w:t>
            </w:r>
          </w:p>
        </w:tc>
        <w:tc>
          <w:tcPr>
            <w:tcW w:w="1134" w:type="dxa"/>
            <w:shd w:val="clear" w:color="auto" w:fill="C4EFCE"/>
            <w:noWrap/>
            <w:vAlign w:val="center"/>
            <w:hideMark/>
          </w:tcPr>
          <w:p w14:paraId="645981D3"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D6599C" w14:textId="77777777" w:rsidR="00776A1F" w:rsidRDefault="00D8574B">
            <w:pPr>
              <w:pStyle w:val="P68B1DB1-Normal8"/>
              <w:spacing w:after="0" w:line="240" w:lineRule="auto"/>
              <w:jc w:val="center"/>
              <w:rPr>
                <w:rFonts w:eastAsia="Times New Roman" w:cs="Calibri"/>
                <w:noProof/>
              </w:rPr>
            </w:pPr>
            <w:r>
              <w:rPr>
                <w:noProof/>
              </w:rPr>
              <w:t>Parakstīts līgums par 10 ceļu projektiem</w:t>
            </w:r>
          </w:p>
        </w:tc>
        <w:tc>
          <w:tcPr>
            <w:tcW w:w="1275" w:type="dxa"/>
            <w:shd w:val="clear" w:color="auto" w:fill="C4EFCE"/>
            <w:noWrap/>
            <w:vAlign w:val="center"/>
            <w:hideMark/>
          </w:tcPr>
          <w:p w14:paraId="3238AD55" w14:textId="77777777" w:rsidR="00776A1F" w:rsidRDefault="00D8574B">
            <w:pPr>
              <w:pStyle w:val="P68B1DB1-Normal8"/>
              <w:spacing w:after="0" w:line="240" w:lineRule="auto"/>
              <w:jc w:val="center"/>
              <w:rPr>
                <w:rFonts w:eastAsia="Times New Roman" w:cs="Calibri"/>
                <w:noProof/>
              </w:rPr>
            </w:pPr>
            <w:r>
              <w:rPr>
                <w:noProof/>
              </w:rPr>
              <w:t>Līgums, kas parakstīts ar darbuzņēmēju par ceļu projektiem</w:t>
            </w:r>
          </w:p>
        </w:tc>
        <w:tc>
          <w:tcPr>
            <w:tcW w:w="993" w:type="dxa"/>
            <w:shd w:val="clear" w:color="auto" w:fill="C4EFCE"/>
            <w:noWrap/>
            <w:vAlign w:val="center"/>
            <w:hideMark/>
          </w:tcPr>
          <w:p w14:paraId="435E72CA"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9669237"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F0411DD"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A2E0282" w14:textId="77777777"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42230A0C" w14:textId="77777777" w:rsidR="00776A1F" w:rsidRDefault="00D8574B">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55453983" w14:textId="77777777" w:rsidR="00776A1F" w:rsidRDefault="00D8574B">
            <w:pPr>
              <w:pStyle w:val="P68B1DB1-Normal8"/>
              <w:spacing w:after="0" w:line="240" w:lineRule="auto"/>
              <w:jc w:val="both"/>
              <w:rPr>
                <w:rFonts w:eastAsia="Times New Roman" w:cs="Calibri"/>
                <w:noProof/>
              </w:rPr>
            </w:pPr>
            <w:r>
              <w:rPr>
                <w:noProof/>
              </w:rPr>
              <w:t>Puses paraksta dokumentu, kas reglamentē to pienākumus attiecībā uz būvdarbu izpildi par cenu pēc atklāta konkursa.</w:t>
            </w:r>
          </w:p>
        </w:tc>
      </w:tr>
      <w:tr w:rsidR="00776A1F" w14:paraId="10AD745D" w14:textId="77777777">
        <w:trPr>
          <w:trHeight w:val="420"/>
          <w:tblHeader/>
        </w:trPr>
        <w:tc>
          <w:tcPr>
            <w:tcW w:w="1135" w:type="dxa"/>
            <w:shd w:val="clear" w:color="auto" w:fill="C4EFCE"/>
            <w:vAlign w:val="center"/>
            <w:hideMark/>
          </w:tcPr>
          <w:p w14:paraId="5EABD158" w14:textId="77777777" w:rsidR="00776A1F" w:rsidRDefault="00D8574B">
            <w:pPr>
              <w:pStyle w:val="P68B1DB1-Normal7"/>
              <w:spacing w:after="0" w:line="240" w:lineRule="auto"/>
              <w:jc w:val="center"/>
              <w:rPr>
                <w:rFonts w:eastAsia="Times New Roman" w:cs="Calibri"/>
                <w:noProof/>
              </w:rPr>
            </w:pPr>
            <w:r>
              <w:rPr>
                <w:noProof/>
              </w:rPr>
              <w:t>7.12</w:t>
            </w:r>
          </w:p>
        </w:tc>
        <w:tc>
          <w:tcPr>
            <w:tcW w:w="1276" w:type="dxa"/>
            <w:shd w:val="clear" w:color="auto" w:fill="C4EFCE"/>
            <w:noWrap/>
            <w:vAlign w:val="center"/>
            <w:hideMark/>
          </w:tcPr>
          <w:p w14:paraId="008B14DC" w14:textId="77777777" w:rsidR="00776A1F" w:rsidRDefault="00D8574B">
            <w:pPr>
              <w:pStyle w:val="P68B1DB1-Normal8"/>
              <w:spacing w:after="0" w:line="240" w:lineRule="auto"/>
              <w:jc w:val="center"/>
              <w:rPr>
                <w:rFonts w:eastAsia="Times New Roman" w:cs="Calibri"/>
                <w:noProof/>
              </w:rPr>
            </w:pPr>
            <w:r>
              <w:rPr>
                <w:noProof/>
              </w:rPr>
              <w:t>Re-C07-i04</w:t>
            </w:r>
          </w:p>
        </w:tc>
        <w:tc>
          <w:tcPr>
            <w:tcW w:w="1134" w:type="dxa"/>
            <w:shd w:val="clear" w:color="auto" w:fill="C4EFCE"/>
            <w:noWrap/>
            <w:vAlign w:val="center"/>
            <w:hideMark/>
          </w:tcPr>
          <w:p w14:paraId="72ABE102"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6E4068F" w14:textId="77777777" w:rsidR="00776A1F" w:rsidRDefault="00D8574B">
            <w:pPr>
              <w:pStyle w:val="P68B1DB1-Normal8"/>
              <w:spacing w:after="0" w:line="240" w:lineRule="auto"/>
              <w:jc w:val="center"/>
              <w:rPr>
                <w:rFonts w:eastAsia="Times New Roman" w:cs="Calibri"/>
                <w:noProof/>
              </w:rPr>
            </w:pPr>
            <w:r>
              <w:rPr>
                <w:noProof/>
              </w:rPr>
              <w:t>Uzbūvētie vai atjaunotie ceļi</w:t>
            </w:r>
          </w:p>
        </w:tc>
        <w:tc>
          <w:tcPr>
            <w:tcW w:w="1275" w:type="dxa"/>
            <w:shd w:val="clear" w:color="auto" w:fill="C4EFCE"/>
            <w:noWrap/>
            <w:vAlign w:val="center"/>
            <w:hideMark/>
          </w:tcPr>
          <w:p w14:paraId="34DC727E"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8211DC0"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shd w:val="clear" w:color="auto" w:fill="C4EFCE"/>
            <w:noWrap/>
            <w:vAlign w:val="center"/>
            <w:hideMark/>
          </w:tcPr>
          <w:p w14:paraId="797EF748"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6E18FA0" w14:textId="77777777" w:rsidR="00776A1F" w:rsidRDefault="00D8574B">
            <w:pPr>
              <w:pStyle w:val="P68B1DB1-Normal8"/>
              <w:spacing w:after="0" w:line="240" w:lineRule="auto"/>
              <w:jc w:val="center"/>
              <w:rPr>
                <w:rFonts w:eastAsia="Times New Roman" w:cs="Calibri"/>
                <w:noProof/>
              </w:rPr>
            </w:pPr>
            <w:r>
              <w:rPr>
                <w:noProof/>
              </w:rPr>
              <w:t>42</w:t>
            </w:r>
          </w:p>
        </w:tc>
        <w:tc>
          <w:tcPr>
            <w:tcW w:w="567" w:type="dxa"/>
            <w:shd w:val="clear" w:color="auto" w:fill="C4EFCE"/>
            <w:noWrap/>
            <w:vAlign w:val="center"/>
            <w:hideMark/>
          </w:tcPr>
          <w:p w14:paraId="664FBA60"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BADD922"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6FA22C" w14:textId="77777777" w:rsidR="00776A1F" w:rsidRDefault="00D8574B">
            <w:pPr>
              <w:pStyle w:val="P68B1DB1-Normal8"/>
              <w:spacing w:after="0" w:line="240" w:lineRule="auto"/>
              <w:jc w:val="both"/>
              <w:rPr>
                <w:rFonts w:eastAsia="Times New Roman" w:cs="Calibri"/>
                <w:noProof/>
              </w:rPr>
            </w:pPr>
            <w:r>
              <w:rPr>
                <w:noProof/>
              </w:rPr>
              <w:t>Km ceļu, kas uzbūvēti vai atjaunoti saskaņā ar konkursa tehniskajām specifikācijām un kuros pilnībā iekļauti visi ietekmes uz vidi novērtējuma rezultāti un nosacījumi.</w:t>
            </w:r>
          </w:p>
        </w:tc>
      </w:tr>
    </w:tbl>
    <w:p w14:paraId="7B849270" w14:textId="77777777" w:rsidR="00776A1F" w:rsidRDefault="00776A1F">
      <w:pPr>
        <w:spacing w:before="40" w:after="0" w:line="259" w:lineRule="auto"/>
        <w:jc w:val="both"/>
        <w:rPr>
          <w:rFonts w:ascii="Times New Roman" w:eastAsiaTheme="minorEastAsia" w:hAnsi="Times New Roman" w:cs="Times New Roman"/>
          <w:noProof/>
          <w:sz w:val="24"/>
        </w:rPr>
      </w:pPr>
    </w:p>
    <w:p w14:paraId="29354AB7" w14:textId="77777777" w:rsidR="00776A1F" w:rsidRDefault="00776A1F">
      <w:pPr>
        <w:spacing w:before="40" w:after="0" w:line="259" w:lineRule="auto"/>
        <w:jc w:val="both"/>
        <w:rPr>
          <w:rFonts w:ascii="Times New Roman" w:eastAsiaTheme="minorEastAsia" w:hAnsi="Times New Roman" w:cs="Times New Roman"/>
          <w:noProof/>
          <w:sz w:val="24"/>
        </w:rPr>
      </w:pPr>
    </w:p>
    <w:p w14:paraId="179A26C8" w14:textId="77777777" w:rsidR="00776A1F" w:rsidRDefault="00776A1F">
      <w:pPr>
        <w:spacing w:before="40" w:after="0" w:line="259" w:lineRule="auto"/>
        <w:jc w:val="both"/>
        <w:rPr>
          <w:rFonts w:ascii="Times New Roman" w:eastAsiaTheme="minorEastAsia" w:hAnsi="Times New Roman" w:cs="Times New Roman"/>
          <w:noProof/>
          <w:sz w:val="24"/>
        </w:rPr>
        <w:sectPr w:rsidR="00776A1F" w:rsidSect="00FD562E">
          <w:headerReference w:type="even" r:id="rId162"/>
          <w:headerReference w:type="default" r:id="rId163"/>
          <w:footerReference w:type="even" r:id="rId164"/>
          <w:footerReference w:type="default" r:id="rId165"/>
          <w:headerReference w:type="first" r:id="rId166"/>
          <w:footerReference w:type="first" r:id="rId167"/>
          <w:pgSz w:w="16839" w:h="11907" w:orient="landscape"/>
          <w:pgMar w:top="1134" w:right="1134" w:bottom="1134" w:left="1134" w:header="567" w:footer="567" w:gutter="0"/>
          <w:cols w:space="720"/>
          <w:docGrid w:linePitch="360"/>
        </w:sectPr>
      </w:pPr>
    </w:p>
    <w:p w14:paraId="77E856F9" w14:textId="214EB4BC"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H. 8. SASTĀVDAĻA: Meži</w:t>
      </w:r>
    </w:p>
    <w:p w14:paraId="275D788F"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Komponents risina šādas problēmas: sociālekonomiskā un demogrāfiskā lejupslīde lauku apvidos, tādu ekstensīvu teritoriju pastāvēšana, kurās nav aktīvas apsaimniekošanas, lai novērstu ugunsgrēkus vai aizsargātu bioloģisko daudzveidību, un zemes privātīpašums ir ļoti sadrumstalots. Iedzīvotāju aizplūšana uz lielākajiem pilsētu centriem un pakāpeniska lauku iedzīvotāju novecošana ir izraisījusi lauku teritoriju un tradicionālo primāro ekonomikas nozaru pamešanu. Tas noveda pie meža platību pakāpeniskas paplašināšanas, neplānotas un nepārvaldītas, kā arī ar augstu degvielas slodzes koncentrāciju. Šie apgabali ir lielā mērā pakļauti ugunsgrēku riskam laukos, kas var izraisīt cilvēku dzīvību zaudēšanu, lielu kaitējumu zemei un īpašumam, kā arī mežu un to radīto preču un pakalpojumu iznīcināšanu. Portugāle ir Dienvideiropas valsts ar vislielāko izdegušo teritoriju īpatsvaru lauku teritorijās un vislielāko vidējo ugunsgrēku skaitu. Saskaņā ar Eiropas Meža ugunsgrēku informācijas sistēmu (EFFIS) laikposmā no 2015. līdz 2019. gadam vidēji gadā tika sadedzināti aptuveni 169000 hektāru. </w:t>
      </w:r>
    </w:p>
    <w:p w14:paraId="47E6C138"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komponenta mērķi ir šādi: </w:t>
      </w:r>
    </w:p>
    <w:p w14:paraId="7A8F4ED1" w14:textId="6664DD94"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veicināt neaizsargātu un videi augstvērtīgas lauksaimniecības un mežsaimniecības zemes aktīvu plānošanu un apsaimniekošanu; </w:t>
      </w:r>
    </w:p>
    <w:p w14:paraId="66CFA115"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aizsargāt bioloģisko daudzveidību, atbalstot lauksaimniecības un mežsaimniecības ekosistēmu atjaunošanu, jo īpaši izdegušās teritorijās; </w:t>
      </w:r>
    </w:p>
    <w:p w14:paraId="466397E4"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veicināt teritoriālo kohēziju un darbvietu radīšanu, atdzīvinot lauku teritoriju saimniecisko darbību; un </w:t>
      </w:r>
    </w:p>
    <w:p w14:paraId="75C6E9EE" w14:textId="77777777" w:rsidR="00776A1F" w:rsidRDefault="00D8574B">
      <w:pPr>
        <w:pStyle w:val="P68B1DB1-Normal4"/>
        <w:keepNext/>
        <w:numPr>
          <w:ilvl w:val="0"/>
          <w:numId w:val="25"/>
        </w:numPr>
        <w:spacing w:before="40" w:after="160" w:line="259" w:lineRule="auto"/>
        <w:contextualSpacing/>
        <w:jc w:val="both"/>
        <w:rPr>
          <w:rFonts w:eastAsiaTheme="minorEastAsia" w:cs="Times New Roman"/>
          <w:noProof/>
        </w:rPr>
      </w:pPr>
      <w:r>
        <w:rPr>
          <w:noProof/>
        </w:rPr>
        <w:t>palielināt šo teritoriju noturību, samazinot ugunsgrēku risku, izmantojot efektīvu un lietderīgu ugunsgrēku novēršanu un ugunsgrēka gadījumā samazinot postījumus, izmantojot efektīvu un lietderīgu ugunsdzēšanu.</w:t>
      </w:r>
    </w:p>
    <w:p w14:paraId="6B094313" w14:textId="77777777" w:rsidR="00776A1F" w:rsidRDefault="00D8574B">
      <w:pPr>
        <w:pStyle w:val="P68B1DB1-Normal4"/>
        <w:keepNext/>
        <w:spacing w:before="40" w:after="0" w:line="259" w:lineRule="auto"/>
        <w:jc w:val="both"/>
        <w:rPr>
          <w:rFonts w:eastAsiaTheme="minorEastAsia" w:cs="Times New Roman"/>
          <w:noProof/>
        </w:rPr>
      </w:pPr>
      <w:r>
        <w:rPr>
          <w:noProof/>
        </w:rPr>
        <w:t>Komponents palīdz īstenot konkrētai valstij adresēto ieteikumu par publisko finanšu kvalitātes uzlabošanu, par prioritāti nosakot izaugsmi veicinošus izdevumus (Valsts īpašais ieteikums Nr. 1 2019). Publiskie izdevumi, kas saistīti ar lauku īpašumu reģistra uzlabošanu, veicinātu to pienācīgu pārvaldību un, iespējams, padarītu dinamiskāku saimniecisko darbību lauku apvidos. Turklāt komponents būtiski palīdz īstenot konkrētām valstīm adresētos ieteikumus par investīciju koncentrēšanu uz zaļo un digitālo pārkārtošanos, ņemot vērā reģionālās atšķirības (konkrētais ieteikums Nr. 3 2019 un konkrētai valstij adresētais ieteikums Nr. 3 2020).</w:t>
      </w:r>
    </w:p>
    <w:p w14:paraId="5D5F143B" w14:textId="77777777" w:rsidR="00776A1F" w:rsidRDefault="00D8574B">
      <w:pPr>
        <w:pStyle w:val="P68B1DB1-Normal4"/>
        <w:keepNext/>
        <w:spacing w:before="40" w:after="0" w:line="259" w:lineRule="auto"/>
        <w:jc w:val="both"/>
        <w:rPr>
          <w:rFonts w:eastAsiaTheme="minorEastAsia" w:cs="Times New Roman"/>
          <w:noProof/>
        </w:rPr>
      </w:pPr>
      <w:r>
        <w:rPr>
          <w:noProof/>
        </w:rPr>
        <w:t>Paredzams, ka šis komponents veicinās gan zaļo, gan digitālo pārkārtošanos. Attiecībā uz zaļo dimensiju — komponents tieši veicina pielāgošanos klimata pārmaiņām, jo tā mērķis ir palielināt lauku teritoriju noturību pret ugunsgrēkiem. Turklāt šo teritoriju aktīva ilgtspējīga apsaimniekošana palīdz novērst augsnes eroziju, kontrolēt invazīvas sugas un kaitēkļus un mežu oglekļa sekvestrēšanu. Visbeidzot, attiecībā uz digitālo dimensiju ir izcelti plānotie pasākumi attiecībā uz zemes īpašumtiesību kadastra sistēmu, zemes pārklājuma uzraudzības sistēmu (SMOS), tostarp LiDAR (gaismas konstatēšanu un nobraukšanu) un augstas izšķirtspējas satelītattēliem, jo tie veicina e-pārvaldi un digitālos publiskos pakalpojumus.</w:t>
      </w:r>
    </w:p>
    <w:p w14:paraId="2397FDAB" w14:textId="5B73F43F" w:rsidR="00776A1F" w:rsidRDefault="00D8574B">
      <w:pPr>
        <w:pStyle w:val="P68B1DB1-Normal4"/>
        <w:keepNext/>
        <w:spacing w:before="40" w:after="0" w:line="259" w:lineRule="auto"/>
        <w:jc w:val="both"/>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0A6E08A8" w14:textId="3A4EBA7F" w:rsidR="00776A1F" w:rsidRDefault="00776A1F">
      <w:pPr>
        <w:keepNext/>
        <w:spacing w:before="40" w:after="0" w:line="259" w:lineRule="auto"/>
        <w:jc w:val="both"/>
        <w:rPr>
          <w:rFonts w:ascii="Times New Roman" w:eastAsiaTheme="minorEastAsia" w:hAnsi="Times New Roman" w:cs="Times New Roman"/>
          <w:noProof/>
          <w:sz w:val="24"/>
        </w:rPr>
      </w:pPr>
    </w:p>
    <w:p w14:paraId="79556D14" w14:textId="5D469B64" w:rsidR="00776A1F" w:rsidRDefault="00776A1F">
      <w:pPr>
        <w:keepNext/>
        <w:spacing w:before="40" w:after="0" w:line="259" w:lineRule="auto"/>
        <w:jc w:val="both"/>
        <w:rPr>
          <w:rFonts w:ascii="Times New Roman" w:eastAsiaTheme="minorEastAsia" w:hAnsi="Times New Roman" w:cs="Times New Roman"/>
          <w:noProof/>
          <w:sz w:val="24"/>
        </w:rPr>
      </w:pPr>
    </w:p>
    <w:p w14:paraId="78C4205E"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18EB419F"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14412298"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H.1. Neatmaksājamam finansiālajam atbalstam pieteikto reformu un investīciju apraksts</w:t>
      </w:r>
    </w:p>
    <w:p w14:paraId="21D8CCAE"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 xml:space="preserve">Reforma RE-r19: Ainavas pārveide neaizsargātās meža teritorijās </w:t>
      </w:r>
    </w:p>
    <w:p w14:paraId="1530F02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pārveidot neaizsargātu meža teritoriju ainavu ar ekstensīvām nepārvaldītām monokultūrām un augstu ugunsgrēku risku, lai novērstu ugunsgrēkus lauku apvidos un palielinātu klimatnoturību un ekonomisko noturību. </w:t>
      </w:r>
    </w:p>
    <w:p w14:paraId="117AB455"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Šo reformu īsteno, izmantojot ieguldījumu RE-C08-i01 (Landscape Transformation in Vuliousable Forest Areas). Reformu veido četri pasākumi, kas viens otru papildina un ir izklāstīti turpmāk. </w:t>
      </w:r>
    </w:p>
    <w:p w14:paraId="2B64ED62" w14:textId="2E148AA3" w:rsidR="00776A1F" w:rsidRDefault="00D8574B">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plānošanas un pārvaldības programmas (PRGP); </w:t>
      </w:r>
    </w:p>
    <w:p w14:paraId="59F38D89" w14:textId="240A2AF0" w:rsidR="00776A1F" w:rsidRDefault="00D8574B">
      <w:pPr>
        <w:pStyle w:val="P68B1DB1-Normal4"/>
        <w:keepNext/>
        <w:numPr>
          <w:ilvl w:val="0"/>
          <w:numId w:val="26"/>
        </w:numPr>
        <w:spacing w:before="40" w:after="160" w:line="259" w:lineRule="auto"/>
        <w:contextualSpacing/>
        <w:jc w:val="both"/>
        <w:rPr>
          <w:rFonts w:eastAsiaTheme="minorEastAsia" w:cs="Times New Roman"/>
          <w:noProof/>
        </w:rPr>
      </w:pPr>
      <w:r>
        <w:rPr>
          <w:noProof/>
        </w:rPr>
        <w:t>integrētās ainavu pārvaldības teritorija (AIGP);</w:t>
      </w:r>
    </w:p>
    <w:p w14:paraId="6F899ECD" w14:textId="77777777" w:rsidR="00776A1F" w:rsidRDefault="00D8574B">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integrēta atbalsta programma lauku ciematiem, kas atrodas meža teritorijās (ciematu apdzīvotā kopiena); un </w:t>
      </w:r>
    </w:p>
    <w:p w14:paraId="0D9E1D1B" w14:textId="77777777" w:rsidR="00776A1F" w:rsidRDefault="00D8574B">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Emparcelar </w:t>
      </w:r>
      <w:r>
        <w:rPr>
          <w:i/>
          <w:noProof/>
        </w:rPr>
        <w:t>para Ordenar</w:t>
      </w:r>
      <w:r>
        <w:rPr>
          <w:noProof/>
        </w:rPr>
        <w:t xml:space="preserve"> programma. </w:t>
      </w:r>
    </w:p>
    <w:p w14:paraId="05CF4764" w14:textId="77777777" w:rsidR="00776A1F" w:rsidRDefault="00D8574B">
      <w:pPr>
        <w:pStyle w:val="P68B1DB1-Normal4"/>
        <w:keepNext/>
        <w:spacing w:before="40" w:after="0" w:line="259" w:lineRule="auto"/>
        <w:jc w:val="both"/>
        <w:rPr>
          <w:rFonts w:eastAsiaTheme="minorEastAsia" w:cs="Times New Roman"/>
          <w:noProof/>
        </w:rPr>
      </w:pPr>
      <w:r>
        <w:rPr>
          <w:noProof/>
        </w:rPr>
        <w:t>Reforma balstās uz ainavu pārveides programmu (Programma</w:t>
      </w:r>
      <w:r>
        <w:rPr>
          <w:i/>
          <w:noProof/>
        </w:rPr>
        <w:t>de Transformação da paisagem -</w:t>
      </w:r>
      <w:r>
        <w:rPr>
          <w:noProof/>
        </w:rPr>
        <w:t xml:space="preserve"> PTP) un atbalsta to ar nepieciešamo tiesisko regulējumu. Šis tiesiskais regulējums ietver vismaz tiesību aktus par ainavu pārveidošanu, izmantojot ainavu plānošanas un apsaimniekošanas programmas (PRGP) un integrētās ainavu apsaimniekošanas teritorijas (AIGP), tiesību aktus, kuru mērķis ir apstiprināt tādu jutīgu teritoriju norobežošanu, uz kurām var attiekties ainavu plānošanas un apsaimniekošanas programmas un integrētās ainavu apsaimniekošanas teritorijas, un tiesību aktus par lauku zemes obligātu lietošanu mežsaimniecības teritorijās.</w:t>
      </w:r>
    </w:p>
    <w:p w14:paraId="7BF26BBD" w14:textId="77777777" w:rsidR="00776A1F" w:rsidRDefault="00D8574B">
      <w:pPr>
        <w:pStyle w:val="P68B1DB1-Normal4"/>
        <w:keepNext/>
        <w:spacing w:after="0" w:line="259" w:lineRule="auto"/>
        <w:jc w:val="both"/>
        <w:rPr>
          <w:rFonts w:eastAsiaTheme="minorEastAsia" w:cs="Times New Roman"/>
          <w:noProof/>
        </w:rPr>
      </w:pPr>
      <w:r>
        <w:rPr>
          <w:noProof/>
        </w:rPr>
        <w:t xml:space="preserve">Reformas īstenošanu pabeidz līdz 2021. gada 30. septembrim. </w:t>
      </w:r>
    </w:p>
    <w:p w14:paraId="1E1C3C81"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RE-r20: Zemes īpašuma reģistra sistēmas un zemes seguma uzraudzības sistēmas reorganizācija</w:t>
      </w:r>
    </w:p>
    <w:p w14:paraId="3C49EAAB" w14:textId="77777777" w:rsidR="00776A1F" w:rsidRDefault="00D8574B">
      <w:pPr>
        <w:pStyle w:val="P68B1DB1-Normal4"/>
        <w:keepNext/>
        <w:spacing w:before="40" w:after="0" w:line="259" w:lineRule="auto"/>
        <w:jc w:val="both"/>
        <w:rPr>
          <w:rFonts w:eastAsiaTheme="minorEastAsia" w:cs="Times New Roman"/>
          <w:noProof/>
        </w:rPr>
      </w:pPr>
      <w:r>
        <w:rPr>
          <w:noProof/>
        </w:rPr>
        <w:t>Šā pasākuma mērķis ir novērst daudzfunkcionāla zemes reģistra trūkumu, ieviešot un izstrādājot sistēmu zemes īpašumtiesību robežu identificēšanai un pārbaudei un vēlākai zemes īpašumtiesību reģistrēšanai. Tas ļauj gūt saskaņotu, aktuālu un visaptverošu skatījumu uz teritoriju, kas palielina zemes vērtību tās īpašniekiem un ļauj valstij izstrādāt konkrētu, ilgtspējīgu un daudznozaru sabiedrisko politiku.</w:t>
      </w:r>
    </w:p>
    <w:p w14:paraId="7ABC78BC" w14:textId="760D1E29" w:rsidR="00776A1F" w:rsidRDefault="00D8574B">
      <w:pPr>
        <w:pStyle w:val="P68B1DB1-Normal4"/>
        <w:keepNext/>
        <w:spacing w:before="40" w:after="0" w:line="259" w:lineRule="auto"/>
        <w:jc w:val="both"/>
        <w:rPr>
          <w:rFonts w:eastAsiaTheme="minorEastAsia" w:cs="Times New Roman"/>
          <w:noProof/>
        </w:rPr>
      </w:pPr>
      <w:r>
        <w:rPr>
          <w:noProof/>
        </w:rPr>
        <w:t>Reforma ietver zemes seguma uzraudzības sistēmas (SMOS) darbības uzsākšanu un BUPi (digitālā zemes reģistra) platformas izstrādi, kas ir fizisks un virtuāls skaitītājs ar ģeogrāfisku informāciju par īpašumiem, kas apkopo to reģistrācijai nepieciešamo informāciju un atvieglo iedzīvotāju mijiedarbību ar valsts pārvaldi zemes reģistra darbības jomā. Reforma arī izveido nepieciešamo tiesisko regulējumu, lai īstenotu ieguldījumus RE-C08-i02: Lauku īpašumu reģistrs un zemes seguma uzraudzības sistēma. Reforma ietver:</w:t>
      </w:r>
    </w:p>
    <w:p w14:paraId="2B70C39A"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pieņemt tiesību aktu, ar ko izveido misijas struktūru vienkāršotās kadastrālās informācijas sistēmas paplašināšanai — publiska struktūra, kas uzrauga vienkāršotās valsts kadastrālās informācijas sistēmas paplašināšanu un BUPi platformas attīstību; </w:t>
      </w:r>
    </w:p>
    <w:p w14:paraId="200CB5CD"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pieņemt tiesību aktu, ar ko izveido sistēmu vienkāršotās kadastrālās informācijas sistēmas organizācijas un izstrādes modeļa darbībai un finansēšanai; </w:t>
      </w:r>
    </w:p>
    <w:p w14:paraId="22A73E8F" w14:textId="704AFECE"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pieņemt likumu, ar ko apstiprina zemes reģistra juridisko režīmu, izveido Valsts kadastrālās informācijas sistēmas sistēmu, kas apvienota ar vienkāršoto kadastrālās informācijas sistēmu un kurā kadastrālā harta tiek iekļauta kā valsts zemesgrāmatas karte;</w:t>
      </w:r>
    </w:p>
    <w:p w14:paraId="0517B990"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tiesību akta pieņemšana, ar ko groza 3. novembra Reglamentējošo dekrētu Nr. 9-</w:t>
      </w:r>
      <w:r>
        <w:rPr>
          <w:noProof/>
        </w:rPr>
        <w:footnoteReference w:id="39"/>
      </w:r>
      <w:r>
        <w:rPr>
          <w:noProof/>
        </w:rPr>
        <w:t xml:space="preserve"> A/2017, precizējot vienkāršotās kadastrālās informācijas sistēmas un BUPi platformas darbību, pieņemot pasākumus, lai nekavējoties identificētu zemes struktūru un lauksaimniecības un jauktas zemes īpašumtiesības; un</w:t>
      </w:r>
    </w:p>
    <w:p w14:paraId="15E59400"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izstrādāt priekšlikumu likumam, ar ko izveido ārkārtas sistēmu lauku zemes reģistrācijai un groza Zemesgrāmatu kodeksu (CRP).</w:t>
      </w:r>
    </w:p>
    <w:p w14:paraId="236B79E0"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2022. gada 31. decembrim.</w:t>
      </w:r>
    </w:p>
    <w:p w14:paraId="6D2F50DA"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Reforma RE-r21: Ugunsgrēku novēršana un apkarošana laukos</w:t>
      </w:r>
    </w:p>
    <w:p w14:paraId="4B3DAA2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palielināt ugunsgrēku novēršanu un uzlabot cīņu pret ugunsgrēkiem laukos, izveidojot primāro degvielas apsaimniekošanas pārtraukumu tīklu un stiprinot struktūras, kas ir atbildīgas par ugunsgrēku pārvaldību lauku apvidos un aizsardzību pret tiem. </w:t>
      </w:r>
    </w:p>
    <w:p w14:paraId="17B5E78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 sastāv no šādiem elementiem:  </w:t>
      </w:r>
    </w:p>
    <w:p w14:paraId="3880BAFB"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akta pieņemšana, ar ko apstiprina Valsts plānu integrētai ugunsgrēku pārvaldībai lauku apvidos (PNGIFR); </w:t>
      </w:r>
    </w:p>
    <w:p w14:paraId="3D91EFD9"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pieņemt likumu par lauku ugunsgrēku integrētas pārvaldības sistēmas (SIGIFR) izveidi; un </w:t>
      </w:r>
    </w:p>
    <w:p w14:paraId="22AB284F" w14:textId="77777777" w:rsidR="00776A1F" w:rsidRDefault="00D8574B">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akta pieņemšana, ar ko apstiprina valsts rīcības programmu integrētai ugunsgrēku pārvaldībai lauku apvidos. </w:t>
      </w:r>
    </w:p>
    <w:p w14:paraId="1B361553" w14:textId="49B20966" w:rsidR="00776A1F" w:rsidRDefault="00D8574B">
      <w:pPr>
        <w:pStyle w:val="P68B1DB1-Normal4"/>
        <w:keepNext/>
        <w:spacing w:before="40" w:after="0" w:line="259" w:lineRule="auto"/>
        <w:jc w:val="both"/>
        <w:rPr>
          <w:rFonts w:eastAsiaTheme="minorEastAsia" w:cs="Times New Roman"/>
          <w:noProof/>
        </w:rPr>
      </w:pPr>
      <w:r>
        <w:rPr>
          <w:noProof/>
        </w:rPr>
        <w:t xml:space="preserve">Integrētā lauku ugunsgrēku pārvaldības sistēma (SIGIFR) valsts līmenī nodrošina makropolitiku un stratēģiskas pamatnostādnes, kas palīdz samazināt ugunsgrēku risku laukos un mainīt lauku teritorijas īpašnieku, lietotāju un tiešo un netiešo saņēmēju uzvedību. Sistēma nosaka starpministriju koordinācijas modeļus, nosakot katras SIGIFR ietilpstošās struktūras kompetences un darbības jomu, nodrošinot lielāku atbildību dažādiem lēmumu pieņemšanas procesa dalībniekiem. Tajā nosaka pārvaldības, uzraudzības un novērtēšanas modeli, kas palīdz pastāvīgi uzlabot valsts politiku un programmas. </w:t>
      </w:r>
    </w:p>
    <w:p w14:paraId="04DCD497" w14:textId="77777777" w:rsidR="00776A1F" w:rsidRDefault="00D8574B">
      <w:pPr>
        <w:pStyle w:val="P68B1DB1-Normal4"/>
        <w:keepNext/>
        <w:spacing w:before="40" w:after="0" w:line="259" w:lineRule="auto"/>
        <w:jc w:val="both"/>
        <w:rPr>
          <w:rFonts w:eastAsiaTheme="minorEastAsia" w:cs="Times New Roman"/>
          <w:noProof/>
        </w:rPr>
      </w:pPr>
      <w:r>
        <w:rPr>
          <w:noProof/>
        </w:rPr>
        <w:t>Izveido lauku ugunsgrēka informācijas sistēmu, lai apkopotu un izplatītu visu attiecīgo tehnisko informāciju no SIGIFR. Turklāt tā nosaka modeli, kura pamatā ir riska novēršana un samazināšana līdz minimumam, vai nu veicot izpratnes veicināšanas pasākumus, vai izveidojot reģionālus aizsardzības tīklus, kuros degvielas apsaimniekošanai ir vadošā loma sankciju režīmā.</w:t>
      </w:r>
    </w:p>
    <w:p w14:paraId="26D46A9E"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2021. gada 30. septembrim.</w:t>
      </w:r>
    </w:p>
    <w:p w14:paraId="3E0AE6FF"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RE-C08-i01: Ainavas pārveide neaizsargātās meža teritorijās</w:t>
      </w:r>
    </w:p>
    <w:p w14:paraId="434C95EF" w14:textId="77777777" w:rsidR="00776A1F" w:rsidRDefault="00D8574B">
      <w:pPr>
        <w:pStyle w:val="P68B1DB1-Normal4"/>
        <w:keepNext/>
        <w:spacing w:before="40" w:after="0" w:line="259" w:lineRule="auto"/>
        <w:jc w:val="both"/>
        <w:rPr>
          <w:rFonts w:eastAsiaTheme="minorEastAsia" w:cs="Times New Roman"/>
          <w:noProof/>
        </w:rPr>
      </w:pPr>
      <w:r>
        <w:rPr>
          <w:noProof/>
        </w:rPr>
        <w:t>Šā pasākuma mērķis ir palielināt neaizsargāto teritoriju noturību pret riskiem, kas saistīti ar klimata pārmaiņām, jo īpaši ugunsgrēkiem laukos un bioloģiskās daudzveidības zudumu, un veicināt ilgtspējīgu izaugsmi un teritoriālo kohēziju. Šos mērķus sasniedz, pārveidojot ainavu, palielinot lauksaimniecības īpašuma vidējo lielumu, mainot zemes izmantojumu un plānojot jaunas saimnieciskās darbības.</w:t>
      </w:r>
    </w:p>
    <w:p w14:paraId="6C20CEB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Šo ieguldījumu veido šādas programmas: </w:t>
      </w:r>
    </w:p>
    <w:p w14:paraId="41A7E521" w14:textId="77777777" w:rsidR="00776A1F" w:rsidRDefault="00D8574B">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ainavu plānošanas un pārvaldības programmas (PRGP), kas izstrādā vēlamo ainavu un definē pārejas matricu vidējā termiņā un ilgtermiņā, izmantojot finansēšanas modeli, kas nodrošina tās īstenošanu; </w:t>
      </w:r>
    </w:p>
    <w:p w14:paraId="2E501077" w14:textId="077FC262" w:rsidR="00776A1F" w:rsidRDefault="00D8574B">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integrētās ainavas apsaimniekošanas teritorijas (AIGP), kas palielina apsaimniekotās meža platības lielumu, rada pārtraukumus plašās jūras priežu monokultāru un eikaliptu teritorijās un nodrošina eikalipta apgabalu aizstāšanu ar citām sugām, jo īpaši vietējām sugām, lai sasniegtu mērogu, kas veicina izturību pret ugunsgrēkiem un dabas kapitāla valorizāciju un rada nepieciešamos apstākļus integrētas ainavas apsaimniekošanas darbību (OIGP) izstrādei, kas nosaka intervences plānošanu, darbības modeli, piešķiramos finanšu resursus un pārvaldības un uzraudzības sistēmu; </w:t>
      </w:r>
    </w:p>
    <w:p w14:paraId="6E47BE1A" w14:textId="77777777" w:rsidR="00776A1F" w:rsidRDefault="00D8574B">
      <w:pPr>
        <w:pStyle w:val="P68B1DB1-Normal4"/>
        <w:keepNext/>
        <w:numPr>
          <w:ilvl w:val="0"/>
          <w:numId w:val="36"/>
        </w:numPr>
        <w:spacing w:before="40" w:after="160" w:line="259" w:lineRule="auto"/>
        <w:contextualSpacing/>
        <w:jc w:val="both"/>
        <w:rPr>
          <w:rFonts w:eastAsiaTheme="minorEastAsia" w:cs="Times New Roman"/>
          <w:noProof/>
        </w:rPr>
      </w:pPr>
      <w:r>
        <w:rPr>
          <w:noProof/>
        </w:rPr>
        <w:t>integrētā atbalsta programma lauku ciematiem, kas atrodas meža teritorijās un ar ko atbalsta pasākumu kopumu, lai nodrošinātu zemes izmantošanas un izmantošanas maiņu un kurināmā apsaimniekošanu ap lauku ciematiem; un</w:t>
      </w:r>
    </w:p>
    <w:p w14:paraId="5154E281" w14:textId="7B63E210" w:rsidR="00776A1F" w:rsidRDefault="00D8574B">
      <w:pPr>
        <w:pStyle w:val="P68B1DB1-Normal4"/>
        <w:keepNext/>
        <w:numPr>
          <w:ilvl w:val="0"/>
          <w:numId w:val="36"/>
        </w:numPr>
        <w:spacing w:before="40" w:after="160" w:line="259" w:lineRule="auto"/>
        <w:contextualSpacing/>
        <w:jc w:val="both"/>
        <w:rPr>
          <w:rFonts w:eastAsiaTheme="minorEastAsia" w:cs="Times New Roman"/>
          <w:noProof/>
        </w:rPr>
      </w:pPr>
      <w:r>
        <w:rPr>
          <w:i/>
          <w:noProof/>
        </w:rPr>
        <w:t>Emparcelar para Ordenar</w:t>
      </w:r>
      <w:r>
        <w:rPr>
          <w:noProof/>
        </w:rPr>
        <w:t xml:space="preserve"> programma, kas palielina lauku īpašuma vidējo lielumu un tādējādi veicina tur uzstādīto vai ierīkojamo saimniecību dzīvotspēju un ekonomisko ilgtspēju.</w:t>
      </w:r>
    </w:p>
    <w:p w14:paraId="408260D4"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Investīciju īstenošanu pabeidz līdz 2025. gada 30. septembrim. </w:t>
      </w:r>
    </w:p>
    <w:p w14:paraId="64C9896B"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RE-C08-i02: Lauku īpašumu reģistrs un zemes seguma uzraudzības sistēma</w:t>
      </w:r>
    </w:p>
    <w:p w14:paraId="22A9B6FF" w14:textId="77777777" w:rsidR="00776A1F" w:rsidRDefault="00D8574B">
      <w:pPr>
        <w:pStyle w:val="P68B1DB1-Normal4"/>
        <w:keepNext/>
        <w:spacing w:before="40" w:after="0" w:line="259" w:lineRule="auto"/>
        <w:jc w:val="both"/>
        <w:rPr>
          <w:rFonts w:eastAsiaTheme="minorEastAsia" w:cs="Times New Roman"/>
          <w:noProof/>
        </w:rPr>
      </w:pPr>
      <w:r>
        <w:rPr>
          <w:noProof/>
        </w:rPr>
        <w:t>Šā pasākuma mērķis ir nodrošināt Portugāles valstij informāciju par teritoriju</w:t>
      </w:r>
      <w:r>
        <w:rPr>
          <w:noProof/>
          <w:bdr w:val="none" w:sz="0" w:space="0" w:color="auto" w:frame="1"/>
        </w:rPr>
        <w:t xml:space="preserve">ceļu, jo īpaši attiecībā uz lauku īpašumu veidu un robežām, lai varētu identificēt zemes īpašniekus. Tas ir būtiski, lai plānotu, pārvaldītu un atbalstītu lēmumus par teritorijas okupāciju un izmantošanu. </w:t>
      </w:r>
    </w:p>
    <w:p w14:paraId="63DE2868" w14:textId="6BEEED40" w:rsidR="00776A1F" w:rsidRDefault="00D8574B">
      <w:pPr>
        <w:pStyle w:val="P68B1DB1-Normal4"/>
        <w:keepNext/>
        <w:spacing w:before="40" w:after="0" w:line="259" w:lineRule="auto"/>
        <w:jc w:val="both"/>
        <w:rPr>
          <w:rFonts w:eastAsiaTheme="minorEastAsia" w:cs="Times New Roman"/>
          <w:noProof/>
        </w:rPr>
      </w:pPr>
      <w:r>
        <w:rPr>
          <w:noProof/>
        </w:rPr>
        <w:t xml:space="preserve">Šis ieguldījums ietver BUPi platformas izstrādi un zemes pārklājuma monitoringa sistēmas (SMOS) atsauces kartēšanu, tostarp zemes digitālo 3-D attēlojumu, izmantojot gaismas detektēšanas un nobraukuma (LiDAR) pārklājumu, veģetācijas kartes, biomasas un kokmateriālu apjoma kartes, zemes pārklājuma un izmantošanas kartes un satelītattēlu aptvērumu. Šie pasākumi viens otru papildina un ļauj pilnībā darboties BUPi platformai, vienlaikus nodrošinot sadarbspēju starp visām dažādajām esošajām informācijas sistēmām, kas saistītas ar kadastrālo ģeometriju, zemes reģistru un nodokļu matricām, ko pašlaik pārvalda dažādas iestādes, tostarp Tributary and Customs Authority, Reģistrācijas un notāru lietu institūts un Teritorijas ģenerāldirektorāts. Iedzīvotāji, uzņēmumi un visas publiskās iestādes iegūst unikālu identifikācijas numuru (NIP) saviem īpašumiem, tostarp informāciju par to robežām un īpašībām. Lai nodrošinātu minēto pasākumu sekmīgu īstenošanu, ieguldījums ietver arī pašvaldību pilnvarotu tehnisko darbinieku, reģistratoru un nodokļu iestāžu pārstāvju apmācību. </w:t>
      </w:r>
    </w:p>
    <w:p w14:paraId="5CC0FA77"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Investīciju īstenošanu pabeidz līdz 2025. gada 31. martam. </w:t>
      </w:r>
    </w:p>
    <w:p w14:paraId="72559B84"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RE-C08-i03: Degvielas apsaimniekošanas pārtraukumi — primārais tīkls</w:t>
      </w:r>
    </w:p>
    <w:p w14:paraId="593C138F"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radīt horizontālus pārtraukumus ainavā, izmantojot primāro degvielas apsaimniekošanas pārtraukumu tīklu (RPFGC). Šis tīkls izolē ugunsgrēka uzliesmojumus, aizsargā sakaru ceļus, sociālo infrastruktūru un aprīkojumu, samazina ugunsgrēka izpostīto vidējo platību, sadalot ainavu, atvieglo ugunsdzēšanas darbības un nodrošina ugunsdzēsēju drošību, izveidojot evakuācijas ceļus. </w:t>
      </w:r>
    </w:p>
    <w:p w14:paraId="70C7317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Ieguldījums ietver šādus pasākumus: </w:t>
      </w:r>
    </w:p>
    <w:p w14:paraId="24C24867" w14:textId="045052BF" w:rsidR="00776A1F" w:rsidRDefault="00D8574B">
      <w:pPr>
        <w:pStyle w:val="P68B1DB1-Normal4"/>
        <w:keepNext/>
        <w:numPr>
          <w:ilvl w:val="0"/>
          <w:numId w:val="37"/>
        </w:numPr>
        <w:spacing w:before="40" w:after="160" w:line="259" w:lineRule="auto"/>
        <w:contextualSpacing/>
        <w:jc w:val="both"/>
        <w:rPr>
          <w:rFonts w:eastAsiaTheme="minorEastAsia" w:cs="Times New Roman"/>
          <w:noProof/>
        </w:rPr>
      </w:pPr>
      <w:r>
        <w:rPr>
          <w:noProof/>
        </w:rPr>
        <w:t>kartografēšanu un zemes izmantošanas novērtējumu zemei, kas iekļauta primārās degvielas apsaimniekošanas pārrāvumu strukturēšanas tīklā;</w:t>
      </w:r>
    </w:p>
    <w:p w14:paraId="7E5F956F" w14:textId="1DA906D0" w:rsidR="00776A1F" w:rsidRDefault="00D8574B">
      <w:pPr>
        <w:pStyle w:val="P68B1DB1-Normal4"/>
        <w:keepNext/>
        <w:numPr>
          <w:ilvl w:val="0"/>
          <w:numId w:val="37"/>
        </w:numPr>
        <w:spacing w:before="40" w:after="160" w:line="259" w:lineRule="auto"/>
        <w:contextualSpacing/>
        <w:jc w:val="both"/>
        <w:rPr>
          <w:rFonts w:eastAsiaTheme="minorEastAsia" w:cs="Times New Roman"/>
          <w:noProof/>
        </w:rPr>
      </w:pPr>
      <w:r>
        <w:rPr>
          <w:noProof/>
        </w:rPr>
        <w:t>īpašnieku noteikšana, kompensācijas līmeņa novērtēšana un aprēķināšana un citi elementi, kuru dēļ zemes īpašniekiem tiek paziņots par sabiedrisko pakalpojumu sniegšanu, līgumu slēgšana un saistīto kompensāciju izmaksa</w:t>
      </w:r>
    </w:p>
    <w:p w14:paraId="25DDFC97" w14:textId="481096AD" w:rsidR="00776A1F" w:rsidRDefault="00D8574B">
      <w:pPr>
        <w:pStyle w:val="P68B1DB1-Normal4"/>
        <w:keepNext/>
        <w:numPr>
          <w:ilvl w:val="0"/>
          <w:numId w:val="37"/>
        </w:numPr>
        <w:spacing w:before="40" w:after="160" w:line="259" w:lineRule="auto"/>
        <w:contextualSpacing/>
        <w:jc w:val="both"/>
        <w:rPr>
          <w:rFonts w:eastAsiaTheme="minorEastAsia" w:cs="Times New Roman"/>
          <w:noProof/>
        </w:rPr>
      </w:pPr>
      <w:r>
        <w:rPr>
          <w:noProof/>
        </w:rPr>
        <w:t>lauku zemes, kas iekļauta servitūta teritorijas izveidē, ģeogrāfisko grafisko attēlojumu BUPi platformā, lai varētu veikt turpmākās īpašās reģistrācijas procedūras; un</w:t>
      </w:r>
    </w:p>
    <w:p w14:paraId="502FE4AD" w14:textId="77777777" w:rsidR="00776A1F" w:rsidRDefault="00D8574B">
      <w:pPr>
        <w:pStyle w:val="P68B1DB1-Normal4"/>
        <w:keepNext/>
        <w:numPr>
          <w:ilvl w:val="0"/>
          <w:numId w:val="37"/>
        </w:numPr>
        <w:spacing w:before="40" w:after="160" w:line="259" w:lineRule="auto"/>
        <w:contextualSpacing/>
        <w:jc w:val="both"/>
        <w:rPr>
          <w:rFonts w:eastAsiaTheme="minorEastAsia" w:cs="Times New Roman"/>
          <w:noProof/>
        </w:rPr>
      </w:pPr>
      <w:r>
        <w:rPr>
          <w:noProof/>
        </w:rPr>
        <w:t>primārā degvielas apsaimniekošanas pārtraukumu tīkla ieviešana valsts līmenī.</w:t>
      </w:r>
    </w:p>
    <w:p w14:paraId="5864A70C" w14:textId="76764FD1" w:rsidR="00776A1F" w:rsidRDefault="00776A1F">
      <w:pPr>
        <w:keepNext/>
        <w:spacing w:before="40" w:after="0" w:line="259" w:lineRule="auto"/>
        <w:jc w:val="both"/>
        <w:rPr>
          <w:rFonts w:ascii="Times New Roman" w:eastAsiaTheme="minorEastAsia" w:hAnsi="Times New Roman" w:cs="Times New Roman"/>
          <w:noProof/>
          <w:sz w:val="24"/>
        </w:rPr>
      </w:pPr>
    </w:p>
    <w:p w14:paraId="28696E4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6FB83105"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RE-C08-i04: Līdzekļi ugunsgrēku novēršanai un apkarošanai lauku apvidos</w:t>
      </w:r>
    </w:p>
    <w:p w14:paraId="083D727F" w14:textId="5A761AE0" w:rsidR="00776A1F" w:rsidRDefault="00D8574B">
      <w:pPr>
        <w:pStyle w:val="P68B1DB1-Normal4"/>
        <w:keepNext/>
        <w:spacing w:before="40" w:after="0" w:line="259" w:lineRule="auto"/>
        <w:jc w:val="both"/>
        <w:rPr>
          <w:rFonts w:eastAsiaTheme="minorEastAsia" w:cs="Times New Roman"/>
          <w:noProof/>
        </w:rPr>
      </w:pPr>
      <w:r>
        <w:rPr>
          <w:noProof/>
        </w:rPr>
        <w:t xml:space="preserve">Šā pasākuma mērķis ir stiprināt valsts struktūras, kas iesaistītas ugunsgrēku novēršanā un apkarošanā lauku apvidos. Konkrētāk, šis pasākums palielina Portugāles Gaisa spēku un Dabas un mežu aizsardzības institūta (ICNF) jaudu infrastruktūras un aprīkojuma ziņā, lai palielinātu to efektivitāti un lietderību ugunsgrēku novēršanā un apkarošanā lauku apvidos. Turklāt šis pasākums uzlabo riska novērtējumu, standartizējot un atjauninot Portugāles Jūras institūta un Atmosfēras (IPMA) radaru tīklu. </w:t>
      </w:r>
    </w:p>
    <w:p w14:paraId="385E3858" w14:textId="14B08B85" w:rsidR="00776A1F" w:rsidRDefault="00D8574B">
      <w:pPr>
        <w:pStyle w:val="P68B1DB1-Normal4"/>
        <w:keepNext/>
        <w:spacing w:before="40" w:after="0" w:line="259" w:lineRule="auto"/>
        <w:jc w:val="both"/>
        <w:rPr>
          <w:rFonts w:eastAsiaTheme="minorEastAsia" w:cs="Times New Roman"/>
          <w:noProof/>
        </w:rPr>
      </w:pPr>
      <w:r>
        <w:rPr>
          <w:noProof/>
        </w:rPr>
        <w:t xml:space="preserve">Šo ieguldījumu veido divu vieglo un deviņu vidēja ugunsdzēsēja helikopteru iegāde, jaunu ēku būvniecība un esošo ēku atjaunošana (ekspluatācijas centrs un apkopes angāri), tādu transportlīdzekļu, mehānismu un aprīkojuma iegāde, kas vajadzīgi ugunsdzēšanas operatīvajai reakcijai, piemēram, individuālie aizsardzības līdzekļi, ugunsdzēsības transportlīdzekļi, buldozeri un traktori, kā arī meteoroloģisko radaru tīkla standartizācija un modernizācija. </w:t>
      </w:r>
    </w:p>
    <w:p w14:paraId="11A46961" w14:textId="77777777" w:rsidR="00776A1F" w:rsidRDefault="00D8574B">
      <w:pPr>
        <w:pStyle w:val="P68B1DB1-Normal4"/>
        <w:keepNext/>
        <w:spacing w:before="40" w:after="0" w:line="259" w:lineRule="auto"/>
        <w:jc w:val="both"/>
        <w:rPr>
          <w:rFonts w:eastAsiaTheme="minorEastAsia" w:cs="Times New Roman"/>
          <w:noProof/>
        </w:rPr>
      </w:pPr>
      <w:r>
        <w:rPr>
          <w:noProof/>
        </w:rPr>
        <w:t>Paredzams, ka šis pasākums neradīs būtisku kaitējumu vides mērķiem Regulas (ES) 2020/852 17. panta nozīmē, ņemot vērā pasākuma aprakstu un atveseļošanas un noturības plānā izklāstītos riska mazināšanas pasākumus saskaņā ar DNSH tehniskajiem norādījumiem (2021/C58/01). Jo īpaši, lai nodrošinātu atbilstību NBK tehniskajiem norādījumiem (2021/C58/01), iegādājamie transportlīdzekļi, mašīnas un aprīkojums ir bezemisiju transportlīdzekļi. Ja nav bezemisiju alternatīvu, iegādājamie transportlīdzekļi, mašīnas un aprīkojums ir labākais pieejamais vidiskā snieguma līmenis nozarē.</w:t>
      </w:r>
    </w:p>
    <w:p w14:paraId="6B6B66CF"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1253F25C"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RE-C08-i05: Plašāka meža programma</w:t>
      </w:r>
    </w:p>
    <w:p w14:paraId="39858146" w14:textId="591325CE" w:rsidR="00776A1F" w:rsidRDefault="00D8574B">
      <w:pPr>
        <w:pStyle w:val="P68B1DB1-Normal4"/>
        <w:keepNext/>
        <w:spacing w:before="40" w:after="0" w:line="259" w:lineRule="auto"/>
        <w:jc w:val="both"/>
        <w:rPr>
          <w:rFonts w:eastAsiaTheme="minorEastAsia" w:cs="Times New Roman"/>
          <w:noProof/>
        </w:rPr>
      </w:pPr>
      <w:r>
        <w:rPr>
          <w:noProof/>
        </w:rPr>
        <w:t xml:space="preserve">Pasākuma mērķis ir uzlabot ugunsgrēku novēršanas un ugunsdzēsības sistēmu, pārejot no ugunsgrēku apkarošanas modeļa uz novēršanas modeli un stiprināt meža ražotāju organizāciju (OPF) un kompetences centru darbības mežsaimniecības nozarē, iesaistot speciālistus un uzlabojot visu attiecīgo dalībnieku tehnisko kvalifikāciju šajās struktūrās. </w:t>
      </w:r>
    </w:p>
    <w:p w14:paraId="51BD29B4" w14:textId="77777777" w:rsidR="00776A1F" w:rsidRDefault="00D8574B">
      <w:pPr>
        <w:pStyle w:val="P68B1DB1-Normal4"/>
        <w:keepNext/>
        <w:spacing w:before="40" w:after="0" w:line="259" w:lineRule="auto"/>
        <w:jc w:val="both"/>
        <w:rPr>
          <w:rFonts w:eastAsiaTheme="minorEastAsia" w:cs="Times New Roman"/>
          <w:noProof/>
        </w:rPr>
      </w:pPr>
      <w:r>
        <w:rPr>
          <w:noProof/>
        </w:rPr>
        <w:t>Šo ieguldījumu veido šādi pasākumi:</w:t>
      </w:r>
    </w:p>
    <w:p w14:paraId="60F5BEF9" w14:textId="77777777" w:rsidR="00776A1F" w:rsidRDefault="00D8574B">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programmas „Droši ciemati” un „Droši cilvēki” paplašināšana, kuru mērķis ir sadarbībā ar vietējām iestādēm veicināt izpratnes veicināšanas pasākumus, lai novērstu iedzīvotāju riskantu uzvedību, pašaizsardzības pasākumus un evakuācijas plānu modelēšanu; </w:t>
      </w:r>
    </w:p>
    <w:p w14:paraId="4EAC3577" w14:textId="313E43B8" w:rsidR="00776A1F" w:rsidRDefault="00D8574B">
      <w:pPr>
        <w:pStyle w:val="P68B1DB1-Normal4"/>
        <w:keepNext/>
        <w:numPr>
          <w:ilvl w:val="0"/>
          <w:numId w:val="27"/>
        </w:numPr>
        <w:spacing w:before="40" w:after="160" w:line="259" w:lineRule="auto"/>
        <w:contextualSpacing/>
        <w:jc w:val="both"/>
        <w:rPr>
          <w:rFonts w:eastAsiaTheme="minorEastAsia" w:cs="Times New Roman"/>
          <w:noProof/>
        </w:rPr>
      </w:pPr>
      <w:r>
        <w:rPr>
          <w:noProof/>
        </w:rPr>
        <w:t>stiprināt Valsts Ārkārtas un civilās aizsardzības iestādes (ANEPC) un valsts žandarmērijas (GNR) operatīvās reaģēšanas spējas cīņā pret ugunsgrēkiem laukos, jo īpaši iegādājoties transportlīdzekļus un individuālos aizsardzības līdzekļus, atjaunojot esošās infrastruktūras un izveidojot jaunas ANEPC reģionālās un apakšreģionālās struktūras;</w:t>
      </w:r>
    </w:p>
    <w:p w14:paraId="3F8BFC5C" w14:textId="77777777" w:rsidR="00776A1F" w:rsidRDefault="00D8574B">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apmācības un kvalifikācijas nodrošināšana ugunsdzēsībā iesaistītajam operatīvajam personālam un APF tehniķiem; un </w:t>
      </w:r>
    </w:p>
    <w:p w14:paraId="785D1F00" w14:textId="6F05047A" w:rsidR="00776A1F" w:rsidRDefault="00D8574B">
      <w:pPr>
        <w:pStyle w:val="P68B1DB1-Normal4"/>
        <w:keepNext/>
        <w:numPr>
          <w:ilvl w:val="0"/>
          <w:numId w:val="27"/>
        </w:numPr>
        <w:spacing w:before="40" w:after="160" w:line="259" w:lineRule="auto"/>
        <w:contextualSpacing/>
        <w:jc w:val="both"/>
        <w:rPr>
          <w:rFonts w:eastAsiaTheme="minorEastAsia" w:cs="Times New Roman"/>
          <w:noProof/>
        </w:rPr>
      </w:pPr>
      <w:r>
        <w:rPr>
          <w:noProof/>
        </w:rPr>
        <w:t>meža īpašnieku organizāciju un kompetences centru stiprināšana jomās, kas ir būtiskas meža resursu ilgtspējai.</w:t>
      </w:r>
    </w:p>
    <w:p w14:paraId="277B2B14" w14:textId="06CF270D"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469B9600" w14:textId="77777777" w:rsidR="00776A1F" w:rsidRDefault="00D8574B">
      <w:pPr>
        <w:pStyle w:val="P68B1DB1-Normal4"/>
        <w:keepNext/>
        <w:spacing w:before="40" w:after="0" w:line="259" w:lineRule="auto"/>
        <w:jc w:val="both"/>
        <w:rPr>
          <w:rFonts w:eastAsiaTheme="minorEastAsia" w:cs="Times New Roman"/>
          <w:noProof/>
        </w:rPr>
        <w:sectPr w:rsidR="00776A1F" w:rsidSect="00E00EDD">
          <w:headerReference w:type="even" r:id="rId168"/>
          <w:headerReference w:type="default" r:id="rId169"/>
          <w:footerReference w:type="even" r:id="rId170"/>
          <w:footerReference w:type="default" r:id="rId171"/>
          <w:headerReference w:type="first" r:id="rId172"/>
          <w:footerReference w:type="first" r:id="rId173"/>
          <w:pgSz w:w="11907" w:h="16839"/>
          <w:pgMar w:top="1134" w:right="1134" w:bottom="1134" w:left="1134" w:header="567" w:footer="567" w:gutter="0"/>
          <w:cols w:space="720"/>
          <w:docGrid w:linePitch="360"/>
        </w:sectPr>
      </w:pPr>
      <w:r>
        <w:rPr>
          <w:noProof/>
        </w:rPr>
        <w:t xml:space="preserve"> </w:t>
      </w:r>
    </w:p>
    <w:p w14:paraId="6A15D49E"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H.2. Atskaites punkti, mērķrādītāji, citi rādītāji un neatmaksājamā finansiālā atbalsta uzraudzības un īstenošanas grafiks</w:t>
      </w:r>
    </w:p>
    <w:p w14:paraId="628AB07A"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45"/>
        <w:gridCol w:w="1107"/>
        <w:gridCol w:w="1658"/>
        <w:gridCol w:w="1244"/>
        <w:gridCol w:w="971"/>
        <w:gridCol w:w="970"/>
        <w:gridCol w:w="603"/>
        <w:gridCol w:w="649"/>
        <w:gridCol w:w="694"/>
        <w:gridCol w:w="4204"/>
      </w:tblGrid>
      <w:tr w:rsidR="00776A1F" w14:paraId="23FD5241" w14:textId="77777777">
        <w:trPr>
          <w:trHeight w:val="910"/>
          <w:tblHeader/>
          <w:jc w:val="center"/>
        </w:trPr>
        <w:tc>
          <w:tcPr>
            <w:tcW w:w="1114" w:type="dxa"/>
            <w:vMerge w:val="restart"/>
            <w:shd w:val="clear" w:color="auto" w:fill="BDD6EE"/>
            <w:vAlign w:val="center"/>
            <w:hideMark/>
          </w:tcPr>
          <w:p w14:paraId="7DA1148E"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45" w:type="dxa"/>
            <w:vMerge w:val="restart"/>
            <w:shd w:val="clear" w:color="auto" w:fill="BDD6EE"/>
            <w:vAlign w:val="center"/>
            <w:hideMark/>
          </w:tcPr>
          <w:p w14:paraId="279E7C6E"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07" w:type="dxa"/>
            <w:vMerge w:val="restart"/>
            <w:shd w:val="clear" w:color="auto" w:fill="BDD6EE"/>
            <w:vAlign w:val="center"/>
            <w:hideMark/>
          </w:tcPr>
          <w:p w14:paraId="061850B8" w14:textId="5E5DB946" w:rsidR="00776A1F" w:rsidRDefault="00D8574B">
            <w:pPr>
              <w:pStyle w:val="P68B1DB1-Normal6"/>
              <w:spacing w:after="0" w:line="240" w:lineRule="auto"/>
              <w:jc w:val="center"/>
              <w:rPr>
                <w:rFonts w:eastAsia="Times New Roman" w:cs="Times New Roman"/>
                <w:noProof/>
                <w:sz w:val="14"/>
              </w:rPr>
            </w:pPr>
            <w:r>
              <w:rPr>
                <w:noProof/>
              </w:rPr>
              <w:t>Starpposma mērķis-/mērķis</w:t>
            </w:r>
          </w:p>
        </w:tc>
        <w:tc>
          <w:tcPr>
            <w:tcW w:w="1658" w:type="dxa"/>
            <w:vMerge w:val="restart"/>
            <w:shd w:val="clear" w:color="auto" w:fill="BDD6EE"/>
            <w:vAlign w:val="center"/>
            <w:hideMark/>
          </w:tcPr>
          <w:p w14:paraId="6DDD64A1"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44" w:type="dxa"/>
            <w:vMerge w:val="restart"/>
            <w:shd w:val="clear" w:color="auto" w:fill="BDD6EE"/>
            <w:vAlign w:val="center"/>
            <w:hideMark/>
          </w:tcPr>
          <w:p w14:paraId="616A60C2"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544" w:type="dxa"/>
            <w:gridSpan w:val="3"/>
            <w:shd w:val="clear" w:color="auto" w:fill="BDD6EE"/>
            <w:vAlign w:val="center"/>
            <w:hideMark/>
          </w:tcPr>
          <w:p w14:paraId="490EDE73"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343" w:type="dxa"/>
            <w:gridSpan w:val="2"/>
            <w:shd w:val="clear" w:color="auto" w:fill="BDD6EE"/>
            <w:vAlign w:val="center"/>
            <w:hideMark/>
          </w:tcPr>
          <w:p w14:paraId="5A78B1CD"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204" w:type="dxa"/>
            <w:vMerge w:val="restart"/>
            <w:shd w:val="clear" w:color="auto" w:fill="BDD6EE"/>
            <w:vAlign w:val="center"/>
            <w:hideMark/>
          </w:tcPr>
          <w:p w14:paraId="6349DF03"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2A0BDCBA" w14:textId="77777777">
        <w:trPr>
          <w:trHeight w:val="470"/>
          <w:tblHeader/>
          <w:jc w:val="center"/>
        </w:trPr>
        <w:tc>
          <w:tcPr>
            <w:tcW w:w="1114" w:type="dxa"/>
            <w:vMerge/>
            <w:vAlign w:val="center"/>
            <w:hideMark/>
          </w:tcPr>
          <w:p w14:paraId="48494B20" w14:textId="77777777" w:rsidR="00776A1F" w:rsidRDefault="00776A1F">
            <w:pPr>
              <w:spacing w:after="0" w:line="240" w:lineRule="auto"/>
              <w:rPr>
                <w:rFonts w:ascii="Times New Roman" w:eastAsia="Times New Roman" w:hAnsi="Times New Roman" w:cs="Times New Roman"/>
                <w:b/>
                <w:noProof/>
                <w:sz w:val="18"/>
              </w:rPr>
            </w:pPr>
          </w:p>
        </w:tc>
        <w:tc>
          <w:tcPr>
            <w:tcW w:w="1245" w:type="dxa"/>
            <w:vMerge/>
            <w:vAlign w:val="center"/>
            <w:hideMark/>
          </w:tcPr>
          <w:p w14:paraId="3ED3D75A" w14:textId="77777777" w:rsidR="00776A1F" w:rsidRDefault="00776A1F">
            <w:pPr>
              <w:spacing w:after="0" w:line="240" w:lineRule="auto"/>
              <w:rPr>
                <w:rFonts w:ascii="Times New Roman" w:eastAsia="Times New Roman" w:hAnsi="Times New Roman" w:cs="Times New Roman"/>
                <w:b/>
                <w:noProof/>
                <w:sz w:val="18"/>
              </w:rPr>
            </w:pPr>
          </w:p>
        </w:tc>
        <w:tc>
          <w:tcPr>
            <w:tcW w:w="1107" w:type="dxa"/>
            <w:vMerge/>
            <w:vAlign w:val="center"/>
            <w:hideMark/>
          </w:tcPr>
          <w:p w14:paraId="5FF97188" w14:textId="3E0237B4" w:rsidR="00776A1F" w:rsidRDefault="00776A1F">
            <w:pPr>
              <w:spacing w:after="0" w:line="240" w:lineRule="auto"/>
              <w:jc w:val="center"/>
              <w:rPr>
                <w:rFonts w:ascii="Times New Roman" w:eastAsia="Times New Roman" w:hAnsi="Times New Roman" w:cs="Times New Roman"/>
                <w:b/>
                <w:noProof/>
                <w:sz w:val="14"/>
              </w:rPr>
            </w:pPr>
          </w:p>
        </w:tc>
        <w:tc>
          <w:tcPr>
            <w:tcW w:w="1658" w:type="dxa"/>
            <w:vMerge/>
            <w:vAlign w:val="center"/>
            <w:hideMark/>
          </w:tcPr>
          <w:p w14:paraId="7F856670" w14:textId="77777777" w:rsidR="00776A1F" w:rsidRDefault="00776A1F">
            <w:pPr>
              <w:spacing w:after="0" w:line="240" w:lineRule="auto"/>
              <w:rPr>
                <w:rFonts w:ascii="Times New Roman" w:eastAsia="Times New Roman" w:hAnsi="Times New Roman" w:cs="Times New Roman"/>
                <w:b/>
                <w:noProof/>
                <w:sz w:val="18"/>
              </w:rPr>
            </w:pPr>
          </w:p>
        </w:tc>
        <w:tc>
          <w:tcPr>
            <w:tcW w:w="1244" w:type="dxa"/>
            <w:vMerge/>
            <w:vAlign w:val="center"/>
            <w:hideMark/>
          </w:tcPr>
          <w:p w14:paraId="3BB7D671" w14:textId="77777777" w:rsidR="00776A1F" w:rsidRDefault="00776A1F">
            <w:pPr>
              <w:spacing w:after="0" w:line="240" w:lineRule="auto"/>
              <w:rPr>
                <w:rFonts w:ascii="Times New Roman" w:eastAsia="Times New Roman" w:hAnsi="Times New Roman" w:cs="Times New Roman"/>
                <w:b/>
                <w:noProof/>
                <w:sz w:val="18"/>
              </w:rPr>
            </w:pPr>
          </w:p>
        </w:tc>
        <w:tc>
          <w:tcPr>
            <w:tcW w:w="971" w:type="dxa"/>
            <w:shd w:val="clear" w:color="auto" w:fill="BDD6EE"/>
            <w:vAlign w:val="center"/>
            <w:hideMark/>
          </w:tcPr>
          <w:p w14:paraId="16AA7B5B"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70" w:type="dxa"/>
            <w:shd w:val="clear" w:color="auto" w:fill="BDD6EE"/>
            <w:vAlign w:val="center"/>
            <w:hideMark/>
          </w:tcPr>
          <w:p w14:paraId="254AFE6B"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603" w:type="dxa"/>
            <w:shd w:val="clear" w:color="auto" w:fill="BDD6EE"/>
            <w:vAlign w:val="center"/>
            <w:hideMark/>
          </w:tcPr>
          <w:p w14:paraId="490F16BA"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649" w:type="dxa"/>
            <w:shd w:val="clear" w:color="auto" w:fill="BDD6EE"/>
            <w:vAlign w:val="center"/>
            <w:hideMark/>
          </w:tcPr>
          <w:p w14:paraId="62E7BED3" w14:textId="77777777" w:rsidR="00776A1F" w:rsidRDefault="00D8574B">
            <w:pPr>
              <w:pStyle w:val="P68B1DB1-Normal6"/>
              <w:spacing w:after="0" w:line="240" w:lineRule="auto"/>
              <w:jc w:val="center"/>
              <w:rPr>
                <w:rFonts w:eastAsia="Times New Roman" w:cs="Times New Roman"/>
                <w:noProof/>
              </w:rPr>
            </w:pPr>
            <w:r>
              <w:rPr>
                <w:noProof/>
              </w:rPr>
              <w:t>Q</w:t>
            </w:r>
          </w:p>
        </w:tc>
        <w:tc>
          <w:tcPr>
            <w:tcW w:w="694" w:type="dxa"/>
            <w:shd w:val="clear" w:color="auto" w:fill="BDD6EE"/>
            <w:vAlign w:val="center"/>
            <w:hideMark/>
          </w:tcPr>
          <w:p w14:paraId="6F909C03"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204" w:type="dxa"/>
            <w:vMerge/>
            <w:vAlign w:val="center"/>
            <w:hideMark/>
          </w:tcPr>
          <w:p w14:paraId="19BE067E" w14:textId="77777777" w:rsidR="00776A1F" w:rsidRDefault="00776A1F">
            <w:pPr>
              <w:spacing w:after="0" w:line="240" w:lineRule="auto"/>
              <w:rPr>
                <w:rFonts w:ascii="Times New Roman" w:eastAsia="Times New Roman" w:hAnsi="Times New Roman" w:cs="Times New Roman"/>
                <w:b/>
                <w:noProof/>
                <w:sz w:val="18"/>
              </w:rPr>
            </w:pPr>
          </w:p>
        </w:tc>
      </w:tr>
      <w:tr w:rsidR="00776A1F" w14:paraId="6DA303CE" w14:textId="77777777">
        <w:trPr>
          <w:trHeight w:val="640"/>
          <w:jc w:val="center"/>
        </w:trPr>
        <w:tc>
          <w:tcPr>
            <w:tcW w:w="1114" w:type="dxa"/>
            <w:shd w:val="clear" w:color="auto" w:fill="C4EFCE"/>
            <w:vAlign w:val="center"/>
            <w:hideMark/>
          </w:tcPr>
          <w:p w14:paraId="241F93F4" w14:textId="77777777" w:rsidR="00776A1F" w:rsidRDefault="00D8574B">
            <w:pPr>
              <w:pStyle w:val="P68B1DB1-Normal7"/>
              <w:spacing w:after="0" w:line="240" w:lineRule="auto"/>
              <w:jc w:val="center"/>
              <w:rPr>
                <w:rFonts w:eastAsia="Times New Roman" w:cs="Calibri"/>
                <w:noProof/>
              </w:rPr>
            </w:pPr>
            <w:r>
              <w:rPr>
                <w:noProof/>
              </w:rPr>
              <w:t>8.1</w:t>
            </w:r>
          </w:p>
        </w:tc>
        <w:tc>
          <w:tcPr>
            <w:tcW w:w="1245" w:type="dxa"/>
            <w:shd w:val="clear" w:color="auto" w:fill="C4EFCE"/>
            <w:noWrap/>
            <w:vAlign w:val="center"/>
            <w:hideMark/>
          </w:tcPr>
          <w:p w14:paraId="6A7BBCF2" w14:textId="77777777" w:rsidR="00776A1F" w:rsidRDefault="00D8574B">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hideMark/>
          </w:tcPr>
          <w:p w14:paraId="280C90CB"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051B7F69" w14:textId="382A7EDD" w:rsidR="00776A1F" w:rsidRDefault="00D8574B">
            <w:pPr>
              <w:pStyle w:val="P68B1DB1-Normal8"/>
              <w:spacing w:after="0" w:line="240" w:lineRule="auto"/>
              <w:jc w:val="center"/>
              <w:rPr>
                <w:rFonts w:eastAsia="Times New Roman" w:cs="Calibri"/>
                <w:noProof/>
              </w:rPr>
            </w:pPr>
            <w:r>
              <w:rPr>
                <w:noProof/>
              </w:rPr>
              <w:t>Ainavu plānošanas un apsaimniekošanas programmu (PRGP) izstrāde teritorijās, kas definētas kā neaizsargātas.</w:t>
            </w:r>
          </w:p>
        </w:tc>
        <w:tc>
          <w:tcPr>
            <w:tcW w:w="1244" w:type="dxa"/>
            <w:shd w:val="clear" w:color="auto" w:fill="C4EFCE"/>
            <w:noWrap/>
            <w:vAlign w:val="center"/>
            <w:hideMark/>
          </w:tcPr>
          <w:p w14:paraId="0AF39373"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D6C4E03" w14:textId="77777777" w:rsidR="00776A1F" w:rsidRDefault="00D8574B">
            <w:pPr>
              <w:pStyle w:val="P68B1DB1-Normal8"/>
              <w:spacing w:after="0" w:line="240" w:lineRule="auto"/>
              <w:jc w:val="center"/>
              <w:rPr>
                <w:rFonts w:eastAsia="Times New Roman" w:cs="Calibri"/>
                <w:noProof/>
              </w:rPr>
            </w:pPr>
            <w:r>
              <w:rPr>
                <w:noProof/>
              </w:rPr>
              <w:t xml:space="preserve"> Skaits</w:t>
            </w:r>
          </w:p>
        </w:tc>
        <w:tc>
          <w:tcPr>
            <w:tcW w:w="970" w:type="dxa"/>
            <w:shd w:val="clear" w:color="auto" w:fill="C4EFCE"/>
            <w:noWrap/>
            <w:vAlign w:val="center"/>
            <w:hideMark/>
          </w:tcPr>
          <w:p w14:paraId="7EF99B82"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8CFC2F0" w14:textId="77777777" w:rsidR="00776A1F" w:rsidRDefault="00D8574B">
            <w:pPr>
              <w:pStyle w:val="P68B1DB1-Normal8"/>
              <w:spacing w:after="0" w:line="240" w:lineRule="auto"/>
              <w:jc w:val="center"/>
              <w:rPr>
                <w:rFonts w:eastAsia="Times New Roman" w:cs="Calibri"/>
                <w:noProof/>
              </w:rPr>
            </w:pPr>
            <w:r>
              <w:rPr>
                <w:noProof/>
              </w:rPr>
              <w:t>20</w:t>
            </w:r>
          </w:p>
        </w:tc>
        <w:tc>
          <w:tcPr>
            <w:tcW w:w="649" w:type="dxa"/>
            <w:shd w:val="clear" w:color="auto" w:fill="C4EFCE"/>
            <w:noWrap/>
            <w:vAlign w:val="center"/>
            <w:hideMark/>
          </w:tcPr>
          <w:p w14:paraId="65763CA3"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noWrap/>
            <w:vAlign w:val="center"/>
            <w:hideMark/>
          </w:tcPr>
          <w:p w14:paraId="0401360D" w14:textId="77777777"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D83355D" w14:textId="03A571B2" w:rsidR="00776A1F" w:rsidRDefault="00D8574B">
            <w:pPr>
              <w:pStyle w:val="P68B1DB1-Normal8"/>
              <w:spacing w:after="0" w:line="240" w:lineRule="auto"/>
              <w:rPr>
                <w:rFonts w:eastAsia="Times New Roman" w:cs="Calibri"/>
                <w:noProof/>
              </w:rPr>
            </w:pPr>
            <w:r>
              <w:rPr>
                <w:noProof/>
              </w:rPr>
              <w:t>Valdības apstiprinājums par ainavu plānošanas un pārvaldības programmām (PRGP) 20 viendabīgiem jutīgiem apgabaliem vai apgabaliem, kurus skāruši lieli ugunsgrēki, ņemot vērā Portugāles kontinentālās daļas ainavu vienību hartu un Valsts telpiskās plānošanas politikas programmas teritoriālo modeli.</w:t>
            </w:r>
          </w:p>
        </w:tc>
      </w:tr>
      <w:tr w:rsidR="00776A1F" w14:paraId="08B19252" w14:textId="77777777">
        <w:trPr>
          <w:trHeight w:val="640"/>
          <w:jc w:val="center"/>
        </w:trPr>
        <w:tc>
          <w:tcPr>
            <w:tcW w:w="1114" w:type="dxa"/>
            <w:shd w:val="clear" w:color="auto" w:fill="C4EFCE"/>
            <w:vAlign w:val="center"/>
            <w:hideMark/>
          </w:tcPr>
          <w:p w14:paraId="21D5D991" w14:textId="77777777" w:rsidR="00776A1F" w:rsidRDefault="00D8574B">
            <w:pPr>
              <w:pStyle w:val="P68B1DB1-Normal7"/>
              <w:spacing w:after="0" w:line="240" w:lineRule="auto"/>
              <w:jc w:val="center"/>
              <w:rPr>
                <w:rFonts w:eastAsia="Times New Roman" w:cs="Calibri"/>
                <w:noProof/>
              </w:rPr>
            </w:pPr>
            <w:r>
              <w:rPr>
                <w:noProof/>
              </w:rPr>
              <w:t>8.2</w:t>
            </w:r>
          </w:p>
        </w:tc>
        <w:tc>
          <w:tcPr>
            <w:tcW w:w="1245" w:type="dxa"/>
            <w:shd w:val="clear" w:color="auto" w:fill="C4EFCE"/>
            <w:noWrap/>
            <w:vAlign w:val="center"/>
            <w:hideMark/>
          </w:tcPr>
          <w:p w14:paraId="24086087" w14:textId="77777777" w:rsidR="00776A1F" w:rsidRDefault="00D8574B">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hideMark/>
          </w:tcPr>
          <w:p w14:paraId="706BCE24"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2D036A2" w14:textId="77777777" w:rsidR="00776A1F" w:rsidRDefault="00D8574B">
            <w:pPr>
              <w:pStyle w:val="P68B1DB1-Normal8"/>
              <w:spacing w:after="0" w:line="240" w:lineRule="auto"/>
              <w:jc w:val="center"/>
              <w:rPr>
                <w:rFonts w:eastAsia="Times New Roman" w:cs="Calibri"/>
                <w:noProof/>
              </w:rPr>
            </w:pPr>
            <w:r>
              <w:rPr>
                <w:noProof/>
              </w:rPr>
              <w:t xml:space="preserve"> Integrētās ainavu apsaimniekošanas operāciju (OIGP) publicēšana Diário da Republica</w:t>
            </w:r>
          </w:p>
        </w:tc>
        <w:tc>
          <w:tcPr>
            <w:tcW w:w="1244" w:type="dxa"/>
            <w:shd w:val="clear" w:color="auto" w:fill="C4EFCE"/>
            <w:noWrap/>
            <w:vAlign w:val="center"/>
            <w:hideMark/>
          </w:tcPr>
          <w:p w14:paraId="38CCD2EC"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4C47B22" w14:textId="77777777" w:rsidR="00776A1F" w:rsidRDefault="00D8574B">
            <w:pPr>
              <w:pStyle w:val="P68B1DB1-Normal8"/>
              <w:spacing w:after="0" w:line="240" w:lineRule="auto"/>
              <w:jc w:val="center"/>
              <w:rPr>
                <w:rFonts w:eastAsia="Times New Roman" w:cs="Calibri"/>
                <w:noProof/>
              </w:rPr>
            </w:pPr>
            <w:r>
              <w:rPr>
                <w:noProof/>
              </w:rPr>
              <w:t xml:space="preserve">Skaits </w:t>
            </w:r>
          </w:p>
        </w:tc>
        <w:tc>
          <w:tcPr>
            <w:tcW w:w="970" w:type="dxa"/>
            <w:shd w:val="clear" w:color="auto" w:fill="C4EFCE"/>
            <w:noWrap/>
            <w:vAlign w:val="center"/>
            <w:hideMark/>
          </w:tcPr>
          <w:p w14:paraId="20B48133"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7CD3DB2" w14:textId="77777777" w:rsidR="00776A1F" w:rsidRDefault="00D8574B">
            <w:pPr>
              <w:pStyle w:val="P68B1DB1-Normal8"/>
              <w:spacing w:after="0" w:line="240" w:lineRule="auto"/>
              <w:jc w:val="center"/>
              <w:rPr>
                <w:rFonts w:eastAsia="Times New Roman" w:cs="Calibri"/>
                <w:noProof/>
              </w:rPr>
            </w:pPr>
            <w:r>
              <w:rPr>
                <w:noProof/>
              </w:rPr>
              <w:t>60</w:t>
            </w:r>
          </w:p>
        </w:tc>
        <w:tc>
          <w:tcPr>
            <w:tcW w:w="649" w:type="dxa"/>
            <w:shd w:val="clear" w:color="auto" w:fill="C4EFCE"/>
            <w:noWrap/>
            <w:vAlign w:val="center"/>
            <w:hideMark/>
          </w:tcPr>
          <w:p w14:paraId="27C4AA09"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noWrap/>
            <w:vAlign w:val="center"/>
            <w:hideMark/>
          </w:tcPr>
          <w:p w14:paraId="3EBBE2FA" w14:textId="77777777"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48FF6424" w14:textId="6CE9F794" w:rsidR="00776A1F" w:rsidRDefault="00D8574B">
            <w:pPr>
              <w:pStyle w:val="P68B1DB1-Normal8"/>
              <w:spacing w:after="0" w:line="240" w:lineRule="auto"/>
              <w:jc w:val="both"/>
              <w:rPr>
                <w:rFonts w:eastAsia="Times New Roman" w:cs="Calibri"/>
                <w:noProof/>
              </w:rPr>
            </w:pPr>
            <w:r>
              <w:rPr>
                <w:noProof/>
              </w:rPr>
              <w:t>Apstiprināt un publicēt Diário da Republica 60 integrētās ainavas apsaimniekošanas darbības (OIGP), kas nosaka intervences plānošanu, darbības modeli, piešķiramos finanšu resursus un pārvaldības un uzraudzības sistēmu.</w:t>
            </w:r>
          </w:p>
        </w:tc>
      </w:tr>
      <w:tr w:rsidR="00776A1F" w14:paraId="329EC401" w14:textId="77777777">
        <w:trPr>
          <w:trHeight w:val="640"/>
          <w:jc w:val="center"/>
        </w:trPr>
        <w:tc>
          <w:tcPr>
            <w:tcW w:w="1114" w:type="dxa"/>
            <w:shd w:val="clear" w:color="auto" w:fill="C4EFCE"/>
            <w:vAlign w:val="center"/>
          </w:tcPr>
          <w:p w14:paraId="53F8B0D6" w14:textId="3B182909" w:rsidR="00776A1F" w:rsidRDefault="00D8574B">
            <w:pPr>
              <w:pStyle w:val="P68B1DB1-Normal7"/>
              <w:spacing w:after="0" w:line="240" w:lineRule="auto"/>
              <w:jc w:val="center"/>
              <w:rPr>
                <w:rFonts w:eastAsia="Times New Roman" w:cs="Calibri"/>
                <w:noProof/>
              </w:rPr>
            </w:pPr>
            <w:r>
              <w:rPr>
                <w:noProof/>
              </w:rPr>
              <w:t>8.3</w:t>
            </w:r>
          </w:p>
        </w:tc>
        <w:tc>
          <w:tcPr>
            <w:tcW w:w="1245" w:type="dxa"/>
            <w:shd w:val="clear" w:color="auto" w:fill="C4EFCE"/>
            <w:noWrap/>
            <w:vAlign w:val="center"/>
          </w:tcPr>
          <w:p w14:paraId="06A4D24B" w14:textId="4C714727" w:rsidR="00776A1F" w:rsidRDefault="00D8574B">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tcPr>
          <w:p w14:paraId="7C2444D5" w14:textId="2C0F19C6"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tcPr>
          <w:p w14:paraId="1671AB6C" w14:textId="1A1E7B04" w:rsidR="00776A1F" w:rsidRDefault="00D8574B">
            <w:pPr>
              <w:pStyle w:val="P68B1DB1-Normal8"/>
              <w:spacing w:after="0" w:line="240" w:lineRule="auto"/>
              <w:jc w:val="center"/>
              <w:rPr>
                <w:rFonts w:eastAsia="Times New Roman" w:cs="Calibri"/>
                <w:noProof/>
              </w:rPr>
            </w:pPr>
            <w:r>
              <w:rPr>
                <w:noProof/>
              </w:rPr>
              <w:t>Ciemati ar degvielas apsaimniekošanas projektiem</w:t>
            </w:r>
          </w:p>
        </w:tc>
        <w:tc>
          <w:tcPr>
            <w:tcW w:w="1244" w:type="dxa"/>
            <w:shd w:val="clear" w:color="auto" w:fill="C4EFCE"/>
            <w:noWrap/>
            <w:vAlign w:val="center"/>
          </w:tcPr>
          <w:p w14:paraId="21CA1472" w14:textId="77777777" w:rsidR="00776A1F" w:rsidRDefault="00776A1F">
            <w:pPr>
              <w:spacing w:after="0" w:line="240" w:lineRule="auto"/>
              <w:jc w:val="center"/>
              <w:rPr>
                <w:rFonts w:ascii="Calibri" w:eastAsia="Times New Roman" w:hAnsi="Calibri" w:cs="Calibri"/>
                <w:noProof/>
                <w:sz w:val="16"/>
              </w:rPr>
            </w:pPr>
          </w:p>
        </w:tc>
        <w:tc>
          <w:tcPr>
            <w:tcW w:w="971" w:type="dxa"/>
            <w:shd w:val="clear" w:color="auto" w:fill="C4EFCE"/>
            <w:noWrap/>
            <w:vAlign w:val="center"/>
          </w:tcPr>
          <w:p w14:paraId="607F1475" w14:textId="08DA1B44" w:rsidR="00776A1F" w:rsidRDefault="00D8574B">
            <w:pPr>
              <w:pStyle w:val="P68B1DB1-Normal8"/>
              <w:spacing w:after="0" w:line="240" w:lineRule="auto"/>
              <w:jc w:val="center"/>
              <w:rPr>
                <w:rFonts w:eastAsia="Times New Roman" w:cs="Calibri"/>
                <w:noProof/>
              </w:rPr>
            </w:pPr>
            <w:r>
              <w:rPr>
                <w:noProof/>
              </w:rPr>
              <w:t>Skaits</w:t>
            </w:r>
          </w:p>
        </w:tc>
        <w:tc>
          <w:tcPr>
            <w:tcW w:w="970" w:type="dxa"/>
            <w:shd w:val="clear" w:color="auto" w:fill="C4EFCE"/>
            <w:noWrap/>
            <w:vAlign w:val="center"/>
          </w:tcPr>
          <w:p w14:paraId="0640AB71" w14:textId="57A5038A"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tcPr>
          <w:p w14:paraId="79FDC6D8" w14:textId="763F7A06" w:rsidR="00776A1F" w:rsidRDefault="00D8574B">
            <w:pPr>
              <w:pStyle w:val="P68B1DB1-Normal8"/>
              <w:spacing w:after="0" w:line="240" w:lineRule="auto"/>
              <w:jc w:val="center"/>
              <w:rPr>
                <w:rFonts w:eastAsia="Times New Roman" w:cs="Calibri"/>
                <w:noProof/>
              </w:rPr>
            </w:pPr>
            <w:r>
              <w:rPr>
                <w:noProof/>
              </w:rPr>
              <w:t>800</w:t>
            </w:r>
          </w:p>
        </w:tc>
        <w:tc>
          <w:tcPr>
            <w:tcW w:w="649" w:type="dxa"/>
            <w:shd w:val="clear" w:color="auto" w:fill="C4EFCE"/>
            <w:noWrap/>
            <w:vAlign w:val="center"/>
          </w:tcPr>
          <w:p w14:paraId="17C24089" w14:textId="3F46E358"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noWrap/>
            <w:vAlign w:val="center"/>
          </w:tcPr>
          <w:p w14:paraId="1232892F" w14:textId="34EB17F1"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tcPr>
          <w:p w14:paraId="37C59981" w14:textId="3E460BC7" w:rsidR="00776A1F" w:rsidRDefault="00D8574B">
            <w:pPr>
              <w:pStyle w:val="P68B1DB1-Normal8"/>
              <w:spacing w:after="0" w:line="240" w:lineRule="auto"/>
              <w:jc w:val="both"/>
              <w:rPr>
                <w:rFonts w:eastAsia="Times New Roman" w:cs="Calibri"/>
                <w:noProof/>
              </w:rPr>
            </w:pPr>
            <w:r>
              <w:rPr>
                <w:noProof/>
              </w:rPr>
              <w:t>Slēgt līgumus, kuros paredzēti īpaši nosacījumi degvielas apsaimniekošanas projektu finansēšanai starp Vides fondu un atbalsta saņēmējiem (pašvaldībām, starppašvaldību kopienām, vietējās attīstības apvienībām) vismaz 800 lauku ciematos, kas atrodas meža teritorijās (ciematu kopiena).</w:t>
            </w:r>
          </w:p>
        </w:tc>
      </w:tr>
      <w:tr w:rsidR="00776A1F" w14:paraId="2D19B3CD" w14:textId="77777777">
        <w:trPr>
          <w:trHeight w:val="1071"/>
          <w:jc w:val="center"/>
        </w:trPr>
        <w:tc>
          <w:tcPr>
            <w:tcW w:w="1114" w:type="dxa"/>
            <w:shd w:val="clear" w:color="auto" w:fill="C4EFCE"/>
            <w:vAlign w:val="center"/>
            <w:hideMark/>
          </w:tcPr>
          <w:p w14:paraId="77EE0E64" w14:textId="2B83FFE6" w:rsidR="00776A1F" w:rsidRDefault="00D8574B">
            <w:pPr>
              <w:pStyle w:val="P68B1DB1-Normal7"/>
              <w:spacing w:line="240" w:lineRule="auto"/>
              <w:jc w:val="center"/>
              <w:rPr>
                <w:rFonts w:eastAsia="Times New Roman" w:cs="Calibri"/>
                <w:noProof/>
              </w:rPr>
            </w:pPr>
            <w:r>
              <w:rPr>
                <w:noProof/>
              </w:rPr>
              <w:t>8.20</w:t>
            </w:r>
          </w:p>
        </w:tc>
        <w:tc>
          <w:tcPr>
            <w:tcW w:w="1245" w:type="dxa"/>
            <w:shd w:val="clear" w:color="auto" w:fill="C4EFCE"/>
            <w:noWrap/>
            <w:vAlign w:val="center"/>
            <w:hideMark/>
          </w:tcPr>
          <w:p w14:paraId="12596242" w14:textId="4917A96D" w:rsidR="00776A1F" w:rsidRDefault="00D8574B">
            <w:pPr>
              <w:pStyle w:val="P68B1DB1-Normal8"/>
              <w:spacing w:line="240" w:lineRule="auto"/>
              <w:jc w:val="center"/>
              <w:rPr>
                <w:rFonts w:eastAsia="Times New Roman" w:cs="Calibri"/>
                <w:noProof/>
              </w:rPr>
            </w:pPr>
            <w:r>
              <w:rPr>
                <w:noProof/>
              </w:rPr>
              <w:t xml:space="preserve">Re-C08-i01  </w:t>
            </w:r>
          </w:p>
        </w:tc>
        <w:tc>
          <w:tcPr>
            <w:tcW w:w="1107" w:type="dxa"/>
            <w:shd w:val="clear" w:color="auto" w:fill="C4EFCE"/>
            <w:noWrap/>
            <w:vAlign w:val="center"/>
            <w:hideMark/>
          </w:tcPr>
          <w:p w14:paraId="09B3E4E1" w14:textId="791D055D" w:rsidR="00776A1F" w:rsidRDefault="00D8574B">
            <w:pPr>
              <w:pStyle w:val="P68B1DB1-Normal8"/>
              <w:spacing w:line="240" w:lineRule="auto"/>
              <w:jc w:val="center"/>
              <w:rPr>
                <w:rFonts w:eastAsia="Times New Roman" w:cs="Calibri"/>
                <w:noProof/>
              </w:rPr>
            </w:pPr>
            <w:r>
              <w:rPr>
                <w:noProof/>
              </w:rPr>
              <w:t>T</w:t>
            </w:r>
          </w:p>
        </w:tc>
        <w:tc>
          <w:tcPr>
            <w:tcW w:w="1658" w:type="dxa"/>
            <w:shd w:val="clear" w:color="auto" w:fill="C4EFCE"/>
            <w:noWrap/>
            <w:vAlign w:val="center"/>
            <w:hideMark/>
          </w:tcPr>
          <w:p w14:paraId="750617A0" w14:textId="59CDDFE4" w:rsidR="00776A1F" w:rsidRDefault="00D8574B">
            <w:pPr>
              <w:pStyle w:val="P68B1DB1-Normal8"/>
              <w:spacing w:line="240" w:lineRule="auto"/>
              <w:jc w:val="center"/>
              <w:rPr>
                <w:rFonts w:eastAsia="Times New Roman" w:cs="Calibri"/>
                <w:noProof/>
              </w:rPr>
            </w:pPr>
            <w:r>
              <w:rPr>
                <w:noProof/>
              </w:rPr>
              <w:t>Zemes konsolidācijas pasākumu programma “Emparcelar para Ordenar” īstenošana</w:t>
            </w:r>
          </w:p>
        </w:tc>
        <w:tc>
          <w:tcPr>
            <w:tcW w:w="1244" w:type="dxa"/>
            <w:shd w:val="clear" w:color="auto" w:fill="C4EFCE"/>
            <w:noWrap/>
            <w:vAlign w:val="center"/>
            <w:hideMark/>
          </w:tcPr>
          <w:p w14:paraId="2D5E51B8" w14:textId="4EF5F8CD" w:rsidR="00776A1F" w:rsidRDefault="00776A1F">
            <w:pPr>
              <w:spacing w:line="240" w:lineRule="auto"/>
              <w:jc w:val="center"/>
              <w:rPr>
                <w:rFonts w:ascii="Calibri" w:eastAsia="Times New Roman" w:hAnsi="Calibri" w:cs="Calibri"/>
                <w:noProof/>
                <w:sz w:val="16"/>
              </w:rPr>
            </w:pPr>
          </w:p>
        </w:tc>
        <w:tc>
          <w:tcPr>
            <w:tcW w:w="971" w:type="dxa"/>
            <w:shd w:val="clear" w:color="auto" w:fill="C4EFCE"/>
            <w:noWrap/>
            <w:vAlign w:val="center"/>
            <w:hideMark/>
          </w:tcPr>
          <w:p w14:paraId="2B246C1B" w14:textId="4F4C8370" w:rsidR="00776A1F" w:rsidRDefault="00D8574B">
            <w:pPr>
              <w:pStyle w:val="P68B1DB1-Normal8"/>
              <w:spacing w:line="240" w:lineRule="auto"/>
              <w:jc w:val="center"/>
              <w:rPr>
                <w:rFonts w:eastAsia="Times New Roman" w:cs="Calibri"/>
                <w:noProof/>
              </w:rPr>
            </w:pPr>
            <w:r>
              <w:rPr>
                <w:noProof/>
              </w:rPr>
              <w:t>Skaits</w:t>
            </w:r>
          </w:p>
        </w:tc>
        <w:tc>
          <w:tcPr>
            <w:tcW w:w="970" w:type="dxa"/>
            <w:shd w:val="clear" w:color="auto" w:fill="C4EFCE"/>
            <w:noWrap/>
            <w:vAlign w:val="center"/>
            <w:hideMark/>
          </w:tcPr>
          <w:p w14:paraId="74A9FCD5" w14:textId="23127662" w:rsidR="00776A1F" w:rsidRDefault="00D8574B">
            <w:pPr>
              <w:pStyle w:val="P68B1DB1-Normal8"/>
              <w:spacing w:line="240" w:lineRule="auto"/>
              <w:jc w:val="center"/>
              <w:rPr>
                <w:rFonts w:eastAsia="Times New Roman" w:cs="Calibri"/>
                <w:noProof/>
              </w:rPr>
            </w:pPr>
            <w:r>
              <w:rPr>
                <w:noProof/>
              </w:rPr>
              <w:t>0</w:t>
            </w:r>
          </w:p>
        </w:tc>
        <w:tc>
          <w:tcPr>
            <w:tcW w:w="603" w:type="dxa"/>
            <w:shd w:val="clear" w:color="auto" w:fill="C4EFCE"/>
            <w:noWrap/>
            <w:vAlign w:val="center"/>
            <w:hideMark/>
          </w:tcPr>
          <w:p w14:paraId="6F1E20D5" w14:textId="263A4976" w:rsidR="00776A1F" w:rsidRDefault="00D8574B">
            <w:pPr>
              <w:pStyle w:val="P68B1DB1-Normal8"/>
              <w:spacing w:line="240" w:lineRule="auto"/>
              <w:jc w:val="center"/>
              <w:rPr>
                <w:rFonts w:eastAsia="Times New Roman" w:cs="Calibri"/>
                <w:noProof/>
              </w:rPr>
            </w:pPr>
            <w:r>
              <w:rPr>
                <w:noProof/>
              </w:rPr>
              <w:t>2 000</w:t>
            </w:r>
          </w:p>
        </w:tc>
        <w:tc>
          <w:tcPr>
            <w:tcW w:w="649" w:type="dxa"/>
            <w:shd w:val="clear" w:color="auto" w:fill="C4EFCE"/>
            <w:noWrap/>
            <w:vAlign w:val="center"/>
            <w:hideMark/>
          </w:tcPr>
          <w:p w14:paraId="56EBFD99" w14:textId="3CBB469F" w:rsidR="00776A1F" w:rsidRDefault="00D8574B">
            <w:pPr>
              <w:pStyle w:val="P68B1DB1-Normal8"/>
              <w:spacing w:line="240" w:lineRule="auto"/>
              <w:jc w:val="center"/>
              <w:rPr>
                <w:rFonts w:eastAsia="Calibri" w:cs="Calibri"/>
                <w:noProof/>
              </w:rPr>
            </w:pPr>
            <w:r>
              <w:rPr>
                <w:noProof/>
              </w:rPr>
              <w:t>3. CET.</w:t>
            </w:r>
          </w:p>
        </w:tc>
        <w:tc>
          <w:tcPr>
            <w:tcW w:w="694" w:type="dxa"/>
            <w:shd w:val="clear" w:color="auto" w:fill="C4EFCE"/>
            <w:noWrap/>
            <w:vAlign w:val="center"/>
            <w:hideMark/>
          </w:tcPr>
          <w:p w14:paraId="692AA7BC" w14:textId="77912856" w:rsidR="00776A1F" w:rsidRDefault="00D8574B">
            <w:pPr>
              <w:pStyle w:val="P68B1DB1-Normal8"/>
              <w:spacing w:line="240" w:lineRule="auto"/>
              <w:jc w:val="center"/>
              <w:rPr>
                <w:rFonts w:eastAsia="Calibri" w:cs="Calibri"/>
                <w:noProof/>
              </w:rPr>
            </w:pPr>
            <w:r>
              <w:rPr>
                <w:noProof/>
              </w:rPr>
              <w:t>2025</w:t>
            </w:r>
          </w:p>
        </w:tc>
        <w:tc>
          <w:tcPr>
            <w:tcW w:w="4204" w:type="dxa"/>
            <w:shd w:val="clear" w:color="auto" w:fill="C4EFCE"/>
            <w:vAlign w:val="center"/>
            <w:hideMark/>
          </w:tcPr>
          <w:p w14:paraId="2CE69ECE" w14:textId="4E9E3716" w:rsidR="00776A1F" w:rsidRDefault="00D8574B">
            <w:pPr>
              <w:pStyle w:val="P68B1DB1-Normal8"/>
              <w:spacing w:line="240" w:lineRule="auto"/>
              <w:jc w:val="both"/>
              <w:rPr>
                <w:rFonts w:eastAsia="Times New Roman" w:cs="Calibri"/>
                <w:noProof/>
              </w:rPr>
            </w:pPr>
            <w:r>
              <w:rPr>
                <w:noProof/>
              </w:rPr>
              <w:t>2 000 ha lauku zemes neaizsargātās teritorijās pārdala saskaņā ar programmu “Emparcelar para Ordenar”.</w:t>
            </w:r>
          </w:p>
        </w:tc>
      </w:tr>
      <w:tr w:rsidR="00776A1F" w14:paraId="166CE461" w14:textId="77777777">
        <w:trPr>
          <w:trHeight w:val="1393"/>
          <w:jc w:val="center"/>
        </w:trPr>
        <w:tc>
          <w:tcPr>
            <w:tcW w:w="1114" w:type="dxa"/>
            <w:shd w:val="clear" w:color="auto" w:fill="C4EFCE"/>
            <w:vAlign w:val="center"/>
            <w:hideMark/>
          </w:tcPr>
          <w:p w14:paraId="22FEDCD3" w14:textId="77777777" w:rsidR="00776A1F" w:rsidRDefault="00D8574B">
            <w:pPr>
              <w:pStyle w:val="P68B1DB1-Normal7"/>
              <w:spacing w:after="0" w:line="240" w:lineRule="auto"/>
              <w:jc w:val="center"/>
              <w:rPr>
                <w:rFonts w:eastAsia="Times New Roman" w:cs="Calibri"/>
                <w:noProof/>
              </w:rPr>
            </w:pPr>
            <w:r>
              <w:rPr>
                <w:noProof/>
              </w:rPr>
              <w:t>8.4</w:t>
            </w:r>
          </w:p>
        </w:tc>
        <w:tc>
          <w:tcPr>
            <w:tcW w:w="1245" w:type="dxa"/>
            <w:shd w:val="clear" w:color="auto" w:fill="C4EFCE"/>
            <w:noWrap/>
            <w:vAlign w:val="center"/>
            <w:hideMark/>
          </w:tcPr>
          <w:p w14:paraId="266A4745" w14:textId="77777777" w:rsidR="00776A1F" w:rsidRDefault="00D8574B">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563CF9E2"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7C4B2871" w14:textId="77777777" w:rsidR="00776A1F" w:rsidRDefault="00D8574B">
            <w:pPr>
              <w:pStyle w:val="P68B1DB1-Normal8"/>
              <w:spacing w:after="0" w:line="240" w:lineRule="auto"/>
              <w:jc w:val="center"/>
              <w:rPr>
                <w:rFonts w:eastAsia="Times New Roman" w:cs="Calibri"/>
                <w:noProof/>
              </w:rPr>
            </w:pPr>
            <w:r>
              <w:rPr>
                <w:noProof/>
              </w:rPr>
              <w:t>Virzība uz BUPi 2.0 platformu</w:t>
            </w:r>
          </w:p>
        </w:tc>
        <w:tc>
          <w:tcPr>
            <w:tcW w:w="1244" w:type="dxa"/>
            <w:shd w:val="clear" w:color="auto" w:fill="C4EFCE"/>
            <w:noWrap/>
            <w:vAlign w:val="center"/>
            <w:hideMark/>
          </w:tcPr>
          <w:p w14:paraId="6A5B72FB" w14:textId="77777777" w:rsidR="00776A1F" w:rsidRDefault="00D8574B">
            <w:pPr>
              <w:pStyle w:val="P68B1DB1-Normal8"/>
              <w:spacing w:after="0" w:line="240" w:lineRule="auto"/>
              <w:jc w:val="center"/>
              <w:rPr>
                <w:rFonts w:eastAsia="Times New Roman" w:cs="Calibri"/>
                <w:noProof/>
              </w:rPr>
            </w:pPr>
            <w:r>
              <w:rPr>
                <w:noProof/>
              </w:rPr>
              <w:t>BUPi 2.0 platformas ražošanas uzsākšana</w:t>
            </w:r>
          </w:p>
        </w:tc>
        <w:tc>
          <w:tcPr>
            <w:tcW w:w="971" w:type="dxa"/>
            <w:shd w:val="clear" w:color="auto" w:fill="C4EFCE"/>
            <w:noWrap/>
            <w:vAlign w:val="center"/>
            <w:hideMark/>
          </w:tcPr>
          <w:p w14:paraId="5156F1CE" w14:textId="77777777" w:rsidR="00776A1F" w:rsidRDefault="00D8574B">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F8757E3"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6435018"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6F647E22" w14:textId="77777777"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noWrap/>
            <w:vAlign w:val="center"/>
            <w:hideMark/>
          </w:tcPr>
          <w:p w14:paraId="7D47E13F" w14:textId="77777777" w:rsidR="00776A1F" w:rsidRDefault="00D8574B">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9993AAD" w14:textId="77777777" w:rsidR="00776A1F" w:rsidRDefault="00D8574B">
            <w:pPr>
              <w:pStyle w:val="P68B1DB1-Normal8"/>
              <w:spacing w:after="0" w:line="240" w:lineRule="auto"/>
              <w:jc w:val="both"/>
              <w:rPr>
                <w:rFonts w:eastAsia="Times New Roman" w:cs="Calibri"/>
                <w:noProof/>
              </w:rPr>
            </w:pPr>
            <w:r>
              <w:rPr>
                <w:noProof/>
              </w:rPr>
              <w:t xml:space="preserve">Mākoņdatošanas BUPi 2.0 platformas nodrošināšana, kas uzlabo un paplašina funkcijas, kuras jau pastāv izmēģinājuma BUPi projektā. BUPi 2.0 nodrošina dažādu sistēmu, ko pašlaik pārvalda dažādas iestādes, tostarp nodokļu un muitas iestādes, pārklājumu valsts līmenī un sadarbspēju. BUPi 2.0 ļauj pakāpeniski ieviest unikālus rekvizītu identifikācijas numurus (NIP). </w:t>
            </w:r>
          </w:p>
        </w:tc>
      </w:tr>
      <w:tr w:rsidR="00776A1F" w14:paraId="4E3E25CA" w14:textId="77777777">
        <w:trPr>
          <w:trHeight w:val="640"/>
          <w:jc w:val="center"/>
        </w:trPr>
        <w:tc>
          <w:tcPr>
            <w:tcW w:w="1114" w:type="dxa"/>
            <w:shd w:val="clear" w:color="auto" w:fill="C4EFCE"/>
            <w:vAlign w:val="center"/>
            <w:hideMark/>
          </w:tcPr>
          <w:p w14:paraId="6A82156F" w14:textId="77777777" w:rsidR="00776A1F" w:rsidRDefault="00D8574B">
            <w:pPr>
              <w:pStyle w:val="P68B1DB1-Normal7"/>
              <w:spacing w:after="0" w:line="240" w:lineRule="auto"/>
              <w:jc w:val="center"/>
              <w:rPr>
                <w:rFonts w:eastAsia="Times New Roman" w:cs="Calibri"/>
                <w:noProof/>
              </w:rPr>
            </w:pPr>
            <w:r>
              <w:rPr>
                <w:noProof/>
              </w:rPr>
              <w:t>8.5</w:t>
            </w:r>
          </w:p>
        </w:tc>
        <w:tc>
          <w:tcPr>
            <w:tcW w:w="1245" w:type="dxa"/>
            <w:shd w:val="clear" w:color="auto" w:fill="C4EFCE"/>
            <w:noWrap/>
            <w:vAlign w:val="center"/>
            <w:hideMark/>
          </w:tcPr>
          <w:p w14:paraId="1B7D2602" w14:textId="77777777" w:rsidR="00776A1F" w:rsidRDefault="00D8574B">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2B27D6AC"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6343F3" w14:textId="77777777" w:rsidR="00776A1F" w:rsidRDefault="00D8574B">
            <w:pPr>
              <w:pStyle w:val="P68B1DB1-Normal8"/>
              <w:spacing w:after="0" w:line="240" w:lineRule="auto"/>
              <w:jc w:val="center"/>
              <w:rPr>
                <w:rFonts w:eastAsia="Times New Roman" w:cs="Calibri"/>
                <w:noProof/>
              </w:rPr>
            </w:pPr>
            <w:r>
              <w:rPr>
                <w:noProof/>
              </w:rPr>
              <w:t xml:space="preserve">Apmācība par BUPi </w:t>
            </w:r>
          </w:p>
        </w:tc>
        <w:tc>
          <w:tcPr>
            <w:tcW w:w="1244" w:type="dxa"/>
            <w:shd w:val="clear" w:color="auto" w:fill="C4EFCE"/>
            <w:noWrap/>
            <w:vAlign w:val="center"/>
            <w:hideMark/>
          </w:tcPr>
          <w:p w14:paraId="25329559"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0984988" w14:textId="77777777" w:rsidR="00776A1F" w:rsidRDefault="00D8574B">
            <w:pPr>
              <w:pStyle w:val="P68B1DB1-Normal8"/>
              <w:spacing w:after="0" w:line="240" w:lineRule="auto"/>
              <w:jc w:val="center"/>
              <w:rPr>
                <w:rFonts w:eastAsia="Times New Roman" w:cs="Calibri"/>
                <w:noProof/>
              </w:rPr>
            </w:pPr>
            <w:r>
              <w:rPr>
                <w:noProof/>
              </w:rPr>
              <w:t xml:space="preserve"> Skaits</w:t>
            </w:r>
          </w:p>
        </w:tc>
        <w:tc>
          <w:tcPr>
            <w:tcW w:w="970" w:type="dxa"/>
            <w:shd w:val="clear" w:color="auto" w:fill="C4EFCE"/>
            <w:noWrap/>
            <w:vAlign w:val="center"/>
            <w:hideMark/>
          </w:tcPr>
          <w:p w14:paraId="0D49A3DA"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D1F9392" w14:textId="77777777" w:rsidR="00776A1F" w:rsidRDefault="00D8574B">
            <w:pPr>
              <w:pStyle w:val="P68B1DB1-Normal8"/>
              <w:spacing w:after="0" w:line="240" w:lineRule="auto"/>
              <w:jc w:val="center"/>
              <w:rPr>
                <w:rFonts w:eastAsia="Times New Roman" w:cs="Calibri"/>
                <w:noProof/>
              </w:rPr>
            </w:pPr>
            <w:r>
              <w:rPr>
                <w:noProof/>
              </w:rPr>
              <w:t>10</w:t>
            </w:r>
          </w:p>
        </w:tc>
        <w:tc>
          <w:tcPr>
            <w:tcW w:w="649" w:type="dxa"/>
            <w:shd w:val="clear" w:color="auto" w:fill="C4EFCE"/>
            <w:noWrap/>
            <w:vAlign w:val="center"/>
            <w:hideMark/>
          </w:tcPr>
          <w:p w14:paraId="1F6D3CC8"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3CC177FC" w14:textId="77777777" w:rsidR="00776A1F" w:rsidRDefault="00D8574B">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6E9D6ED2" w14:textId="26B42C5F" w:rsidR="00776A1F" w:rsidRDefault="00D8574B">
            <w:pPr>
              <w:pStyle w:val="P68B1DB1-Normal8"/>
              <w:spacing w:after="0" w:line="240" w:lineRule="auto"/>
              <w:jc w:val="both"/>
              <w:rPr>
                <w:rFonts w:eastAsia="Times New Roman" w:cs="Calibri"/>
                <w:noProof/>
              </w:rPr>
            </w:pPr>
            <w:r>
              <w:rPr>
                <w:noProof/>
              </w:rPr>
              <w:t xml:space="preserve">Ar BUPi saistīto ceturkšņa apmācību skaits valsts līmenī kvalificētiem tehniķiem, kuri veic grafiskās attēlošanas procedūras (RGG), Reģistru un notāru institūta (IRN) darbiniekiem, nodokļu iestāžu darbiniekiem, zemesgrāmatu tehniķiem un tehniķiem no ģenerāldirektorāta </w:t>
            </w:r>
          </w:p>
          <w:p w14:paraId="6524C248" w14:textId="33C64846" w:rsidR="00776A1F" w:rsidRDefault="00D8574B">
            <w:pPr>
              <w:pStyle w:val="P68B1DB1-Normal8"/>
              <w:spacing w:after="0" w:line="240" w:lineRule="auto"/>
              <w:jc w:val="both"/>
              <w:rPr>
                <w:rFonts w:eastAsia="Times New Roman" w:cs="Calibri"/>
                <w:noProof/>
              </w:rPr>
            </w:pPr>
            <w:r>
              <w:rPr>
                <w:noProof/>
              </w:rPr>
              <w:t xml:space="preserve">Teritorija un reģistra darbinieki. </w:t>
            </w:r>
          </w:p>
        </w:tc>
      </w:tr>
      <w:tr w:rsidR="00776A1F" w14:paraId="0E25F039" w14:textId="77777777">
        <w:trPr>
          <w:trHeight w:val="640"/>
          <w:jc w:val="center"/>
        </w:trPr>
        <w:tc>
          <w:tcPr>
            <w:tcW w:w="1114" w:type="dxa"/>
            <w:shd w:val="clear" w:color="auto" w:fill="C4EFCE"/>
            <w:vAlign w:val="center"/>
            <w:hideMark/>
          </w:tcPr>
          <w:p w14:paraId="413C83DC" w14:textId="77777777" w:rsidR="00776A1F" w:rsidRDefault="00D8574B">
            <w:pPr>
              <w:pStyle w:val="P68B1DB1-Normal7"/>
              <w:spacing w:after="0" w:line="240" w:lineRule="auto"/>
              <w:jc w:val="center"/>
              <w:rPr>
                <w:rFonts w:eastAsia="Times New Roman" w:cs="Calibri"/>
                <w:noProof/>
              </w:rPr>
            </w:pPr>
            <w:r>
              <w:rPr>
                <w:noProof/>
              </w:rPr>
              <w:t>8.6</w:t>
            </w:r>
          </w:p>
        </w:tc>
        <w:tc>
          <w:tcPr>
            <w:tcW w:w="1245" w:type="dxa"/>
            <w:shd w:val="clear" w:color="auto" w:fill="C4EFCE"/>
            <w:noWrap/>
            <w:vAlign w:val="center"/>
            <w:hideMark/>
          </w:tcPr>
          <w:p w14:paraId="499B61B8" w14:textId="77777777" w:rsidR="00776A1F" w:rsidRDefault="00D8574B">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69009EAB"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7D3E341" w14:textId="2C7A5E6B" w:rsidR="00776A1F" w:rsidRDefault="00D8574B">
            <w:pPr>
              <w:pStyle w:val="P68B1DB1-Normal8"/>
              <w:spacing w:after="0" w:line="240" w:lineRule="auto"/>
              <w:jc w:val="center"/>
              <w:rPr>
                <w:rFonts w:eastAsia="Times New Roman" w:cs="Calibri"/>
                <w:noProof/>
              </w:rPr>
            </w:pPr>
            <w:r>
              <w:rPr>
                <w:noProof/>
              </w:rPr>
              <w:t>Zemes seguma monitoringa sistēmas (SMOS) references kartēšana</w:t>
            </w:r>
          </w:p>
        </w:tc>
        <w:tc>
          <w:tcPr>
            <w:tcW w:w="1244" w:type="dxa"/>
            <w:shd w:val="clear" w:color="auto" w:fill="C4EFCE"/>
            <w:noWrap/>
            <w:vAlign w:val="center"/>
            <w:hideMark/>
          </w:tcPr>
          <w:p w14:paraId="76C22C58" w14:textId="6D8505C9" w:rsidR="00776A1F" w:rsidRDefault="00D8574B">
            <w:pPr>
              <w:pStyle w:val="P68B1DB1-Normal8"/>
              <w:spacing w:after="0" w:line="240" w:lineRule="auto"/>
              <w:jc w:val="center"/>
              <w:rPr>
                <w:rFonts w:eastAsia="Times New Roman" w:cs="Calibri"/>
                <w:noProof/>
              </w:rPr>
            </w:pPr>
            <w:r>
              <w:rPr>
                <w:noProof/>
              </w:rPr>
              <w:t>Zemes seguma monitoringa sistēmas (SMOS) references kartēšana</w:t>
            </w:r>
          </w:p>
        </w:tc>
        <w:tc>
          <w:tcPr>
            <w:tcW w:w="971" w:type="dxa"/>
            <w:shd w:val="clear" w:color="auto" w:fill="C4EFCE"/>
            <w:noWrap/>
            <w:vAlign w:val="center"/>
            <w:hideMark/>
          </w:tcPr>
          <w:p w14:paraId="122C3637"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970" w:type="dxa"/>
            <w:shd w:val="clear" w:color="auto" w:fill="C4EFCE"/>
            <w:noWrap/>
            <w:vAlign w:val="center"/>
            <w:hideMark/>
          </w:tcPr>
          <w:p w14:paraId="45289467"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40D204A4"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5408DD85" w14:textId="77777777"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noWrap/>
            <w:vAlign w:val="center"/>
            <w:hideMark/>
          </w:tcPr>
          <w:p w14:paraId="73271E44" w14:textId="77777777"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EC10692" w14:textId="1DF93F1F" w:rsidR="00776A1F" w:rsidRDefault="00D8574B">
            <w:pPr>
              <w:pStyle w:val="P68B1DB1-Normal8"/>
              <w:spacing w:after="0" w:line="240" w:lineRule="auto"/>
              <w:jc w:val="both"/>
              <w:rPr>
                <w:rFonts w:eastAsia="Times New Roman" w:cs="Calibri"/>
                <w:noProof/>
              </w:rPr>
            </w:pPr>
            <w:r>
              <w:rPr>
                <w:noProof/>
              </w:rPr>
              <w:t>Zemes seguma monitoringa sistēmas (SMOS) references kartēšana, tostarp i) 2023. gada zemes pārklājuma un izmantošanas karšu (COS) publicēšana, pamatojoties uz informāciju, ko apstiprinājušas atbildīgās iestādes un kas atspoguļo valsts ģeogrāfisko pārstāvību un sniedz informāciju par zemes izmantojumu un izmantošanu, kā arī par kultūraugu veidiem un apmežošanu, ii) zemes digitālo 3-D attēlojumu, izmantojot gaismas detektēšanas un nolaišanās (LiDAR) pārklājumu, iii) veģetācijas kartes, iv) biomasas un kokmateriālu apjoma kartes un v) satelīta pārklājumu.</w:t>
            </w:r>
          </w:p>
        </w:tc>
      </w:tr>
      <w:tr w:rsidR="00776A1F" w14:paraId="3C27D691" w14:textId="77777777">
        <w:trPr>
          <w:trHeight w:val="640"/>
          <w:jc w:val="center"/>
        </w:trPr>
        <w:tc>
          <w:tcPr>
            <w:tcW w:w="1114" w:type="dxa"/>
            <w:shd w:val="clear" w:color="auto" w:fill="C4EFCE"/>
            <w:vAlign w:val="center"/>
            <w:hideMark/>
          </w:tcPr>
          <w:p w14:paraId="607D84BC" w14:textId="77777777" w:rsidR="00776A1F" w:rsidRDefault="00D8574B">
            <w:pPr>
              <w:pStyle w:val="P68B1DB1-Normal7"/>
              <w:spacing w:after="0" w:line="240" w:lineRule="auto"/>
              <w:jc w:val="center"/>
              <w:rPr>
                <w:rFonts w:eastAsia="Times New Roman" w:cs="Calibri"/>
                <w:noProof/>
              </w:rPr>
            </w:pPr>
            <w:r>
              <w:rPr>
                <w:noProof/>
              </w:rPr>
              <w:t>8.7</w:t>
            </w:r>
          </w:p>
        </w:tc>
        <w:tc>
          <w:tcPr>
            <w:tcW w:w="1245" w:type="dxa"/>
            <w:shd w:val="clear" w:color="auto" w:fill="C4EFCE"/>
            <w:noWrap/>
            <w:vAlign w:val="center"/>
            <w:hideMark/>
          </w:tcPr>
          <w:p w14:paraId="4A5A0BD2" w14:textId="77777777" w:rsidR="00776A1F" w:rsidRDefault="00D8574B">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7B8443DD"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C2C678E" w14:textId="799E37C6" w:rsidR="00776A1F" w:rsidRDefault="00D8574B">
            <w:pPr>
              <w:pStyle w:val="P68B1DB1-Normal8"/>
              <w:spacing w:after="0" w:line="240" w:lineRule="auto"/>
              <w:jc w:val="center"/>
              <w:rPr>
                <w:rFonts w:eastAsia="Times New Roman" w:cs="Calibri"/>
                <w:noProof/>
              </w:rPr>
            </w:pPr>
            <w:r>
              <w:rPr>
                <w:noProof/>
              </w:rPr>
              <w:t>Primārās degvielas apsaimniekošanas pārrāvumu strukturēšanas tīkla (RPFGC) līguma publicēšana</w:t>
            </w:r>
          </w:p>
        </w:tc>
        <w:tc>
          <w:tcPr>
            <w:tcW w:w="1244" w:type="dxa"/>
            <w:shd w:val="clear" w:color="auto" w:fill="C4EFCE"/>
            <w:noWrap/>
            <w:vAlign w:val="center"/>
            <w:hideMark/>
          </w:tcPr>
          <w:p w14:paraId="6E8D6636" w14:textId="1EBD3616" w:rsidR="00776A1F" w:rsidRDefault="00D8574B">
            <w:pPr>
              <w:pStyle w:val="P68B1DB1-Normal8"/>
              <w:spacing w:after="0" w:line="240" w:lineRule="auto"/>
              <w:jc w:val="center"/>
              <w:rPr>
                <w:rFonts w:eastAsia="Times New Roman" w:cs="Calibri"/>
                <w:noProof/>
              </w:rPr>
            </w:pPr>
            <w:r>
              <w:rPr>
                <w:noProof/>
              </w:rPr>
              <w:t xml:space="preserve">Primāro degvielu pārvaldības pārrāvumu tīkla (RPFGC) līguma publicēšana BASE.gov </w:t>
            </w:r>
          </w:p>
        </w:tc>
        <w:tc>
          <w:tcPr>
            <w:tcW w:w="971" w:type="dxa"/>
            <w:shd w:val="clear" w:color="auto" w:fill="C4EFCE"/>
            <w:noWrap/>
            <w:vAlign w:val="center"/>
            <w:hideMark/>
          </w:tcPr>
          <w:p w14:paraId="4197053A" w14:textId="77777777" w:rsidR="00776A1F" w:rsidRDefault="00D8574B">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9B05337"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C755A51"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1D16C080" w14:textId="77777777"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noWrap/>
            <w:vAlign w:val="center"/>
            <w:hideMark/>
          </w:tcPr>
          <w:p w14:paraId="0CE3B7A2" w14:textId="77777777" w:rsidR="00776A1F" w:rsidRDefault="00D8574B">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708801F" w14:textId="314FDF93" w:rsidR="00776A1F" w:rsidRDefault="00D8574B">
            <w:pPr>
              <w:pStyle w:val="P68B1DB1-Normal8"/>
              <w:spacing w:after="0" w:line="240" w:lineRule="auto"/>
              <w:jc w:val="both"/>
              <w:rPr>
                <w:rFonts w:eastAsia="Times New Roman" w:cs="Calibri"/>
                <w:noProof/>
              </w:rPr>
            </w:pPr>
            <w:r>
              <w:rPr>
                <w:noProof/>
              </w:rPr>
              <w:t xml:space="preserve">Kompetentā iestāde piešķir līguma slēgšanas tiesības primārās degvielas apsaimniekošanas pārrāvumu strukturēšanas tīkla (RPFGC) īstenošanai, lai radītu horizontālus pārtraukumus ainavā, lai izolētu ugunsgrēka uzliesmojumus. </w:t>
            </w:r>
          </w:p>
        </w:tc>
      </w:tr>
      <w:tr w:rsidR="00776A1F" w14:paraId="2117A862" w14:textId="77777777">
        <w:trPr>
          <w:trHeight w:val="300"/>
          <w:jc w:val="center"/>
        </w:trPr>
        <w:tc>
          <w:tcPr>
            <w:tcW w:w="1114" w:type="dxa"/>
            <w:shd w:val="clear" w:color="auto" w:fill="C4EFCE"/>
            <w:vAlign w:val="center"/>
            <w:hideMark/>
          </w:tcPr>
          <w:p w14:paraId="5F5F4015" w14:textId="77777777" w:rsidR="00776A1F" w:rsidRDefault="00D8574B">
            <w:pPr>
              <w:pStyle w:val="P68B1DB1-Normal7"/>
              <w:spacing w:after="0" w:line="240" w:lineRule="auto"/>
              <w:jc w:val="center"/>
              <w:rPr>
                <w:rFonts w:eastAsia="Times New Roman" w:cs="Calibri"/>
                <w:noProof/>
              </w:rPr>
            </w:pPr>
            <w:r>
              <w:rPr>
                <w:noProof/>
              </w:rPr>
              <w:t>8.8</w:t>
            </w:r>
          </w:p>
        </w:tc>
        <w:tc>
          <w:tcPr>
            <w:tcW w:w="1245" w:type="dxa"/>
            <w:shd w:val="clear" w:color="auto" w:fill="C4EFCE"/>
            <w:noWrap/>
            <w:vAlign w:val="center"/>
            <w:hideMark/>
          </w:tcPr>
          <w:p w14:paraId="642A4370" w14:textId="77777777" w:rsidR="00776A1F" w:rsidRDefault="00D8574B">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446A0969"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F7E64D" w14:textId="77777777" w:rsidR="00776A1F" w:rsidRDefault="00D8574B">
            <w:pPr>
              <w:pStyle w:val="P68B1DB1-Normal8"/>
              <w:spacing w:after="0" w:line="240" w:lineRule="auto"/>
              <w:jc w:val="center"/>
              <w:rPr>
                <w:rFonts w:eastAsia="Times New Roman" w:cs="Calibri"/>
                <w:noProof/>
              </w:rPr>
            </w:pPr>
            <w:r>
              <w:rPr>
                <w:noProof/>
              </w:rPr>
              <w:t>Izveidota servitūta teritorija</w:t>
            </w:r>
          </w:p>
        </w:tc>
        <w:tc>
          <w:tcPr>
            <w:tcW w:w="1244" w:type="dxa"/>
            <w:shd w:val="clear" w:color="auto" w:fill="C4EFCE"/>
            <w:noWrap/>
            <w:vAlign w:val="center"/>
            <w:hideMark/>
          </w:tcPr>
          <w:p w14:paraId="6B4AD3B0"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0A7FE39" w14:textId="77777777" w:rsidR="00776A1F" w:rsidRDefault="00D8574B">
            <w:pPr>
              <w:pStyle w:val="P68B1DB1-Normal8"/>
              <w:spacing w:after="0" w:line="240" w:lineRule="auto"/>
              <w:jc w:val="center"/>
              <w:rPr>
                <w:rFonts w:eastAsia="Times New Roman" w:cs="Calibri"/>
                <w:noProof/>
              </w:rPr>
            </w:pPr>
            <w:r>
              <w:rPr>
                <w:noProof/>
              </w:rPr>
              <w:t>ha</w:t>
            </w:r>
          </w:p>
        </w:tc>
        <w:tc>
          <w:tcPr>
            <w:tcW w:w="970" w:type="dxa"/>
            <w:shd w:val="clear" w:color="auto" w:fill="C4EFCE"/>
            <w:noWrap/>
            <w:vAlign w:val="center"/>
            <w:hideMark/>
          </w:tcPr>
          <w:p w14:paraId="37D0B124" w14:textId="77777777" w:rsidR="00776A1F" w:rsidRDefault="00D8574B">
            <w:pPr>
              <w:pStyle w:val="P68B1DB1-Normal8"/>
              <w:spacing w:after="0" w:line="240" w:lineRule="auto"/>
              <w:jc w:val="center"/>
              <w:rPr>
                <w:rFonts w:eastAsia="Times New Roman" w:cs="Calibri"/>
                <w:noProof/>
              </w:rPr>
            </w:pPr>
            <w:r>
              <w:rPr>
                <w:noProof/>
              </w:rPr>
              <w:t> 0</w:t>
            </w:r>
          </w:p>
        </w:tc>
        <w:tc>
          <w:tcPr>
            <w:tcW w:w="603" w:type="dxa"/>
            <w:shd w:val="clear" w:color="auto" w:fill="C4EFCE"/>
            <w:noWrap/>
            <w:vAlign w:val="center"/>
            <w:hideMark/>
          </w:tcPr>
          <w:p w14:paraId="5C288326" w14:textId="77777777" w:rsidR="00776A1F" w:rsidRDefault="00D8574B">
            <w:pPr>
              <w:pStyle w:val="P68B1DB1-Normal8"/>
              <w:spacing w:after="0" w:line="240" w:lineRule="auto"/>
              <w:jc w:val="center"/>
              <w:rPr>
                <w:rFonts w:eastAsia="Times New Roman" w:cs="Calibri"/>
                <w:noProof/>
              </w:rPr>
            </w:pPr>
            <w:r>
              <w:rPr>
                <w:noProof/>
              </w:rPr>
              <w:t>21 727</w:t>
            </w:r>
          </w:p>
        </w:tc>
        <w:tc>
          <w:tcPr>
            <w:tcW w:w="649" w:type="dxa"/>
            <w:shd w:val="clear" w:color="auto" w:fill="C4EFCE"/>
            <w:noWrap/>
            <w:vAlign w:val="center"/>
            <w:hideMark/>
          </w:tcPr>
          <w:p w14:paraId="193C372D"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noWrap/>
            <w:vAlign w:val="center"/>
            <w:hideMark/>
          </w:tcPr>
          <w:p w14:paraId="361D822E" w14:textId="50E1ABB3"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050DA219" w14:textId="1156CC5A" w:rsidR="00776A1F" w:rsidRDefault="00D8574B">
            <w:pPr>
              <w:pStyle w:val="P68B1DB1-Normal8"/>
              <w:spacing w:after="0" w:line="240" w:lineRule="auto"/>
              <w:jc w:val="both"/>
              <w:rPr>
                <w:rFonts w:eastAsia="Times New Roman" w:cs="Calibri"/>
                <w:noProof/>
              </w:rPr>
            </w:pPr>
            <w:r>
              <w:rPr>
                <w:noProof/>
              </w:rPr>
              <w:t>Servitūta teritorija, kas izveidota primārajā degvielas apsaimniekošanas pārtraukumu tīklā (RPFGC)</w:t>
            </w:r>
          </w:p>
          <w:p w14:paraId="2517E778" w14:textId="6DC1028B" w:rsidR="00776A1F" w:rsidRDefault="00D8574B">
            <w:pPr>
              <w:pStyle w:val="P68B1DB1-Normal8"/>
              <w:spacing w:after="0" w:line="240" w:lineRule="auto"/>
              <w:jc w:val="both"/>
              <w:rPr>
                <w:rFonts w:eastAsia="Times New Roman" w:cs="Calibri"/>
                <w:noProof/>
              </w:rPr>
            </w:pPr>
            <w:r>
              <w:rPr>
                <w:noProof/>
              </w:rPr>
              <w:t>Šo zemi iekļauj BUPi platformā, lai pēc tam varētu veikt īpašu reģistrācijas procedūru.</w:t>
            </w:r>
          </w:p>
        </w:tc>
      </w:tr>
      <w:tr w:rsidR="00776A1F" w14:paraId="392C2D5D" w14:textId="77777777">
        <w:trPr>
          <w:trHeight w:val="430"/>
          <w:jc w:val="center"/>
        </w:trPr>
        <w:tc>
          <w:tcPr>
            <w:tcW w:w="1114" w:type="dxa"/>
            <w:shd w:val="clear" w:color="auto" w:fill="C4EFCE"/>
            <w:vAlign w:val="center"/>
            <w:hideMark/>
          </w:tcPr>
          <w:p w14:paraId="23A37D83" w14:textId="77777777" w:rsidR="00776A1F" w:rsidRDefault="00D8574B">
            <w:pPr>
              <w:pStyle w:val="P68B1DB1-Normal7"/>
              <w:spacing w:after="0" w:line="240" w:lineRule="auto"/>
              <w:jc w:val="center"/>
              <w:rPr>
                <w:rFonts w:eastAsia="Times New Roman" w:cs="Calibri"/>
                <w:noProof/>
              </w:rPr>
            </w:pPr>
            <w:r>
              <w:rPr>
                <w:noProof/>
              </w:rPr>
              <w:t>8.9</w:t>
            </w:r>
          </w:p>
        </w:tc>
        <w:tc>
          <w:tcPr>
            <w:tcW w:w="1245" w:type="dxa"/>
            <w:shd w:val="clear" w:color="auto" w:fill="C4EFCE"/>
            <w:noWrap/>
            <w:vAlign w:val="center"/>
            <w:hideMark/>
          </w:tcPr>
          <w:p w14:paraId="5212D01F" w14:textId="77777777" w:rsidR="00776A1F" w:rsidRDefault="00D8574B">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36C724AE"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0D704E0" w14:textId="17A8A212" w:rsidR="00776A1F" w:rsidRDefault="00D8574B">
            <w:pPr>
              <w:pStyle w:val="P68B1DB1-Normal8"/>
              <w:spacing w:after="0" w:line="240" w:lineRule="auto"/>
              <w:jc w:val="center"/>
              <w:rPr>
                <w:rFonts w:eastAsia="Times New Roman" w:cs="Calibri"/>
                <w:noProof/>
              </w:rPr>
            </w:pPr>
            <w:r>
              <w:rPr>
                <w:noProof/>
              </w:rPr>
              <w:t>Primāro degvielu pārvaldības pārrāvumu strukturēšanas tīkla (RPFGC) īstenošana</w:t>
            </w:r>
          </w:p>
        </w:tc>
        <w:tc>
          <w:tcPr>
            <w:tcW w:w="1244" w:type="dxa"/>
            <w:shd w:val="clear" w:color="auto" w:fill="C4EFCE"/>
            <w:noWrap/>
            <w:vAlign w:val="center"/>
            <w:hideMark/>
          </w:tcPr>
          <w:p w14:paraId="23E2BACD"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4C251181" w14:textId="77777777" w:rsidR="00776A1F" w:rsidRDefault="00D8574B">
            <w:pPr>
              <w:pStyle w:val="P68B1DB1-Normal8"/>
              <w:spacing w:after="0" w:line="240" w:lineRule="auto"/>
              <w:jc w:val="center"/>
              <w:rPr>
                <w:rFonts w:eastAsia="Times New Roman" w:cs="Calibri"/>
                <w:noProof/>
              </w:rPr>
            </w:pPr>
            <w:r>
              <w:rPr>
                <w:noProof/>
              </w:rPr>
              <w:t>Skaits</w:t>
            </w:r>
          </w:p>
        </w:tc>
        <w:tc>
          <w:tcPr>
            <w:tcW w:w="970" w:type="dxa"/>
            <w:shd w:val="clear" w:color="auto" w:fill="C4EFCE"/>
            <w:noWrap/>
            <w:vAlign w:val="center"/>
            <w:hideMark/>
          </w:tcPr>
          <w:p w14:paraId="451D6332" w14:textId="77777777" w:rsidR="00776A1F" w:rsidRDefault="00D8574B">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13734D22" w14:textId="77777777" w:rsidR="00776A1F" w:rsidRDefault="00D8574B">
            <w:pPr>
              <w:pStyle w:val="P68B1DB1-Normal8"/>
              <w:spacing w:after="0" w:line="240" w:lineRule="auto"/>
              <w:jc w:val="center"/>
              <w:rPr>
                <w:rFonts w:eastAsia="Times New Roman" w:cs="Calibri"/>
                <w:noProof/>
              </w:rPr>
            </w:pPr>
            <w:r>
              <w:rPr>
                <w:noProof/>
              </w:rPr>
              <w:t>37 500</w:t>
            </w:r>
          </w:p>
        </w:tc>
        <w:tc>
          <w:tcPr>
            <w:tcW w:w="649" w:type="dxa"/>
            <w:shd w:val="clear" w:color="auto" w:fill="C4EFCE"/>
            <w:noWrap/>
            <w:vAlign w:val="center"/>
            <w:hideMark/>
          </w:tcPr>
          <w:p w14:paraId="4962CE45"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6E8FFA64" w14:textId="77777777"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485B98D" w14:textId="3D8CF93E" w:rsidR="00776A1F" w:rsidRDefault="00D8574B">
            <w:pPr>
              <w:pStyle w:val="P68B1DB1-Normal8"/>
              <w:spacing w:after="0" w:line="240" w:lineRule="auto"/>
              <w:jc w:val="both"/>
              <w:rPr>
                <w:rFonts w:eastAsia="Times New Roman" w:cs="Calibri"/>
                <w:noProof/>
              </w:rPr>
            </w:pPr>
            <w:r>
              <w:rPr>
                <w:noProof/>
              </w:rPr>
              <w:t>Īstenotā degvielas apsaimniekošanas pārrāvumu primārā tīkla (RPFGC) teritorija (ha) — horizontālo pārtraukumu (degvielas apsaimniekošanas joslu) izveide ainavā, lai izolētu ugunsgrēka uzliesmojumus.</w:t>
            </w:r>
          </w:p>
        </w:tc>
      </w:tr>
      <w:tr w:rsidR="00776A1F" w14:paraId="13D047D8" w14:textId="77777777">
        <w:trPr>
          <w:trHeight w:val="430"/>
          <w:jc w:val="center"/>
        </w:trPr>
        <w:tc>
          <w:tcPr>
            <w:tcW w:w="1114" w:type="dxa"/>
            <w:shd w:val="clear" w:color="auto" w:fill="C4EFCE"/>
            <w:vAlign w:val="center"/>
            <w:hideMark/>
          </w:tcPr>
          <w:p w14:paraId="6ED52C23" w14:textId="77777777" w:rsidR="00776A1F" w:rsidRDefault="00D8574B">
            <w:pPr>
              <w:pStyle w:val="P68B1DB1-Normal7"/>
              <w:spacing w:after="0" w:line="240" w:lineRule="auto"/>
              <w:jc w:val="center"/>
              <w:rPr>
                <w:rFonts w:eastAsia="Times New Roman" w:cs="Calibri"/>
                <w:noProof/>
              </w:rPr>
            </w:pPr>
            <w:r>
              <w:rPr>
                <w:noProof/>
              </w:rPr>
              <w:t>8.10</w:t>
            </w:r>
          </w:p>
        </w:tc>
        <w:tc>
          <w:tcPr>
            <w:tcW w:w="1245" w:type="dxa"/>
            <w:shd w:val="clear" w:color="auto" w:fill="C4EFCE"/>
            <w:noWrap/>
            <w:vAlign w:val="center"/>
            <w:hideMark/>
          </w:tcPr>
          <w:p w14:paraId="030B3560" w14:textId="77777777" w:rsidR="00776A1F" w:rsidRDefault="00D8574B">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600B64B0"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022925A" w14:textId="77777777" w:rsidR="00776A1F" w:rsidRDefault="00D8574B">
            <w:pPr>
              <w:pStyle w:val="P68B1DB1-Normal8"/>
              <w:spacing w:after="0" w:line="240" w:lineRule="auto"/>
              <w:jc w:val="center"/>
              <w:rPr>
                <w:rFonts w:eastAsia="Times New Roman" w:cs="Calibri"/>
                <w:noProof/>
              </w:rPr>
            </w:pPr>
            <w:r>
              <w:rPr>
                <w:noProof/>
              </w:rPr>
              <w:t>Transportlīdzekļu, mašīnu un iekārtu piegāde</w:t>
            </w:r>
          </w:p>
        </w:tc>
        <w:tc>
          <w:tcPr>
            <w:tcW w:w="1244" w:type="dxa"/>
            <w:shd w:val="clear" w:color="auto" w:fill="C4EFCE"/>
            <w:noWrap/>
            <w:vAlign w:val="center"/>
            <w:hideMark/>
          </w:tcPr>
          <w:p w14:paraId="39554C14"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18547CC0" w14:textId="77777777" w:rsidR="00776A1F" w:rsidRDefault="00D8574B">
            <w:pPr>
              <w:pStyle w:val="P68B1DB1-Normal8"/>
              <w:spacing w:after="0" w:line="240" w:lineRule="auto"/>
              <w:jc w:val="center"/>
              <w:rPr>
                <w:rFonts w:eastAsia="Times New Roman" w:cs="Calibri"/>
                <w:noProof/>
              </w:rPr>
            </w:pPr>
            <w:r>
              <w:rPr>
                <w:noProof/>
              </w:rPr>
              <w:t xml:space="preserve"> Skaits</w:t>
            </w:r>
          </w:p>
        </w:tc>
        <w:tc>
          <w:tcPr>
            <w:tcW w:w="970" w:type="dxa"/>
            <w:shd w:val="clear" w:color="auto" w:fill="C4EFCE"/>
            <w:noWrap/>
            <w:vAlign w:val="center"/>
            <w:hideMark/>
          </w:tcPr>
          <w:p w14:paraId="7C429149" w14:textId="77777777" w:rsidR="00776A1F" w:rsidRDefault="00D8574B">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20CC9EEC" w14:textId="77777777" w:rsidR="00776A1F" w:rsidRDefault="00D8574B">
            <w:pPr>
              <w:pStyle w:val="P68B1DB1-Normal8"/>
              <w:spacing w:after="0" w:line="240" w:lineRule="auto"/>
              <w:jc w:val="center"/>
              <w:rPr>
                <w:rFonts w:eastAsia="Times New Roman" w:cs="Calibri"/>
                <w:noProof/>
              </w:rPr>
            </w:pPr>
            <w:r>
              <w:rPr>
                <w:noProof/>
              </w:rPr>
              <w:t>179</w:t>
            </w:r>
          </w:p>
        </w:tc>
        <w:tc>
          <w:tcPr>
            <w:tcW w:w="649" w:type="dxa"/>
            <w:shd w:val="clear" w:color="auto" w:fill="C4EFCE"/>
            <w:noWrap/>
            <w:vAlign w:val="center"/>
            <w:hideMark/>
          </w:tcPr>
          <w:p w14:paraId="64F991E2" w14:textId="77777777"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noWrap/>
            <w:vAlign w:val="center"/>
            <w:hideMark/>
          </w:tcPr>
          <w:p w14:paraId="555E763F" w14:textId="77777777" w:rsidR="00776A1F" w:rsidRDefault="00D8574B">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23EB455A" w14:textId="77777777" w:rsidR="00776A1F" w:rsidRDefault="00D8574B">
            <w:pPr>
              <w:pStyle w:val="P68B1DB1-Normal8"/>
              <w:spacing w:after="0" w:line="240" w:lineRule="auto"/>
              <w:jc w:val="both"/>
              <w:rPr>
                <w:rFonts w:eastAsia="Times New Roman" w:cs="Calibri"/>
                <w:noProof/>
              </w:rPr>
            </w:pPr>
            <w:r>
              <w:rPr>
                <w:noProof/>
              </w:rPr>
              <w:t>Ugunsdzēšanas un ugunsdrošības transportlīdzekļu, mašīnu un aprīkojuma piegāde pēc tam, kad ir apstiprināts, ka tie atbilst tehniskajām specifikācijām un citām līguma prasībām, saskaņā ar konkursa procedūru.</w:t>
            </w:r>
          </w:p>
        </w:tc>
      </w:tr>
      <w:tr w:rsidR="00776A1F" w14:paraId="487ADD74" w14:textId="77777777">
        <w:trPr>
          <w:trHeight w:val="1109"/>
          <w:jc w:val="center"/>
        </w:trPr>
        <w:tc>
          <w:tcPr>
            <w:tcW w:w="1114" w:type="dxa"/>
            <w:shd w:val="clear" w:color="auto" w:fill="C4EFCE"/>
            <w:vAlign w:val="center"/>
            <w:hideMark/>
          </w:tcPr>
          <w:p w14:paraId="3860DB26" w14:textId="77777777" w:rsidR="00776A1F" w:rsidRDefault="00D8574B">
            <w:pPr>
              <w:pStyle w:val="P68B1DB1-Normal7"/>
              <w:spacing w:after="0" w:line="240" w:lineRule="auto"/>
              <w:jc w:val="center"/>
              <w:rPr>
                <w:rFonts w:eastAsia="Times New Roman" w:cs="Calibri"/>
                <w:noProof/>
              </w:rPr>
            </w:pPr>
            <w:r>
              <w:rPr>
                <w:noProof/>
              </w:rPr>
              <w:t>8.11</w:t>
            </w:r>
          </w:p>
        </w:tc>
        <w:tc>
          <w:tcPr>
            <w:tcW w:w="1245" w:type="dxa"/>
            <w:shd w:val="clear" w:color="auto" w:fill="C4EFCE"/>
            <w:noWrap/>
            <w:vAlign w:val="center"/>
            <w:hideMark/>
          </w:tcPr>
          <w:p w14:paraId="76C404B0" w14:textId="77777777" w:rsidR="00776A1F" w:rsidRDefault="00D8574B">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58F4C381"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0FD1789" w14:textId="77777777" w:rsidR="00776A1F" w:rsidRDefault="00D8574B">
            <w:pPr>
              <w:pStyle w:val="P68B1DB1-Normal8"/>
              <w:spacing w:after="0" w:line="240" w:lineRule="auto"/>
              <w:jc w:val="center"/>
              <w:rPr>
                <w:rFonts w:eastAsia="Times New Roman" w:cs="Calibri"/>
                <w:noProof/>
              </w:rPr>
            </w:pPr>
            <w:r>
              <w:rPr>
                <w:noProof/>
              </w:rPr>
              <w:t>Vieglo un vidējo ugunsdzēsēju helikopteru piegāde</w:t>
            </w:r>
          </w:p>
        </w:tc>
        <w:tc>
          <w:tcPr>
            <w:tcW w:w="1244" w:type="dxa"/>
            <w:shd w:val="clear" w:color="auto" w:fill="C4EFCE"/>
            <w:noWrap/>
            <w:vAlign w:val="center"/>
            <w:hideMark/>
          </w:tcPr>
          <w:p w14:paraId="487CBD48"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74765D2D" w14:textId="77777777" w:rsidR="00776A1F" w:rsidRDefault="00D8574B">
            <w:pPr>
              <w:pStyle w:val="P68B1DB1-Normal8"/>
              <w:spacing w:after="0" w:line="240" w:lineRule="auto"/>
              <w:jc w:val="center"/>
              <w:rPr>
                <w:rFonts w:eastAsia="Times New Roman" w:cs="Calibri"/>
                <w:noProof/>
              </w:rPr>
            </w:pPr>
            <w:r>
              <w:rPr>
                <w:noProof/>
              </w:rPr>
              <w:t xml:space="preserve"> Skaits</w:t>
            </w:r>
          </w:p>
        </w:tc>
        <w:tc>
          <w:tcPr>
            <w:tcW w:w="970" w:type="dxa"/>
            <w:shd w:val="clear" w:color="auto" w:fill="C4EFCE"/>
            <w:noWrap/>
            <w:vAlign w:val="center"/>
            <w:hideMark/>
          </w:tcPr>
          <w:p w14:paraId="7BE1885F"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16399CA0" w14:textId="64428CEC" w:rsidR="00776A1F" w:rsidRDefault="00D8574B">
            <w:pPr>
              <w:pStyle w:val="P68B1DB1-Normal8"/>
              <w:spacing w:after="0" w:line="240" w:lineRule="auto"/>
              <w:jc w:val="center"/>
              <w:rPr>
                <w:rFonts w:eastAsia="Calibri" w:cs="Calibri"/>
                <w:noProof/>
              </w:rPr>
            </w:pPr>
            <w:r>
              <w:rPr>
                <w:noProof/>
              </w:rPr>
              <w:t>11</w:t>
            </w:r>
          </w:p>
        </w:tc>
        <w:tc>
          <w:tcPr>
            <w:tcW w:w="649" w:type="dxa"/>
            <w:shd w:val="clear" w:color="auto" w:fill="C4EFCE"/>
            <w:noWrap/>
            <w:vAlign w:val="center"/>
            <w:hideMark/>
          </w:tcPr>
          <w:p w14:paraId="3B3A6032"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49892F3C" w14:textId="77777777"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EE5FF2B" w14:textId="7512F60A" w:rsidR="00776A1F" w:rsidRDefault="00D8574B">
            <w:pPr>
              <w:pStyle w:val="P68B1DB1-Normal8"/>
              <w:spacing w:after="0" w:line="240" w:lineRule="auto"/>
              <w:jc w:val="both"/>
              <w:rPr>
                <w:rFonts w:eastAsia="Times New Roman" w:cs="Calibri"/>
                <w:noProof/>
              </w:rPr>
            </w:pPr>
            <w:r>
              <w:rPr>
                <w:noProof/>
              </w:rPr>
              <w:t>Divu vieglo ugunsdzēsēju helikoptera (HEBL) un deviņu vidēja ugunsdzēsēja helikopteru (HEBM) piegāde pēc tam, kad ir apstiprināts, ka tie atbilst tehniskajām specifikācijām un citām līguma prasībām. Mērķis ietver arī ēku un infrastruktūras būvniecību un/vai atjaunošanu helikopteru izmantošanai un apkopei.</w:t>
            </w:r>
          </w:p>
        </w:tc>
      </w:tr>
      <w:tr w:rsidR="00776A1F" w14:paraId="3D57C30A" w14:textId="77777777">
        <w:trPr>
          <w:trHeight w:val="1602"/>
          <w:jc w:val="center"/>
        </w:trPr>
        <w:tc>
          <w:tcPr>
            <w:tcW w:w="1114" w:type="dxa"/>
            <w:shd w:val="clear" w:color="auto" w:fill="C4EFCE"/>
            <w:vAlign w:val="center"/>
            <w:hideMark/>
          </w:tcPr>
          <w:p w14:paraId="2C8E73E6" w14:textId="77777777" w:rsidR="00776A1F" w:rsidRDefault="00D8574B">
            <w:pPr>
              <w:pStyle w:val="P68B1DB1-Normal7"/>
              <w:spacing w:after="0" w:line="240" w:lineRule="auto"/>
              <w:jc w:val="center"/>
              <w:rPr>
                <w:rFonts w:eastAsia="Times New Roman" w:cs="Calibri"/>
                <w:noProof/>
              </w:rPr>
            </w:pPr>
            <w:r>
              <w:rPr>
                <w:noProof/>
              </w:rPr>
              <w:t>8.12</w:t>
            </w:r>
          </w:p>
        </w:tc>
        <w:tc>
          <w:tcPr>
            <w:tcW w:w="1245" w:type="dxa"/>
            <w:shd w:val="clear" w:color="auto" w:fill="C4EFCE"/>
            <w:noWrap/>
            <w:vAlign w:val="center"/>
            <w:hideMark/>
          </w:tcPr>
          <w:p w14:paraId="70010057" w14:textId="77777777" w:rsidR="00776A1F" w:rsidRDefault="00D8574B">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7176F5E0"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BC37E58" w14:textId="77777777" w:rsidR="00776A1F" w:rsidRDefault="00D8574B">
            <w:pPr>
              <w:pStyle w:val="P68B1DB1-Normal8"/>
              <w:spacing w:after="0" w:line="240" w:lineRule="auto"/>
              <w:jc w:val="center"/>
              <w:rPr>
                <w:rFonts w:eastAsia="Times New Roman" w:cs="Calibri"/>
                <w:noProof/>
              </w:rPr>
            </w:pPr>
            <w:r>
              <w:rPr>
                <w:noProof/>
              </w:rPr>
              <w:t xml:space="preserve">Duālās polarizācijas radaru uzstādīšana </w:t>
            </w:r>
          </w:p>
        </w:tc>
        <w:tc>
          <w:tcPr>
            <w:tcW w:w="1244" w:type="dxa"/>
            <w:shd w:val="clear" w:color="auto" w:fill="C4EFCE"/>
            <w:noWrap/>
            <w:vAlign w:val="center"/>
            <w:hideMark/>
          </w:tcPr>
          <w:p w14:paraId="15D2EC6F"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57C5188B" w14:textId="77777777" w:rsidR="00776A1F" w:rsidRDefault="00D8574B">
            <w:pPr>
              <w:pStyle w:val="P68B1DB1-Normal8"/>
              <w:spacing w:after="0" w:line="240" w:lineRule="auto"/>
              <w:jc w:val="center"/>
              <w:rPr>
                <w:rFonts w:eastAsia="Times New Roman" w:cs="Calibri"/>
                <w:noProof/>
              </w:rPr>
            </w:pPr>
            <w:r>
              <w:rPr>
                <w:noProof/>
              </w:rPr>
              <w:t xml:space="preserve"> Skaits</w:t>
            </w:r>
          </w:p>
        </w:tc>
        <w:tc>
          <w:tcPr>
            <w:tcW w:w="970" w:type="dxa"/>
            <w:shd w:val="clear" w:color="auto" w:fill="C4EFCE"/>
            <w:noWrap/>
            <w:vAlign w:val="center"/>
            <w:hideMark/>
          </w:tcPr>
          <w:p w14:paraId="3F4B6B81"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B6819FD" w14:textId="77777777" w:rsidR="00776A1F" w:rsidRDefault="00D8574B">
            <w:pPr>
              <w:pStyle w:val="P68B1DB1-Normal8"/>
              <w:spacing w:after="0" w:line="240" w:lineRule="auto"/>
              <w:jc w:val="center"/>
              <w:rPr>
                <w:rFonts w:eastAsia="Times New Roman" w:cs="Calibri"/>
                <w:noProof/>
              </w:rPr>
            </w:pPr>
            <w:r>
              <w:rPr>
                <w:noProof/>
              </w:rPr>
              <w:t>2</w:t>
            </w:r>
          </w:p>
        </w:tc>
        <w:tc>
          <w:tcPr>
            <w:tcW w:w="649" w:type="dxa"/>
            <w:shd w:val="clear" w:color="auto" w:fill="C4EFCE"/>
            <w:noWrap/>
            <w:vAlign w:val="center"/>
            <w:hideMark/>
          </w:tcPr>
          <w:p w14:paraId="73B9EEDA" w14:textId="7375E0C1"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3F0D0945" w14:textId="77777777" w:rsidR="00776A1F" w:rsidRDefault="00D8574B">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72298171" w14:textId="77777777" w:rsidR="00776A1F" w:rsidRDefault="00D8574B">
            <w:pPr>
              <w:pStyle w:val="P68B1DB1-Normal8"/>
              <w:spacing w:after="0" w:line="240" w:lineRule="auto"/>
              <w:jc w:val="both"/>
              <w:rPr>
                <w:rFonts w:eastAsia="Times New Roman" w:cs="Calibri"/>
                <w:noProof/>
              </w:rPr>
            </w:pPr>
            <w:r>
              <w:rPr>
                <w:noProof/>
              </w:rPr>
              <w:t>Divu divkāršās polarizācijas radaru uzstādīšana ar vajadzīgo datošanas un arhivēšanas sistēmu, diviem zibens detektoriem un divām laika meteoroloģiskajām stacijām. Iekārta ir pabeigta pēc tam, kad ir apstiprināts, ka tā atbilst tehniskajām specifikācijām un citām līguma prasībām.</w:t>
            </w:r>
          </w:p>
        </w:tc>
      </w:tr>
      <w:tr w:rsidR="00776A1F" w14:paraId="28363569" w14:textId="77777777">
        <w:trPr>
          <w:trHeight w:val="430"/>
          <w:jc w:val="center"/>
        </w:trPr>
        <w:tc>
          <w:tcPr>
            <w:tcW w:w="1114" w:type="dxa"/>
            <w:shd w:val="clear" w:color="auto" w:fill="C4EFCE"/>
            <w:vAlign w:val="center"/>
            <w:hideMark/>
          </w:tcPr>
          <w:p w14:paraId="6AE21B31" w14:textId="77777777" w:rsidR="00776A1F" w:rsidRDefault="00D8574B">
            <w:pPr>
              <w:pStyle w:val="P68B1DB1-Normal7"/>
              <w:spacing w:after="0" w:line="240" w:lineRule="auto"/>
              <w:jc w:val="center"/>
              <w:rPr>
                <w:rFonts w:eastAsia="Times New Roman" w:cs="Calibri"/>
                <w:noProof/>
              </w:rPr>
            </w:pPr>
            <w:r>
              <w:rPr>
                <w:noProof/>
              </w:rPr>
              <w:t>8.13</w:t>
            </w:r>
          </w:p>
        </w:tc>
        <w:tc>
          <w:tcPr>
            <w:tcW w:w="1245" w:type="dxa"/>
            <w:shd w:val="clear" w:color="auto" w:fill="C4EFCE"/>
            <w:noWrap/>
            <w:vAlign w:val="center"/>
            <w:hideMark/>
          </w:tcPr>
          <w:p w14:paraId="7F3A085B" w14:textId="77777777" w:rsidR="00776A1F" w:rsidRDefault="00D8574B">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705F7814"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98E7C32" w14:textId="77777777" w:rsidR="00776A1F" w:rsidRDefault="00D8574B">
            <w:pPr>
              <w:pStyle w:val="P68B1DB1-Normal8"/>
              <w:spacing w:after="0" w:line="240" w:lineRule="auto"/>
              <w:jc w:val="center"/>
              <w:rPr>
                <w:rFonts w:eastAsia="Times New Roman" w:cs="Calibri"/>
                <w:noProof/>
              </w:rPr>
            </w:pPr>
            <w:r>
              <w:rPr>
                <w:noProof/>
              </w:rPr>
              <w:t>Iekšlietu ministrijas (MAI) struktūru stiprināšana ar transportlīdzekļiem un darba aprīkojumu</w:t>
            </w:r>
          </w:p>
        </w:tc>
        <w:tc>
          <w:tcPr>
            <w:tcW w:w="1244" w:type="dxa"/>
            <w:shd w:val="clear" w:color="auto" w:fill="C4EFCE"/>
            <w:noWrap/>
            <w:vAlign w:val="center"/>
            <w:hideMark/>
          </w:tcPr>
          <w:p w14:paraId="0A3F576B"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B0961C3" w14:textId="77777777" w:rsidR="00776A1F" w:rsidRDefault="00D8574B">
            <w:pPr>
              <w:pStyle w:val="P68B1DB1-Normal8"/>
              <w:spacing w:after="0" w:line="240" w:lineRule="auto"/>
              <w:jc w:val="center"/>
              <w:rPr>
                <w:rFonts w:eastAsia="Times New Roman" w:cs="Calibri"/>
                <w:noProof/>
              </w:rPr>
            </w:pPr>
            <w:r>
              <w:rPr>
                <w:noProof/>
              </w:rPr>
              <w:t>Skaits</w:t>
            </w:r>
          </w:p>
        </w:tc>
        <w:tc>
          <w:tcPr>
            <w:tcW w:w="970" w:type="dxa"/>
            <w:shd w:val="clear" w:color="auto" w:fill="C4EFCE"/>
            <w:noWrap/>
            <w:vAlign w:val="center"/>
            <w:hideMark/>
          </w:tcPr>
          <w:p w14:paraId="71F85106"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E49558E" w14:textId="77777777" w:rsidR="00776A1F" w:rsidRDefault="00D8574B">
            <w:pPr>
              <w:pStyle w:val="P68B1DB1-Normal8"/>
              <w:spacing w:after="0" w:line="240" w:lineRule="auto"/>
              <w:jc w:val="center"/>
              <w:rPr>
                <w:rFonts w:eastAsia="Times New Roman" w:cs="Calibri"/>
                <w:noProof/>
              </w:rPr>
            </w:pPr>
            <w:r>
              <w:rPr>
                <w:noProof/>
              </w:rPr>
              <w:t>62</w:t>
            </w:r>
          </w:p>
        </w:tc>
        <w:tc>
          <w:tcPr>
            <w:tcW w:w="649" w:type="dxa"/>
            <w:shd w:val="clear" w:color="auto" w:fill="C4EFCE"/>
            <w:noWrap/>
            <w:vAlign w:val="center"/>
            <w:hideMark/>
          </w:tcPr>
          <w:p w14:paraId="3E640486"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1E0E5DA7" w14:textId="77777777" w:rsidR="00776A1F" w:rsidRDefault="00D8574B">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hideMark/>
          </w:tcPr>
          <w:p w14:paraId="282B8265" w14:textId="17A1E554" w:rsidR="00776A1F" w:rsidRDefault="00D8574B">
            <w:pPr>
              <w:pStyle w:val="P68B1DB1-Normal8"/>
              <w:spacing w:after="0" w:line="240" w:lineRule="auto"/>
              <w:jc w:val="both"/>
              <w:rPr>
                <w:rFonts w:eastAsia="Times New Roman" w:cs="Calibri"/>
                <w:noProof/>
              </w:rPr>
            </w:pPr>
            <w:r>
              <w:rPr>
                <w:noProof/>
              </w:rPr>
              <w:t xml:space="preserve">62 MAI vienību (ANEPC, GNR un ugunsdzēsēju brigādes) stiprināšana, nodrošinot apmācību un kvalifikāciju operatīvajam personālam, kas iesaistīts ugunsdzēsībā, jaunos transportlīdzekļos un operatīvajā aprīkojumā vismaz par EUR 35000000. </w:t>
            </w:r>
          </w:p>
        </w:tc>
      </w:tr>
      <w:tr w:rsidR="00776A1F" w14:paraId="57E6AB3E" w14:textId="77777777">
        <w:trPr>
          <w:trHeight w:val="430"/>
          <w:jc w:val="center"/>
        </w:trPr>
        <w:tc>
          <w:tcPr>
            <w:tcW w:w="1114" w:type="dxa"/>
            <w:shd w:val="clear" w:color="auto" w:fill="C4EFCE"/>
            <w:vAlign w:val="center"/>
            <w:hideMark/>
          </w:tcPr>
          <w:p w14:paraId="42ABB305" w14:textId="77777777" w:rsidR="00776A1F" w:rsidRDefault="00D8574B">
            <w:pPr>
              <w:pStyle w:val="P68B1DB1-Normal7"/>
              <w:spacing w:after="0" w:line="240" w:lineRule="auto"/>
              <w:jc w:val="center"/>
              <w:rPr>
                <w:rFonts w:eastAsia="Times New Roman" w:cs="Calibri"/>
                <w:noProof/>
              </w:rPr>
            </w:pPr>
            <w:r>
              <w:rPr>
                <w:noProof/>
              </w:rPr>
              <w:t>8.14</w:t>
            </w:r>
          </w:p>
        </w:tc>
        <w:tc>
          <w:tcPr>
            <w:tcW w:w="1245" w:type="dxa"/>
            <w:shd w:val="clear" w:color="auto" w:fill="C4EFCE"/>
            <w:noWrap/>
            <w:vAlign w:val="center"/>
            <w:hideMark/>
          </w:tcPr>
          <w:p w14:paraId="4FFF914B" w14:textId="77777777" w:rsidR="00776A1F" w:rsidRDefault="00D8574B">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1A75D938"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61AED32" w14:textId="77777777" w:rsidR="00776A1F" w:rsidRDefault="00D8574B">
            <w:pPr>
              <w:pStyle w:val="P68B1DB1-Normal8"/>
              <w:spacing w:after="0" w:line="240" w:lineRule="auto"/>
              <w:jc w:val="center"/>
              <w:rPr>
                <w:rFonts w:eastAsia="Times New Roman" w:cs="Calibri"/>
                <w:noProof/>
              </w:rPr>
            </w:pPr>
            <w:r>
              <w:rPr>
                <w:noProof/>
              </w:rPr>
              <w:t>Valsts Ārkārtas un civilās aizsardzības iestādes (ANEPC) reģionālo un apakšreģionālo struktūru izveide</w:t>
            </w:r>
          </w:p>
        </w:tc>
        <w:tc>
          <w:tcPr>
            <w:tcW w:w="1244" w:type="dxa"/>
            <w:shd w:val="clear" w:color="auto" w:fill="C4EFCE"/>
            <w:noWrap/>
            <w:vAlign w:val="center"/>
            <w:hideMark/>
          </w:tcPr>
          <w:p w14:paraId="420A6551"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3DD9936" w14:textId="77777777" w:rsidR="00776A1F" w:rsidRDefault="00D8574B">
            <w:pPr>
              <w:pStyle w:val="P68B1DB1-Normal8"/>
              <w:spacing w:after="0" w:line="240" w:lineRule="auto"/>
              <w:jc w:val="center"/>
              <w:rPr>
                <w:rFonts w:eastAsia="Times New Roman" w:cs="Calibri"/>
                <w:noProof/>
              </w:rPr>
            </w:pPr>
            <w:r>
              <w:rPr>
                <w:noProof/>
              </w:rPr>
              <w:t>Skaits</w:t>
            </w:r>
          </w:p>
        </w:tc>
        <w:tc>
          <w:tcPr>
            <w:tcW w:w="970" w:type="dxa"/>
            <w:shd w:val="clear" w:color="auto" w:fill="C4EFCE"/>
            <w:noWrap/>
            <w:vAlign w:val="center"/>
            <w:hideMark/>
          </w:tcPr>
          <w:p w14:paraId="074B7CB8"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75FC58FC" w14:textId="77777777" w:rsidR="00776A1F" w:rsidRDefault="00D8574B">
            <w:pPr>
              <w:pStyle w:val="P68B1DB1-Normal8"/>
              <w:spacing w:after="0" w:line="240" w:lineRule="auto"/>
              <w:jc w:val="center"/>
              <w:rPr>
                <w:rFonts w:eastAsia="Times New Roman" w:cs="Calibri"/>
                <w:noProof/>
              </w:rPr>
            </w:pPr>
            <w:r>
              <w:rPr>
                <w:noProof/>
              </w:rPr>
              <w:t>6</w:t>
            </w:r>
          </w:p>
        </w:tc>
        <w:tc>
          <w:tcPr>
            <w:tcW w:w="649" w:type="dxa"/>
            <w:shd w:val="clear" w:color="auto" w:fill="C4EFCE"/>
            <w:noWrap/>
            <w:vAlign w:val="center"/>
            <w:hideMark/>
          </w:tcPr>
          <w:p w14:paraId="6CEEB9F3" w14:textId="77777777" w:rsidR="00776A1F" w:rsidRDefault="00D8574B">
            <w:pPr>
              <w:pStyle w:val="P68B1DB1-Normal8"/>
              <w:spacing w:after="0" w:line="240" w:lineRule="auto"/>
              <w:jc w:val="center"/>
              <w:rPr>
                <w:rFonts w:eastAsia="Times New Roman" w:cs="Calibri"/>
                <w:noProof/>
              </w:rPr>
            </w:pPr>
            <w:r>
              <w:rPr>
                <w:noProof/>
              </w:rPr>
              <w:t>2. CET.</w:t>
            </w:r>
          </w:p>
        </w:tc>
        <w:tc>
          <w:tcPr>
            <w:tcW w:w="694" w:type="dxa"/>
            <w:shd w:val="clear" w:color="auto" w:fill="C4EFCE"/>
            <w:noWrap/>
            <w:vAlign w:val="center"/>
            <w:hideMark/>
          </w:tcPr>
          <w:p w14:paraId="1D60899A" w14:textId="77777777" w:rsidR="00776A1F" w:rsidRDefault="00D8574B">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B8BA932" w14:textId="77777777" w:rsidR="00776A1F" w:rsidRDefault="00D8574B">
            <w:pPr>
              <w:pStyle w:val="P68B1DB1-Normal8"/>
              <w:spacing w:after="0" w:line="240" w:lineRule="auto"/>
              <w:jc w:val="both"/>
              <w:rPr>
                <w:rFonts w:eastAsia="Times New Roman" w:cs="Calibri"/>
                <w:noProof/>
              </w:rPr>
            </w:pPr>
            <w:r>
              <w:rPr>
                <w:noProof/>
              </w:rPr>
              <w:t>Divu reģionālo un četru apakšreģionālo ārkārtas un civilās aizsardzības pavēlniecību darbības uzsākšana (kā noteikts 2019. gada 1. aprīļa Dekrētlikumā Nr. 45/2019)</w:t>
            </w:r>
          </w:p>
        </w:tc>
      </w:tr>
      <w:tr w:rsidR="00776A1F" w14:paraId="1BD51647" w14:textId="77777777">
        <w:trPr>
          <w:trHeight w:val="430"/>
          <w:jc w:val="center"/>
        </w:trPr>
        <w:tc>
          <w:tcPr>
            <w:tcW w:w="1114" w:type="dxa"/>
            <w:shd w:val="clear" w:color="auto" w:fill="C4EFCE"/>
            <w:vAlign w:val="center"/>
          </w:tcPr>
          <w:p w14:paraId="735E7B4B" w14:textId="650A0E03" w:rsidR="00776A1F" w:rsidRDefault="00D8574B">
            <w:pPr>
              <w:pStyle w:val="P68B1DB1-Normal7"/>
              <w:spacing w:after="0" w:line="240" w:lineRule="auto"/>
              <w:jc w:val="center"/>
              <w:rPr>
                <w:rFonts w:eastAsia="Times New Roman" w:cs="Calibri"/>
                <w:noProof/>
              </w:rPr>
            </w:pPr>
            <w:r>
              <w:rPr>
                <w:noProof/>
              </w:rPr>
              <w:t>8.21</w:t>
            </w:r>
          </w:p>
        </w:tc>
        <w:tc>
          <w:tcPr>
            <w:tcW w:w="1245" w:type="dxa"/>
            <w:shd w:val="clear" w:color="auto" w:fill="C4EFCE"/>
            <w:noWrap/>
            <w:vAlign w:val="center"/>
          </w:tcPr>
          <w:p w14:paraId="0AACDDC4" w14:textId="25407601" w:rsidR="00776A1F" w:rsidRDefault="00D8574B">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tcPr>
          <w:p w14:paraId="24C462E0" w14:textId="4B2BBB0B"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tcPr>
          <w:p w14:paraId="1D11E778" w14:textId="31BAF8A5" w:rsidR="00776A1F" w:rsidRDefault="00D8574B">
            <w:pPr>
              <w:pStyle w:val="P68B1DB1-Normal8"/>
              <w:spacing w:after="0" w:line="240" w:lineRule="auto"/>
              <w:jc w:val="center"/>
              <w:rPr>
                <w:rFonts w:eastAsia="Times New Roman" w:cs="Calibri"/>
                <w:noProof/>
              </w:rPr>
            </w:pPr>
            <w:r>
              <w:rPr>
                <w:noProof/>
              </w:rPr>
              <w:t>Izpratnes veicināšanas kampaņas izstrāde, lai novērstu riskantu uzvedību</w:t>
            </w:r>
          </w:p>
        </w:tc>
        <w:tc>
          <w:tcPr>
            <w:tcW w:w="1244" w:type="dxa"/>
            <w:shd w:val="clear" w:color="auto" w:fill="C4EFCE"/>
            <w:noWrap/>
            <w:vAlign w:val="center"/>
          </w:tcPr>
          <w:p w14:paraId="52E9B3FE" w14:textId="580495C0" w:rsidR="00776A1F" w:rsidRDefault="00D8574B">
            <w:pPr>
              <w:pStyle w:val="P68B1DB1-Normal8"/>
              <w:spacing w:after="0" w:line="240" w:lineRule="auto"/>
              <w:jc w:val="center"/>
              <w:rPr>
                <w:rFonts w:eastAsia="Times New Roman" w:cs="Calibri"/>
                <w:noProof/>
              </w:rPr>
            </w:pPr>
            <w:r>
              <w:rPr>
                <w:noProof/>
              </w:rPr>
              <w:t>Izpratnes veicināšanas kampaņas izstrāde</w:t>
            </w:r>
          </w:p>
        </w:tc>
        <w:tc>
          <w:tcPr>
            <w:tcW w:w="971" w:type="dxa"/>
            <w:shd w:val="clear" w:color="auto" w:fill="C4EFCE"/>
            <w:noWrap/>
            <w:vAlign w:val="center"/>
          </w:tcPr>
          <w:p w14:paraId="6AAB0976" w14:textId="77777777" w:rsidR="00776A1F" w:rsidRDefault="00776A1F">
            <w:pPr>
              <w:spacing w:after="0" w:line="240" w:lineRule="auto"/>
              <w:jc w:val="center"/>
              <w:rPr>
                <w:rFonts w:ascii="Calibri" w:eastAsia="Times New Roman" w:hAnsi="Calibri" w:cs="Calibri"/>
                <w:noProof/>
                <w:sz w:val="16"/>
              </w:rPr>
            </w:pPr>
          </w:p>
        </w:tc>
        <w:tc>
          <w:tcPr>
            <w:tcW w:w="970" w:type="dxa"/>
            <w:shd w:val="clear" w:color="auto" w:fill="C4EFCE"/>
            <w:noWrap/>
            <w:vAlign w:val="center"/>
          </w:tcPr>
          <w:p w14:paraId="3E96ED2D" w14:textId="77777777" w:rsidR="00776A1F" w:rsidRDefault="00776A1F">
            <w:pPr>
              <w:spacing w:after="0" w:line="240" w:lineRule="auto"/>
              <w:jc w:val="center"/>
              <w:rPr>
                <w:rFonts w:ascii="Calibri" w:eastAsia="Times New Roman" w:hAnsi="Calibri" w:cs="Calibri"/>
                <w:noProof/>
                <w:sz w:val="16"/>
              </w:rPr>
            </w:pPr>
          </w:p>
        </w:tc>
        <w:tc>
          <w:tcPr>
            <w:tcW w:w="603" w:type="dxa"/>
            <w:shd w:val="clear" w:color="auto" w:fill="C4EFCE"/>
            <w:noWrap/>
            <w:vAlign w:val="center"/>
          </w:tcPr>
          <w:p w14:paraId="3F15B41C" w14:textId="77777777" w:rsidR="00776A1F" w:rsidRDefault="00776A1F">
            <w:pPr>
              <w:spacing w:after="0" w:line="240" w:lineRule="auto"/>
              <w:jc w:val="center"/>
              <w:rPr>
                <w:rFonts w:ascii="Calibri" w:eastAsia="Times New Roman" w:hAnsi="Calibri" w:cs="Calibri"/>
                <w:noProof/>
                <w:sz w:val="16"/>
              </w:rPr>
            </w:pPr>
          </w:p>
        </w:tc>
        <w:tc>
          <w:tcPr>
            <w:tcW w:w="649" w:type="dxa"/>
            <w:shd w:val="clear" w:color="auto" w:fill="C4EFCE"/>
            <w:noWrap/>
            <w:vAlign w:val="center"/>
          </w:tcPr>
          <w:p w14:paraId="3EAB6B11" w14:textId="1E35D20C" w:rsidR="00776A1F" w:rsidRDefault="00D8574B">
            <w:pPr>
              <w:pStyle w:val="P68B1DB1-Normal8"/>
              <w:spacing w:after="0" w:line="240" w:lineRule="auto"/>
              <w:jc w:val="center"/>
              <w:rPr>
                <w:rFonts w:eastAsia="Times New Roman" w:cs="Calibri"/>
                <w:noProof/>
              </w:rPr>
            </w:pPr>
            <w:r>
              <w:rPr>
                <w:noProof/>
              </w:rPr>
              <w:t>1. CET.</w:t>
            </w:r>
          </w:p>
        </w:tc>
        <w:tc>
          <w:tcPr>
            <w:tcW w:w="694" w:type="dxa"/>
            <w:shd w:val="clear" w:color="auto" w:fill="C4EFCE"/>
            <w:noWrap/>
            <w:vAlign w:val="center"/>
          </w:tcPr>
          <w:p w14:paraId="51373D4C" w14:textId="4B225C32" w:rsidR="00776A1F" w:rsidRDefault="00D8574B">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tcPr>
          <w:p w14:paraId="4F376972" w14:textId="22BF7B73" w:rsidR="00776A1F" w:rsidRDefault="00D8574B">
            <w:pPr>
              <w:pStyle w:val="P68B1DB1-Normal8"/>
              <w:spacing w:after="0" w:line="240" w:lineRule="auto"/>
              <w:jc w:val="both"/>
              <w:rPr>
                <w:rFonts w:eastAsia="Times New Roman" w:cs="Calibri"/>
                <w:noProof/>
              </w:rPr>
            </w:pPr>
            <w:r>
              <w:rPr>
                <w:noProof/>
              </w:rPr>
              <w:t>Izpratnes un informācijas kampaņas izstrāde saskaņā ar programmām “Droši ciemati” un “Droši cilvēki”, lai novērstu riskantu uzvedību sabiedrībā</w:t>
            </w:r>
          </w:p>
        </w:tc>
      </w:tr>
      <w:tr w:rsidR="00776A1F" w14:paraId="238DE77F" w14:textId="77777777">
        <w:trPr>
          <w:trHeight w:val="509"/>
          <w:jc w:val="center"/>
        </w:trPr>
        <w:tc>
          <w:tcPr>
            <w:tcW w:w="1114" w:type="dxa"/>
            <w:shd w:val="clear" w:color="auto" w:fill="C4EFCE"/>
            <w:vAlign w:val="center"/>
            <w:hideMark/>
          </w:tcPr>
          <w:p w14:paraId="47445FAF" w14:textId="77777777" w:rsidR="00776A1F" w:rsidRDefault="00D8574B">
            <w:pPr>
              <w:pStyle w:val="P68B1DB1-Normal7"/>
              <w:spacing w:after="0" w:line="240" w:lineRule="auto"/>
              <w:jc w:val="center"/>
              <w:rPr>
                <w:rFonts w:eastAsia="Times New Roman" w:cs="Calibri"/>
                <w:noProof/>
              </w:rPr>
            </w:pPr>
            <w:r>
              <w:rPr>
                <w:noProof/>
              </w:rPr>
              <w:t>8.15</w:t>
            </w:r>
          </w:p>
        </w:tc>
        <w:tc>
          <w:tcPr>
            <w:tcW w:w="1245" w:type="dxa"/>
            <w:shd w:val="clear" w:color="auto" w:fill="C4EFCE"/>
            <w:noWrap/>
            <w:vAlign w:val="center"/>
            <w:hideMark/>
          </w:tcPr>
          <w:p w14:paraId="2517A793" w14:textId="77777777" w:rsidR="00776A1F" w:rsidRDefault="00D8574B">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17847491"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4F78A110" w14:textId="38D2100B" w:rsidR="00776A1F" w:rsidRDefault="00D8574B">
            <w:pPr>
              <w:pStyle w:val="P68B1DB1-Normal8"/>
              <w:spacing w:after="0" w:line="240" w:lineRule="auto"/>
              <w:jc w:val="center"/>
              <w:rPr>
                <w:rFonts w:eastAsia="Times New Roman" w:cs="Calibri"/>
                <w:noProof/>
              </w:rPr>
            </w:pPr>
            <w:r>
              <w:rPr>
                <w:noProof/>
              </w:rPr>
              <w:t>Dabas aizsardzības un mežu institūta sākotnējā ziņojuma publicēšana, I.P.</w:t>
            </w:r>
          </w:p>
        </w:tc>
        <w:tc>
          <w:tcPr>
            <w:tcW w:w="1244" w:type="dxa"/>
            <w:shd w:val="clear" w:color="auto" w:fill="C4EFCE"/>
            <w:noWrap/>
            <w:vAlign w:val="center"/>
            <w:hideMark/>
          </w:tcPr>
          <w:p w14:paraId="61C7BA1A" w14:textId="00CFABEF" w:rsidR="00776A1F" w:rsidRDefault="00D8574B">
            <w:pPr>
              <w:pStyle w:val="P68B1DB1-Normal8"/>
              <w:spacing w:after="0" w:line="240" w:lineRule="auto"/>
              <w:jc w:val="center"/>
              <w:rPr>
                <w:rFonts w:eastAsia="Times New Roman" w:cs="Calibri"/>
                <w:noProof/>
              </w:rPr>
            </w:pPr>
            <w:r>
              <w:rPr>
                <w:noProof/>
              </w:rPr>
              <w:t xml:space="preserve"> Ziņojuma publicēšana par programmas līgumiem starp Dabas aizsardzības un mežu institūtu, I.P. un meža īpašnieku organizācijām (OPF) un kompetences centriem</w:t>
            </w:r>
          </w:p>
        </w:tc>
        <w:tc>
          <w:tcPr>
            <w:tcW w:w="971" w:type="dxa"/>
            <w:shd w:val="clear" w:color="auto" w:fill="C4EFCE"/>
            <w:noWrap/>
            <w:vAlign w:val="center"/>
            <w:hideMark/>
          </w:tcPr>
          <w:p w14:paraId="463B68BD" w14:textId="77777777" w:rsidR="00776A1F" w:rsidRDefault="00D8574B">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702DE6B6"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BF8BBF8"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004FE9A5" w14:textId="77777777" w:rsidR="00776A1F" w:rsidRDefault="00D8574B">
            <w:pPr>
              <w:pStyle w:val="P68B1DB1-Normal8"/>
              <w:spacing w:after="0" w:line="240" w:lineRule="auto"/>
              <w:jc w:val="center"/>
              <w:rPr>
                <w:rFonts w:eastAsia="Times New Roman" w:cs="Calibri"/>
                <w:noProof/>
              </w:rPr>
            </w:pPr>
            <w:r>
              <w:rPr>
                <w:noProof/>
              </w:rPr>
              <w:t>2. CET.</w:t>
            </w:r>
          </w:p>
        </w:tc>
        <w:tc>
          <w:tcPr>
            <w:tcW w:w="694" w:type="dxa"/>
            <w:shd w:val="clear" w:color="auto" w:fill="C4EFCE"/>
            <w:noWrap/>
            <w:vAlign w:val="center"/>
            <w:hideMark/>
          </w:tcPr>
          <w:p w14:paraId="14C31C89" w14:textId="77777777" w:rsidR="00776A1F" w:rsidRDefault="00D8574B">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C2A7317" w14:textId="72498C86" w:rsidR="00776A1F" w:rsidRDefault="00D8574B">
            <w:pPr>
              <w:pStyle w:val="P68B1DB1-Normal8"/>
              <w:spacing w:after="0" w:line="240" w:lineRule="auto"/>
              <w:jc w:val="both"/>
              <w:rPr>
                <w:rFonts w:eastAsia="Times New Roman" w:cs="Calibri"/>
                <w:noProof/>
              </w:rPr>
            </w:pPr>
            <w:r>
              <w:rPr>
                <w:noProof/>
              </w:rPr>
              <w:t>Ziņojumā ir sniegta sīkāka informācija par programmas līgumiem starp Dabas aizsardzības un mežu institūtu, I.P. un meža īpašnieku organizācijām (OPF) un kompetences centriem, tostarp informācija par katru gadu sasniedzamajiem mērķiem un mērķrādītājiem. Pēc sākotnējā ziņojuma katru pusgadu publicē programmas līgumu īstenošanu un progresu.</w:t>
            </w:r>
          </w:p>
        </w:tc>
      </w:tr>
      <w:tr w:rsidR="00776A1F" w14:paraId="306EF906" w14:textId="77777777">
        <w:trPr>
          <w:trHeight w:val="2243"/>
          <w:jc w:val="center"/>
        </w:trPr>
        <w:tc>
          <w:tcPr>
            <w:tcW w:w="1114" w:type="dxa"/>
            <w:shd w:val="clear" w:color="auto" w:fill="C4EFCE"/>
            <w:vAlign w:val="center"/>
            <w:hideMark/>
          </w:tcPr>
          <w:p w14:paraId="66DD3540" w14:textId="77777777" w:rsidR="00776A1F" w:rsidRDefault="00D8574B">
            <w:pPr>
              <w:pStyle w:val="P68B1DB1-Normal7"/>
              <w:spacing w:after="0" w:line="240" w:lineRule="auto"/>
              <w:jc w:val="center"/>
              <w:rPr>
                <w:rFonts w:eastAsia="Times New Roman" w:cs="Calibri"/>
                <w:noProof/>
              </w:rPr>
            </w:pPr>
            <w:r>
              <w:rPr>
                <w:noProof/>
              </w:rPr>
              <w:t>8.16</w:t>
            </w:r>
          </w:p>
        </w:tc>
        <w:tc>
          <w:tcPr>
            <w:tcW w:w="1245" w:type="dxa"/>
            <w:shd w:val="clear" w:color="auto" w:fill="C4EFCE"/>
            <w:noWrap/>
            <w:vAlign w:val="center"/>
            <w:hideMark/>
          </w:tcPr>
          <w:p w14:paraId="4F50D588" w14:textId="77777777" w:rsidR="00776A1F" w:rsidRDefault="00D8574B">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6B1C90DB" w14:textId="77777777" w:rsidR="00776A1F" w:rsidRDefault="00D8574B">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1EE0237" w14:textId="77777777" w:rsidR="00776A1F" w:rsidRDefault="00D8574B">
            <w:pPr>
              <w:pStyle w:val="P68B1DB1-Normal8"/>
              <w:spacing w:after="0" w:line="240" w:lineRule="auto"/>
              <w:jc w:val="center"/>
              <w:rPr>
                <w:rFonts w:eastAsia="Times New Roman" w:cs="Calibri"/>
                <w:noProof/>
              </w:rPr>
            </w:pPr>
            <w:r>
              <w:rPr>
                <w:noProof/>
              </w:rPr>
              <w:t xml:space="preserve">Valsts mācību programmas īstenošana </w:t>
            </w:r>
          </w:p>
        </w:tc>
        <w:tc>
          <w:tcPr>
            <w:tcW w:w="1244" w:type="dxa"/>
            <w:shd w:val="clear" w:color="auto" w:fill="C4EFCE"/>
            <w:noWrap/>
            <w:vAlign w:val="center"/>
            <w:hideMark/>
          </w:tcPr>
          <w:p w14:paraId="62D7DE1B" w14:textId="77777777" w:rsidR="00776A1F" w:rsidRDefault="00D8574B">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0E70A1C1" w14:textId="77777777" w:rsidR="00776A1F" w:rsidRDefault="00D8574B">
            <w:pPr>
              <w:pStyle w:val="P68B1DB1-Normal8"/>
              <w:spacing w:after="0" w:line="240" w:lineRule="auto"/>
              <w:jc w:val="center"/>
              <w:rPr>
                <w:rFonts w:eastAsia="Times New Roman" w:cs="Calibri"/>
                <w:noProof/>
              </w:rPr>
            </w:pPr>
            <w:r>
              <w:rPr>
                <w:noProof/>
              </w:rPr>
              <w:t>Skaits</w:t>
            </w:r>
          </w:p>
        </w:tc>
        <w:tc>
          <w:tcPr>
            <w:tcW w:w="970" w:type="dxa"/>
            <w:shd w:val="clear" w:color="auto" w:fill="C4EFCE"/>
            <w:noWrap/>
            <w:vAlign w:val="center"/>
            <w:hideMark/>
          </w:tcPr>
          <w:p w14:paraId="11FA2AD4" w14:textId="77777777" w:rsidR="00776A1F" w:rsidRDefault="00D8574B">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549C5F5" w14:textId="77777777" w:rsidR="00776A1F" w:rsidRDefault="00D8574B">
            <w:pPr>
              <w:pStyle w:val="P68B1DB1-Normal8"/>
              <w:spacing w:after="0" w:line="240" w:lineRule="auto"/>
              <w:jc w:val="center"/>
              <w:rPr>
                <w:rFonts w:eastAsia="Times New Roman" w:cs="Calibri"/>
                <w:noProof/>
              </w:rPr>
            </w:pPr>
            <w:r>
              <w:rPr>
                <w:noProof/>
              </w:rPr>
              <w:t>150</w:t>
            </w:r>
          </w:p>
        </w:tc>
        <w:tc>
          <w:tcPr>
            <w:tcW w:w="649" w:type="dxa"/>
            <w:shd w:val="clear" w:color="auto" w:fill="C4EFCE"/>
            <w:noWrap/>
            <w:vAlign w:val="center"/>
            <w:hideMark/>
          </w:tcPr>
          <w:p w14:paraId="3A3C11A9"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2D7E4914" w14:textId="77777777" w:rsidR="00776A1F" w:rsidRDefault="00D8574B">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60C63F15" w14:textId="2481ACA9" w:rsidR="00776A1F" w:rsidRDefault="00D8574B">
            <w:pPr>
              <w:pStyle w:val="P68B1DB1-Normal8"/>
              <w:spacing w:after="0" w:line="240" w:lineRule="auto"/>
              <w:jc w:val="both"/>
              <w:rPr>
                <w:rFonts w:eastAsia="Times New Roman" w:cs="Calibri"/>
                <w:noProof/>
              </w:rPr>
            </w:pPr>
            <w:r>
              <w:rPr>
                <w:noProof/>
              </w:rPr>
              <w:t>150 tehniķi no meža ražotāju organizācijām (OPF) saņem apmācību, kuras ilgums ir vismaz 684 stundas. Apmācībā galvenā uzmanība tiek pievērsta šādiem tematiem: organizācijas pārvaldība, ugunsgrēku novēršana laukos, kontrolēta ugunsgrēku likvidēšana, augu veselība, ilgtspējīgas meža apsaimniekošanas sertifikācija, meža teritoriju daudzfunkcionalitāte, nekoksnes meža produkti, atlīdzība par ekosistēmu pakalpojumiem, bioloģiskā daudzveidība, meža infrastruktūra, mežsaimniecības projekti, meža inventarizācija vai zemes reģistrs.</w:t>
            </w:r>
          </w:p>
        </w:tc>
      </w:tr>
      <w:tr w:rsidR="00776A1F" w14:paraId="69BDF293" w14:textId="77777777">
        <w:trPr>
          <w:trHeight w:val="840"/>
          <w:jc w:val="center"/>
        </w:trPr>
        <w:tc>
          <w:tcPr>
            <w:tcW w:w="1114" w:type="dxa"/>
            <w:shd w:val="clear" w:color="auto" w:fill="C4EFCE"/>
            <w:vAlign w:val="center"/>
            <w:hideMark/>
          </w:tcPr>
          <w:p w14:paraId="2C542057" w14:textId="77777777" w:rsidR="00776A1F" w:rsidRDefault="00D8574B">
            <w:pPr>
              <w:pStyle w:val="P68B1DB1-Normal7"/>
              <w:spacing w:after="0" w:line="240" w:lineRule="auto"/>
              <w:jc w:val="center"/>
              <w:rPr>
                <w:rFonts w:eastAsia="Times New Roman" w:cs="Calibri"/>
                <w:noProof/>
              </w:rPr>
            </w:pPr>
            <w:r>
              <w:rPr>
                <w:noProof/>
              </w:rPr>
              <w:t>8.17</w:t>
            </w:r>
          </w:p>
        </w:tc>
        <w:tc>
          <w:tcPr>
            <w:tcW w:w="1245" w:type="dxa"/>
            <w:shd w:val="clear" w:color="auto" w:fill="C4EFCE"/>
            <w:noWrap/>
            <w:vAlign w:val="center"/>
            <w:hideMark/>
          </w:tcPr>
          <w:p w14:paraId="3269762F" w14:textId="77777777" w:rsidR="00776A1F" w:rsidRDefault="00D8574B">
            <w:pPr>
              <w:pStyle w:val="P68B1DB1-Normal8"/>
              <w:spacing w:after="0" w:line="240" w:lineRule="auto"/>
              <w:jc w:val="center"/>
              <w:rPr>
                <w:rFonts w:eastAsia="Times New Roman" w:cs="Calibri"/>
                <w:noProof/>
              </w:rPr>
            </w:pPr>
            <w:r>
              <w:rPr>
                <w:noProof/>
              </w:rPr>
              <w:t>Re-C08-r19</w:t>
            </w:r>
          </w:p>
        </w:tc>
        <w:tc>
          <w:tcPr>
            <w:tcW w:w="1107" w:type="dxa"/>
            <w:shd w:val="clear" w:color="auto" w:fill="C4EFCE"/>
            <w:noWrap/>
            <w:vAlign w:val="center"/>
            <w:hideMark/>
          </w:tcPr>
          <w:p w14:paraId="12E7B4FB"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E16B4BC" w14:textId="77777777" w:rsidR="00776A1F" w:rsidRDefault="00D8574B">
            <w:pPr>
              <w:pStyle w:val="P68B1DB1-Normal8"/>
              <w:spacing w:after="0" w:line="240" w:lineRule="auto"/>
              <w:jc w:val="center"/>
              <w:rPr>
                <w:rFonts w:eastAsia="Times New Roman" w:cs="Calibri"/>
                <w:noProof/>
              </w:rPr>
            </w:pPr>
            <w:r>
              <w:rPr>
                <w:noProof/>
              </w:rPr>
              <w:t xml:space="preserve">Tiesiskais regulējums par lauku zemes obligātu lietošanu mežsaimniecības teritorijās </w:t>
            </w:r>
          </w:p>
        </w:tc>
        <w:tc>
          <w:tcPr>
            <w:tcW w:w="1244" w:type="dxa"/>
            <w:shd w:val="clear" w:color="auto" w:fill="C4EFCE"/>
            <w:noWrap/>
            <w:vAlign w:val="center"/>
            <w:hideMark/>
          </w:tcPr>
          <w:p w14:paraId="7E669474" w14:textId="77777777" w:rsidR="00776A1F" w:rsidRDefault="00D8574B">
            <w:pPr>
              <w:pStyle w:val="P68B1DB1-Normal8"/>
              <w:spacing w:after="0" w:line="240" w:lineRule="auto"/>
              <w:jc w:val="center"/>
              <w:rPr>
                <w:rFonts w:eastAsia="Times New Roman" w:cs="Calibri"/>
                <w:noProof/>
              </w:rPr>
            </w:pPr>
            <w:r>
              <w:rPr>
                <w:noProof/>
              </w:rPr>
              <w:t>Stājies spēkā tiesiskais regulējums par lauku zemes obligātu lietošanu mežsaimniecības teritorijās.</w:t>
            </w:r>
          </w:p>
        </w:tc>
        <w:tc>
          <w:tcPr>
            <w:tcW w:w="971" w:type="dxa"/>
            <w:shd w:val="clear" w:color="auto" w:fill="C4EFCE"/>
            <w:noWrap/>
            <w:vAlign w:val="center"/>
            <w:hideMark/>
          </w:tcPr>
          <w:p w14:paraId="405A1B1B" w14:textId="77777777" w:rsidR="00776A1F" w:rsidRDefault="00D8574B">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BCEA31D"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154743E"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3FFC26CB"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noWrap/>
            <w:vAlign w:val="center"/>
            <w:hideMark/>
          </w:tcPr>
          <w:p w14:paraId="47692365" w14:textId="77777777" w:rsidR="00776A1F" w:rsidRDefault="00D8574B">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201F1AD9" w14:textId="77777777" w:rsidR="00776A1F" w:rsidRDefault="00D8574B">
            <w:pPr>
              <w:pStyle w:val="P68B1DB1-Normal8"/>
              <w:spacing w:after="0" w:line="240" w:lineRule="auto"/>
              <w:jc w:val="both"/>
              <w:rPr>
                <w:rFonts w:eastAsia="Times New Roman" w:cs="Calibri"/>
                <w:noProof/>
              </w:rPr>
            </w:pPr>
            <w:r>
              <w:rPr>
                <w:noProof/>
              </w:rPr>
              <w:t xml:space="preserve">Stājas spēkā tiesiskais regulējums, ar ko īsteno lauku zemes obligātu lietošanu mežsaimniecības teritorijās. Obligāto īri piemēro tikai tad, ja zemes īpašnieki nepauž apņemšanos veikt darbības, kas noteiktas integrētās ainavas apsaimniekošanas (OIGP) integrētās ainavas apsaimniekošanas teritorijā (AIGP), pēc kuras vēlas, lai viņu īpašums atrastos. </w:t>
            </w:r>
          </w:p>
          <w:p w14:paraId="477BB2F7" w14:textId="77777777" w:rsidR="00776A1F" w:rsidRDefault="00776A1F">
            <w:pPr>
              <w:spacing w:after="0" w:line="240" w:lineRule="auto"/>
              <w:jc w:val="both"/>
              <w:rPr>
                <w:rFonts w:ascii="Calibri" w:eastAsia="Times New Roman" w:hAnsi="Calibri" w:cs="Calibri"/>
                <w:noProof/>
                <w:sz w:val="16"/>
              </w:rPr>
            </w:pPr>
          </w:p>
          <w:p w14:paraId="277FB7E1" w14:textId="6455B7DE" w:rsidR="00776A1F" w:rsidRDefault="00D8574B">
            <w:pPr>
              <w:pStyle w:val="P68B1DB1-Normal8"/>
              <w:spacing w:after="0" w:line="240" w:lineRule="auto"/>
              <w:jc w:val="both"/>
              <w:rPr>
                <w:rFonts w:eastAsia="Times New Roman" w:cs="Calibri"/>
                <w:noProof/>
              </w:rPr>
            </w:pPr>
            <w:r>
              <w:rPr>
                <w:noProof/>
              </w:rPr>
              <w:t>Ar 5. novembra likumprojektu Nr. 68/2020 valdība tiek pilnvarota grozīt 30. maija Likumu Nr. 31/2014 (ar ko nosaka vispārējo pamatu sabiedriskajai kārtībai zemes, pilsētu un lauku plānošanā, lai apstiprinātu obligāto īpašumtiesību tiesisko režīmu.</w:t>
            </w:r>
          </w:p>
        </w:tc>
      </w:tr>
      <w:tr w:rsidR="00776A1F" w14:paraId="233038E2" w14:textId="77777777">
        <w:trPr>
          <w:trHeight w:val="2388"/>
          <w:jc w:val="center"/>
        </w:trPr>
        <w:tc>
          <w:tcPr>
            <w:tcW w:w="1114" w:type="dxa"/>
            <w:shd w:val="clear" w:color="auto" w:fill="C4EFCE"/>
            <w:vAlign w:val="center"/>
            <w:hideMark/>
          </w:tcPr>
          <w:p w14:paraId="0E2ACB3B" w14:textId="77777777" w:rsidR="00776A1F" w:rsidRDefault="00D8574B">
            <w:pPr>
              <w:pStyle w:val="P68B1DB1-Normal7"/>
              <w:spacing w:after="0" w:line="240" w:lineRule="auto"/>
              <w:jc w:val="center"/>
              <w:rPr>
                <w:rFonts w:eastAsia="Times New Roman" w:cs="Calibri"/>
                <w:noProof/>
              </w:rPr>
            </w:pPr>
            <w:r>
              <w:rPr>
                <w:noProof/>
              </w:rPr>
              <w:t>8.18</w:t>
            </w:r>
          </w:p>
        </w:tc>
        <w:tc>
          <w:tcPr>
            <w:tcW w:w="1245" w:type="dxa"/>
            <w:shd w:val="clear" w:color="auto" w:fill="C4EFCE"/>
            <w:noWrap/>
            <w:vAlign w:val="center"/>
            <w:hideMark/>
          </w:tcPr>
          <w:p w14:paraId="1AC3438B" w14:textId="77777777" w:rsidR="00776A1F" w:rsidRDefault="00D8574B">
            <w:pPr>
              <w:pStyle w:val="P68B1DB1-Normal8"/>
              <w:spacing w:after="0" w:line="240" w:lineRule="auto"/>
              <w:jc w:val="center"/>
              <w:rPr>
                <w:rFonts w:eastAsia="Times New Roman" w:cs="Calibri"/>
                <w:noProof/>
              </w:rPr>
            </w:pPr>
            <w:r>
              <w:rPr>
                <w:noProof/>
              </w:rPr>
              <w:t>Re-C08-r20</w:t>
            </w:r>
          </w:p>
        </w:tc>
        <w:tc>
          <w:tcPr>
            <w:tcW w:w="1107" w:type="dxa"/>
            <w:shd w:val="clear" w:color="auto" w:fill="C4EFCE"/>
            <w:noWrap/>
            <w:vAlign w:val="center"/>
            <w:hideMark/>
          </w:tcPr>
          <w:p w14:paraId="5002EC4F"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B30711D" w14:textId="77777777" w:rsidR="00776A1F" w:rsidRDefault="00D8574B">
            <w:pPr>
              <w:pStyle w:val="P68B1DB1-Normal8"/>
              <w:spacing w:after="0" w:line="240" w:lineRule="auto"/>
              <w:jc w:val="center"/>
              <w:rPr>
                <w:rFonts w:eastAsia="Times New Roman" w:cs="Calibri"/>
                <w:noProof/>
              </w:rPr>
            </w:pPr>
            <w:r>
              <w:rPr>
                <w:noProof/>
              </w:rPr>
              <w:t>Zemes pārklājuma uzraudzības sistēma (SMOS)</w:t>
            </w:r>
          </w:p>
        </w:tc>
        <w:tc>
          <w:tcPr>
            <w:tcW w:w="1244" w:type="dxa"/>
            <w:shd w:val="clear" w:color="auto" w:fill="C4EFCE"/>
            <w:noWrap/>
            <w:vAlign w:val="center"/>
            <w:hideMark/>
          </w:tcPr>
          <w:p w14:paraId="2C7013EB" w14:textId="1DC9A7AA" w:rsidR="00776A1F" w:rsidRDefault="00D8574B">
            <w:pPr>
              <w:pStyle w:val="P68B1DB1-Normal8"/>
              <w:spacing w:after="0" w:line="240" w:lineRule="auto"/>
              <w:jc w:val="center"/>
              <w:rPr>
                <w:rFonts w:eastAsia="Times New Roman" w:cs="Calibri"/>
                <w:noProof/>
              </w:rPr>
            </w:pPr>
            <w:r>
              <w:rPr>
                <w:noProof/>
              </w:rPr>
              <w:t>Zemes seguma uzraudzības sistēmas (SMOS) darbības uzsākšana</w:t>
            </w:r>
          </w:p>
        </w:tc>
        <w:tc>
          <w:tcPr>
            <w:tcW w:w="971" w:type="dxa"/>
            <w:shd w:val="clear" w:color="auto" w:fill="C4EFCE"/>
            <w:noWrap/>
            <w:vAlign w:val="center"/>
            <w:hideMark/>
          </w:tcPr>
          <w:p w14:paraId="62B8E28E" w14:textId="77777777" w:rsidR="00776A1F" w:rsidRDefault="00D8574B">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69D846A9"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91BC2DF"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290FBA0F" w14:textId="77777777" w:rsidR="00776A1F" w:rsidRDefault="00D8574B">
            <w:pPr>
              <w:pStyle w:val="P68B1DB1-Normal8"/>
              <w:spacing w:after="0" w:line="240" w:lineRule="auto"/>
              <w:jc w:val="center"/>
              <w:rPr>
                <w:rFonts w:eastAsia="Times New Roman" w:cs="Calibri"/>
                <w:noProof/>
              </w:rPr>
            </w:pPr>
            <w:r>
              <w:rPr>
                <w:noProof/>
              </w:rPr>
              <w:t>4. CET.</w:t>
            </w:r>
          </w:p>
        </w:tc>
        <w:tc>
          <w:tcPr>
            <w:tcW w:w="694" w:type="dxa"/>
            <w:shd w:val="clear" w:color="auto" w:fill="C4EFCE"/>
            <w:noWrap/>
            <w:vAlign w:val="center"/>
            <w:hideMark/>
          </w:tcPr>
          <w:p w14:paraId="5B618B25" w14:textId="77777777" w:rsidR="00776A1F" w:rsidRDefault="00D8574B">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823DF09" w14:textId="7F190947" w:rsidR="00776A1F" w:rsidRDefault="00D8574B">
            <w:pPr>
              <w:pStyle w:val="P68B1DB1-Normal8"/>
              <w:spacing w:after="0" w:line="240" w:lineRule="auto"/>
              <w:jc w:val="both"/>
              <w:rPr>
                <w:rFonts w:eastAsia="Times New Roman" w:cs="Calibri"/>
                <w:noProof/>
              </w:rPr>
            </w:pPr>
            <w:r>
              <w:rPr>
                <w:noProof/>
              </w:rPr>
              <w:t xml:space="preserve">Zemes pārklājuma monitoringa sistēmas (SMOS) darbības uzsākšana, kas ietver LiDAR pārklājumu, digitālo reljefa modeli, kultūraugu un veģetācijas modeli, kultūraugu un veģetācijas kartes, zemes pārklājuma kartes un satelītattēlu aptvērumu. </w:t>
            </w:r>
          </w:p>
        </w:tc>
      </w:tr>
      <w:tr w:rsidR="00776A1F" w14:paraId="538F72C3" w14:textId="77777777">
        <w:trPr>
          <w:trHeight w:val="3977"/>
          <w:jc w:val="center"/>
        </w:trPr>
        <w:tc>
          <w:tcPr>
            <w:tcW w:w="1114" w:type="dxa"/>
            <w:shd w:val="clear" w:color="auto" w:fill="C4EFCE"/>
            <w:vAlign w:val="center"/>
            <w:hideMark/>
          </w:tcPr>
          <w:p w14:paraId="0C02FD10" w14:textId="77777777" w:rsidR="00776A1F" w:rsidRDefault="00D8574B">
            <w:pPr>
              <w:pStyle w:val="P68B1DB1-Normal7"/>
              <w:spacing w:after="0" w:line="240" w:lineRule="auto"/>
              <w:jc w:val="center"/>
              <w:rPr>
                <w:rFonts w:eastAsia="Times New Roman" w:cs="Calibri"/>
                <w:noProof/>
              </w:rPr>
            </w:pPr>
            <w:r>
              <w:rPr>
                <w:noProof/>
              </w:rPr>
              <w:t>8.19</w:t>
            </w:r>
          </w:p>
        </w:tc>
        <w:tc>
          <w:tcPr>
            <w:tcW w:w="1245" w:type="dxa"/>
            <w:shd w:val="clear" w:color="auto" w:fill="C4EFCE"/>
            <w:noWrap/>
            <w:vAlign w:val="center"/>
            <w:hideMark/>
          </w:tcPr>
          <w:p w14:paraId="69B302CF" w14:textId="77777777" w:rsidR="00776A1F" w:rsidRDefault="00D8574B">
            <w:pPr>
              <w:pStyle w:val="P68B1DB1-Normal8"/>
              <w:spacing w:after="0" w:line="240" w:lineRule="auto"/>
              <w:jc w:val="center"/>
              <w:rPr>
                <w:rFonts w:eastAsia="Times New Roman" w:cs="Calibri"/>
                <w:noProof/>
              </w:rPr>
            </w:pPr>
            <w:r>
              <w:rPr>
                <w:noProof/>
              </w:rPr>
              <w:t>Re-C08-r21</w:t>
            </w:r>
          </w:p>
        </w:tc>
        <w:tc>
          <w:tcPr>
            <w:tcW w:w="1107" w:type="dxa"/>
            <w:shd w:val="clear" w:color="auto" w:fill="C4EFCE"/>
            <w:noWrap/>
            <w:vAlign w:val="center"/>
            <w:hideMark/>
          </w:tcPr>
          <w:p w14:paraId="137FC1A7" w14:textId="77777777" w:rsidR="00776A1F" w:rsidRDefault="00D8574B">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2734E036" w14:textId="77777777" w:rsidR="00776A1F" w:rsidRDefault="00D8574B">
            <w:pPr>
              <w:pStyle w:val="P68B1DB1-Normal8"/>
              <w:spacing w:after="0" w:line="240" w:lineRule="auto"/>
              <w:jc w:val="center"/>
              <w:rPr>
                <w:rFonts w:eastAsia="Times New Roman" w:cs="Calibri"/>
                <w:noProof/>
              </w:rPr>
            </w:pPr>
            <w:r>
              <w:rPr>
                <w:noProof/>
              </w:rPr>
              <w:t>Likums par lauku ugunsgrēku integrētas pārvaldības sistēmas (SGIFR) izveidi</w:t>
            </w:r>
          </w:p>
        </w:tc>
        <w:tc>
          <w:tcPr>
            <w:tcW w:w="1244" w:type="dxa"/>
            <w:shd w:val="clear" w:color="auto" w:fill="C4EFCE"/>
            <w:noWrap/>
            <w:vAlign w:val="center"/>
            <w:hideMark/>
          </w:tcPr>
          <w:p w14:paraId="328A4877" w14:textId="77777777" w:rsidR="00776A1F" w:rsidRDefault="00D8574B">
            <w:pPr>
              <w:pStyle w:val="P68B1DB1-Normal8"/>
              <w:spacing w:after="0" w:line="240" w:lineRule="auto"/>
              <w:jc w:val="center"/>
              <w:rPr>
                <w:rFonts w:eastAsia="Times New Roman" w:cs="Calibri"/>
                <w:noProof/>
              </w:rPr>
            </w:pPr>
            <w:r>
              <w:rPr>
                <w:noProof/>
              </w:rPr>
              <w:t>Stājas spēkā likums, ar ko izveido integrētu sistēmu ugunsgrēku pārvaldībai lauku apvidos (SIGIFR) un nosaka tās darbības noteikumus.</w:t>
            </w:r>
          </w:p>
        </w:tc>
        <w:tc>
          <w:tcPr>
            <w:tcW w:w="971" w:type="dxa"/>
            <w:shd w:val="clear" w:color="auto" w:fill="C4EFCE"/>
            <w:noWrap/>
            <w:vAlign w:val="center"/>
            <w:hideMark/>
          </w:tcPr>
          <w:p w14:paraId="7E0AD6B1" w14:textId="77777777" w:rsidR="00776A1F" w:rsidRDefault="00D8574B">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0DB3FDD" w14:textId="77777777" w:rsidR="00776A1F" w:rsidRDefault="00D8574B">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762DA2A0" w14:textId="77777777" w:rsidR="00776A1F" w:rsidRDefault="00D8574B">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4FC4CDCF" w14:textId="77777777" w:rsidR="00776A1F" w:rsidRDefault="00D8574B">
            <w:pPr>
              <w:pStyle w:val="P68B1DB1-Normal8"/>
              <w:spacing w:after="0" w:line="240" w:lineRule="auto"/>
              <w:jc w:val="center"/>
              <w:rPr>
                <w:rFonts w:eastAsia="Times New Roman" w:cs="Calibri"/>
                <w:noProof/>
              </w:rPr>
            </w:pPr>
            <w:r>
              <w:rPr>
                <w:noProof/>
              </w:rPr>
              <w:t>3. CET.</w:t>
            </w:r>
          </w:p>
        </w:tc>
        <w:tc>
          <w:tcPr>
            <w:tcW w:w="694" w:type="dxa"/>
            <w:shd w:val="clear" w:color="auto" w:fill="C4EFCE"/>
            <w:noWrap/>
            <w:vAlign w:val="center"/>
            <w:hideMark/>
          </w:tcPr>
          <w:p w14:paraId="4C1862FA" w14:textId="77777777" w:rsidR="00776A1F" w:rsidRDefault="00D8574B">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1830D13D" w14:textId="77777777" w:rsidR="00776A1F" w:rsidRDefault="00D8574B">
            <w:pPr>
              <w:pStyle w:val="P68B1DB1-Normal8"/>
              <w:spacing w:after="0" w:line="240" w:lineRule="auto"/>
              <w:jc w:val="both"/>
              <w:rPr>
                <w:rFonts w:eastAsia="Times New Roman" w:cs="Calibri"/>
                <w:noProof/>
              </w:rPr>
            </w:pPr>
            <w:r>
              <w:rPr>
                <w:noProof/>
              </w:rPr>
              <w:t xml:space="preserve">Integrētā lauku ugunsgrēku pārvaldības sistēma (SGIFR) valsts līmenī nodrošina makropolitiku un stratēģiskas pamatnostādnes, kas palīdz samazināt ugunsgrēku risku laukos un mainīt lauku teritorijas īpašnieku, lietotāju un tiešo un netiešo saņēmēju uzvedību. Sistēma nosaka starpministriju koordinācijas modeļus, nosakot katras SIGIFR ietilpstošās struktūras kompetences un darbības jomu. </w:t>
            </w:r>
          </w:p>
          <w:p w14:paraId="5E99F66C" w14:textId="3F1EB5CA" w:rsidR="00776A1F" w:rsidRDefault="00D8574B">
            <w:pPr>
              <w:pStyle w:val="P68B1DB1-Normal8"/>
              <w:spacing w:after="0" w:line="240" w:lineRule="auto"/>
              <w:jc w:val="both"/>
              <w:rPr>
                <w:rFonts w:eastAsia="Times New Roman" w:cs="Calibri"/>
                <w:noProof/>
              </w:rPr>
            </w:pPr>
            <w:r>
              <w:rPr>
                <w:noProof/>
              </w:rPr>
              <w:t>Tajā ir noteikts dažādu instrumentu saturs integrētai lauku ugunsgrēku pārvaldības plānošanai valsts, reģionālā, apakšreģionālā un pašvaldību līmenī. Lauku ugunsgrēka informācijas sistēma ir izveidota, lai apkopotu un izplatītu visu attiecīgo tehnisko informāciju no SIGIFR, un pastāv skaidra apņemšanās definēt modeli, kura pamatā ir riska novēršana un mazināšana, vai nu veicot izpratnes veicināšanas pasākumus, vai izveidojot reģionālus aizsardzības tīklus, kuros degvielas apsaimniekošanai ir vadošā loma sankciju režīmā. Visbeidzot, tajā ir izklāstīts pārvaldības, uzraudzības un novērtēšanas modelis, kas palīdzēs pastāvīgi uzlabot valsts politiku un programmas.</w:t>
            </w:r>
          </w:p>
        </w:tc>
      </w:tr>
    </w:tbl>
    <w:p w14:paraId="57422AFC"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349777E8"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174"/>
          <w:headerReference w:type="default" r:id="rId175"/>
          <w:footerReference w:type="even" r:id="rId176"/>
          <w:footerReference w:type="default" r:id="rId177"/>
          <w:headerReference w:type="first" r:id="rId178"/>
          <w:footerReference w:type="first" r:id="rId179"/>
          <w:pgSz w:w="16839" w:h="11907" w:orient="landscape"/>
          <w:pgMar w:top="1134" w:right="1134" w:bottom="1134" w:left="1134" w:header="567" w:footer="567" w:gutter="0"/>
          <w:cols w:space="720"/>
          <w:docGrid w:linePitch="360"/>
        </w:sectPr>
      </w:pPr>
    </w:p>
    <w:p w14:paraId="31DFC5DD"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I. 9. KOMPONENTS: Ūdens apsaimniekošana</w:t>
      </w:r>
    </w:p>
    <w:p w14:paraId="70B68D2B" w14:textId="77777777" w:rsidR="00776A1F" w:rsidRDefault="00D8574B">
      <w:pPr>
        <w:pStyle w:val="P68B1DB1-Normal4"/>
        <w:keepNext/>
        <w:spacing w:before="40" w:after="0" w:line="259" w:lineRule="auto"/>
        <w:jc w:val="both"/>
        <w:rPr>
          <w:rFonts w:eastAsiaTheme="minorEastAsia" w:cs="Times New Roman"/>
          <w:i/>
          <w:noProof/>
        </w:rPr>
      </w:pPr>
      <w:r>
        <w:rPr>
          <w:noProof/>
        </w:rPr>
        <w:t>Komponents risina šādas problēmas: novērst lielo spiedienu uz uzglabāšanas sistēmām, kas nodrošina ūdensapgādi, un uzlabot ūdens izmantošanas efektivitāti, lai novērstu ierobežojumus, ko rada gaidāmais nokrišņu gada samazinājums, biežāki sausuma periodi, sezonalitāte un ūdens noplūdes palielināšanās.</w:t>
      </w:r>
    </w:p>
    <w:p w14:paraId="26529B51"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Komponenta mērķi ir mazināt ūdens trūkumu un nodrošināt to reģionu noturību, kuros ir vislielākā sausuma problēma un kuriem ir kritiski nepieciešama efektīva iejaukšanās, lai nodrošinātu ūdensapgādi Algarvē, Alentežu un Madeirā. </w:t>
      </w:r>
    </w:p>
    <w:p w14:paraId="4A1D2D18" w14:textId="77777777" w:rsidR="00776A1F" w:rsidRDefault="00D8574B">
      <w:pPr>
        <w:pStyle w:val="P68B1DB1-Normal4"/>
        <w:keepNext/>
        <w:spacing w:before="40" w:after="0" w:line="259" w:lineRule="auto"/>
        <w:jc w:val="both"/>
        <w:rPr>
          <w:rFonts w:eastAsiaTheme="minorEastAsia" w:cs="Times New Roman"/>
          <w:noProof/>
        </w:rPr>
      </w:pPr>
      <w:r>
        <w:rPr>
          <w:noProof/>
        </w:rPr>
        <w:t>Lielāka ūdens resursu noturība ir ārkārtīgi svarīga šo trīs reģionu attīstībai, kas ir arī obligāts nosacījums tūrismam un ekosistēmām (jo īpaši Algarvā un Madeirā), lauksaimniecībai (Alentežu un Madeirai), saimnieciskās darbības pārveidei (Alentejo) un lai tiktu galā ar kopējo spiedienu, ko rada apūdeņošanas vajadzību un cilvēku patēriņa maksimums (Madeira).</w:t>
      </w:r>
    </w:p>
    <w:p w14:paraId="5C57D42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Komponents palīdz īstenot konkrētai valstij adresēto ieteikumu par investīcijām klimatiskās pārkārtošanās jomā (konkrētais ieteikums Nr. 3 2020). </w:t>
      </w:r>
    </w:p>
    <w:p w14:paraId="30738FC0"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 xml:space="preserve">I.1. </w:t>
      </w:r>
      <w:r>
        <w:rPr>
          <w:noProof/>
        </w:rPr>
        <w:tab/>
        <w:t>Neatmaksājamam finansiālajam atbalstam pieteikto reformu un investīciju apraksts</w:t>
      </w:r>
    </w:p>
    <w:p w14:paraId="5C5E8493"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RE-C09–i01: Algarves ūdensefektivitātes reģionālais plāns</w:t>
      </w:r>
    </w:p>
    <w:p w14:paraId="3110F4B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ieguldījuma mērķis ir reaģēt uz ūdens trūkumu Algarvē, kas, saskaroties ar klimata pārmaiņām, turpina pasliktināties. Ir vajadzīga reakcija, lai turpinātu un attīstītu saimniecisko darbību un dažādotu Algarves ekonomiku. </w:t>
      </w:r>
    </w:p>
    <w:p w14:paraId="7288C6E0" w14:textId="77777777" w:rsidR="00776A1F" w:rsidRDefault="00D8574B">
      <w:pPr>
        <w:pStyle w:val="P68B1DB1-Normal4"/>
        <w:keepNext/>
        <w:spacing w:before="40" w:after="0" w:line="259" w:lineRule="auto"/>
        <w:jc w:val="both"/>
        <w:rPr>
          <w:rFonts w:eastAsiaTheme="minorEastAsia" w:cs="Times New Roman"/>
          <w:noProof/>
        </w:rPr>
      </w:pPr>
      <w:r>
        <w:rPr>
          <w:noProof/>
        </w:rPr>
        <w:t>Investīcijas ietver pasākumus, kuru mērķis ir samazināt ūdens zudumus Algarves pilsētas un lauksaimniecības nozarēs, izmantojot efektīvākas apūdeņošanas tehnoloģijas, kā arī veicināt attīrītu notekūdeņu atkalizmantošanu. Piedāvājuma līmenī pasākumi apsver iespēju izmantot esošo rezervuāru jaudu un uzlabot esošo rezervuāru noturību, palielinot ieplūdi Odeleite rezervuārā, izmantojot ieguvi uz Guadiana upes, stiprinot stratēģiskās rezerves un uzstādot atsāļošanas iekārtu. Jo īpaši šie jaunie ūdens avoti darbojas kā papildinājums, lai apmierinātu pašreizējo izmantošanu, ņemot vērā klimata pārmaiņu paredzamās sekas. Tajā ietilpst arī pasākumi, kuru mērķis ir pastiprināt uzraudzību, licencēšanu un izpildi.</w:t>
      </w:r>
    </w:p>
    <w:p w14:paraId="04427AA3" w14:textId="77777777" w:rsidR="00776A1F" w:rsidRDefault="00D8574B">
      <w:pPr>
        <w:pStyle w:val="P68B1DB1-Normal4"/>
        <w:keepNext/>
        <w:spacing w:before="40" w:after="0" w:line="259" w:lineRule="auto"/>
        <w:jc w:val="both"/>
        <w:rPr>
          <w:rFonts w:eastAsiaTheme="minorEastAsia" w:cs="Times New Roman"/>
          <w:noProof/>
        </w:rPr>
      </w:pPr>
      <w:r>
        <w:rPr>
          <w:noProof/>
        </w:rPr>
        <w:t>Paredzams, ka šis pasākums nenodarīs būtisku kaitējumu vides mērķiem Regulas (ES) 2020/852 17. panta nozīmē, ņemot vērā pasākuma aprakstu un mazināšanas pasākumus, kas izklāstīti atveseļošanas un noturības plānā saskaņā ar NBK tehniskajiem norādījumiem (2021/C58/01), un atskaites punktus un mērķrādītājus, kas Portugālei jāsasniedz. Jo īpaši visiem projektiem, kuriem varētu būt būtiska ietekme uz vidi, veic ietekmes uz vidi novērtējumu (IVN), ko pabeidz saskaņā ar Eiropas Parlamenta un Padomes Direktīvu 2011/92/ES (2011. gada 13. decembris) par dažu sabiedrisku un privātu projektu ietekmes uz vidi novērtējumu, kā arī attiecīgus novērtējumus saistībā ar Eiropas Parlamenta un Padomes Direktīvu 2000/60/EK, ar ko izveido sistēmu Kopienas rīcībai ūdens resursu politikas jomā, vai arī ES Ūdens pamatdirektīvu, tostarp nepieciešamo ietekmes mazināšanas pasākumu īstenošanu, nodrošinot atbilstību NBK tehniskajām vadlīnijām (2021/C58/01). Visus pasākumus, kas noteikti saistībā ar IVN un novērtējumu saskaņā ar Direktīvu 2000/60/EK un kas vajadzīgi, lai nodrošinātu principa “nenodarīt būtisku kaitējumu” ievērošanu, integrē projektā un stingri ievēro infrastruktūras būvniecības, ekspluatācijas un ekspluatācijas pārtraukšanas posmos.</w:t>
      </w:r>
    </w:p>
    <w:p w14:paraId="05676B0D" w14:textId="77777777" w:rsidR="00776A1F" w:rsidRDefault="00D8574B">
      <w:pPr>
        <w:pStyle w:val="P68B1DB1-Normal17"/>
        <w:keepNext/>
        <w:autoSpaceDE w:val="0"/>
        <w:autoSpaceDN w:val="0"/>
        <w:spacing w:before="40" w:after="40" w:line="240" w:lineRule="auto"/>
        <w:jc w:val="both"/>
        <w:rPr>
          <w:rFonts w:ascii="Times New Roman" w:eastAsia="Times New Roman" w:hAnsi="Times New Roman" w:cs="Times New Roman"/>
          <w:noProof/>
        </w:rPr>
      </w:pPr>
      <w:r>
        <w:rPr>
          <w:rFonts w:ascii="Times New Roman" w:hAnsi="Times New Roman"/>
          <w:noProof/>
        </w:rPr>
        <w:t>Ja ūdens tiek iegūts, attiecīgā iestāde piešķir attiecīgu atļauju, norādot nosacījumus, lai novērstu stāvokļa pasliktināšanos un nodrošinātu, ka skartajiem ūdensobjektiem saglabājas labs ekoloģiskais stāvoklis saskaņā ar Ūdens pamatdirektīvas 2000/60/EK prasībām.</w:t>
      </w:r>
      <w:r>
        <w:rPr>
          <w:rFonts w:ascii="Segoe UI" w:hAnsi="Segoe UI"/>
          <w:noProof/>
        </w:rPr>
        <w:t xml:space="preserve"> </w:t>
      </w:r>
    </w:p>
    <w:p w14:paraId="6B828F29" w14:textId="6F5CF201" w:rsidR="00776A1F" w:rsidRDefault="00D8574B">
      <w:pPr>
        <w:pStyle w:val="P68B1DB1-Normal4"/>
        <w:keepNext/>
        <w:autoSpaceDE w:val="0"/>
        <w:autoSpaceDN w:val="0"/>
        <w:spacing w:before="40" w:after="40" w:line="240" w:lineRule="auto"/>
        <w:jc w:val="both"/>
        <w:rPr>
          <w:rFonts w:eastAsiaTheme="minorEastAsia" w:cs="Times New Roman"/>
          <w:noProof/>
        </w:rPr>
      </w:pPr>
      <w:r>
        <w:rPr>
          <w:noProof/>
        </w:rPr>
        <w:t>Ieguldījumu īstenošanu pabeidz līdz 2026. gada 30. jūnijam.</w:t>
      </w:r>
    </w:p>
    <w:p w14:paraId="0ABB1601" w14:textId="221BFC68"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RE-C09–02: Crato hidrauliskais daudzfunkcionālais uzņēmums, plānošanas posms</w:t>
      </w:r>
    </w:p>
    <w:p w14:paraId="5CCA52C3" w14:textId="77777777" w:rsidR="00776A1F" w:rsidRDefault="00D8574B">
      <w:pPr>
        <w:pStyle w:val="P68B1DB1-Normal4"/>
        <w:keepNext/>
        <w:spacing w:before="40" w:after="0" w:line="259" w:lineRule="auto"/>
        <w:jc w:val="both"/>
        <w:rPr>
          <w:rFonts w:eastAsia="Times New Roman" w:cs="Times New Roman"/>
          <w:noProof/>
        </w:rPr>
      </w:pPr>
      <w:r>
        <w:rPr>
          <w:noProof/>
        </w:rPr>
        <w:t xml:space="preserve">Šā pasākuma mērķis ir nodrošināt dzeramā ūdens apgādi, novērst reģiona pārtuksnešošanos, dažādot lauksaimniecību un veicināt enerģijas ražošanas pārveidi šajā apgabalā. Pasākums sastāv no šādiem posmiem: aizsprosta būvniecība Krato ielejā, lai nodrošinātu dzeramā ūdens piegādi un lauksaimniecības pārkonfigurāciju, vienlaikus piedāvājot priviliģētu vietu peldošu fotoelementu paneļu uzstādīšanai (kas jāuzstāda ūdens spoguļā ar līdzekļiem ārpus Atveseļošanas un noturības mehānisma) un autonomi ražot elektroenerģiju no plānotās minihidroelektrostacijas. </w:t>
      </w:r>
    </w:p>
    <w:p w14:paraId="07D1FD53" w14:textId="0A00FDE9" w:rsidR="00776A1F" w:rsidRDefault="00D8574B">
      <w:pPr>
        <w:pStyle w:val="P68B1DB1-Normal4"/>
        <w:keepNext/>
        <w:spacing w:before="40" w:after="0" w:line="259" w:lineRule="auto"/>
        <w:jc w:val="both"/>
        <w:rPr>
          <w:rFonts w:eastAsiaTheme="minorEastAsia" w:cs="Times New Roman"/>
          <w:noProof/>
        </w:rPr>
      </w:pPr>
      <w:r>
        <w:rPr>
          <w:noProof/>
        </w:rPr>
        <w:t>Piemēram, ja uzstādītā jauda ir 75 MW, fotoelementu iekārta apmierinātu vairāk nekā 60 % no pašreizējām enerģijas vajadzībām attiecīgajā teritorijā</w:t>
      </w:r>
    </w:p>
    <w:p w14:paraId="6FC26120" w14:textId="354A61C0" w:rsidR="00776A1F" w:rsidRDefault="00D8574B">
      <w:pPr>
        <w:pStyle w:val="P68B1DB1-Normal4"/>
        <w:keepNext/>
        <w:spacing w:before="40" w:after="0" w:line="259" w:lineRule="auto"/>
        <w:jc w:val="both"/>
        <w:rPr>
          <w:rFonts w:eastAsia="Times New Roman" w:cs="Times New Roman"/>
          <w:noProof/>
        </w:rPr>
      </w:pPr>
      <w:r>
        <w:rPr>
          <w:noProof/>
        </w:rPr>
        <w:t>piedāvājuma redundance un oglekļa dioksīda emisiju samazināšana par vairāk nekā 80000 tonnām gadā.Atbilstoši izveidojamā ezera zonai — 7,24 km 2 —</w:t>
      </w:r>
      <w:r>
        <w:rPr>
          <w:noProof/>
          <w:vertAlign w:val="superscript"/>
        </w:rPr>
        <w:t>un</w:t>
      </w:r>
      <w:r>
        <w:rPr>
          <w:noProof/>
        </w:rPr>
        <w:t xml:space="preserve"> maksimālā platība, ko varētu izmantot fotoelementu paneļu uzstādīšanai, ir 20 % no tā). </w:t>
      </w:r>
    </w:p>
    <w:p w14:paraId="4647CC73" w14:textId="7E6C724D" w:rsidR="00776A1F" w:rsidRDefault="00D8574B">
      <w:pPr>
        <w:pStyle w:val="P68B1DB1-Normal4"/>
        <w:keepNext/>
        <w:spacing w:before="40" w:after="0" w:line="259" w:lineRule="auto"/>
        <w:jc w:val="both"/>
        <w:rPr>
          <w:rFonts w:eastAsia="Times New Roman" w:cs="Times New Roman"/>
          <w:noProof/>
        </w:rPr>
      </w:pPr>
      <w:r>
        <w:rPr>
          <w:noProof/>
        </w:rPr>
        <w:t>Tā arī veicina lauksaimnieciskās darbības dažādošanu un iedzīvotāju piesaistīšanu šai demogrāfiski trūcīgajai valsts teritorijai, vienlaikus saglabājot efektīvu ūdens resursu apsaimniekošanas sistēmu.</w:t>
      </w:r>
    </w:p>
    <w:p w14:paraId="4B7B386F" w14:textId="2169FF6B" w:rsidR="00776A1F" w:rsidRDefault="00D8574B">
      <w:pPr>
        <w:pStyle w:val="P68B1DB1-Normal4"/>
        <w:widowControl w:val="0"/>
        <w:spacing w:after="120" w:line="307" w:lineRule="exact"/>
        <w:jc w:val="both"/>
        <w:rPr>
          <w:rFonts w:eastAsia="Calibri" w:cs="Times New Roman"/>
          <w:noProof/>
        </w:rPr>
      </w:pPr>
      <w:r>
        <w:rPr>
          <w:noProof/>
        </w:rPr>
        <w:t>Attīstības projekts atrodas Tagus upes baseinā, kas atrodas netālu no Guadiana upes baseina robežas. Ieguldījums ietver šādus posmus:</w:t>
      </w:r>
    </w:p>
    <w:p w14:paraId="5130E04D" w14:textId="772268AC" w:rsidR="00776A1F" w:rsidRDefault="00D8574B">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Dambja</w:t>
      </w:r>
      <w:r>
        <w:rPr>
          <w:noProof/>
        </w:rPr>
        <w:t>: Izveidot pilnu uzglabāšanas rezervuāru 248 m augstumā (48 m augstumā) ar applūdušo platību 7,24 km</w:t>
      </w:r>
      <w:r>
        <w:rPr>
          <w:noProof/>
          <w:vertAlign w:val="superscript"/>
        </w:rPr>
        <w:t>2</w:t>
      </w:r>
      <w:r>
        <w:rPr>
          <w:noProof/>
        </w:rPr>
        <w:t>, uzglabāšanas jaudu 116,1 hm</w:t>
      </w:r>
      <w:r>
        <w:rPr>
          <w:noProof/>
          <w:vertAlign w:val="superscript"/>
        </w:rPr>
        <w:t xml:space="preserve">3 </w:t>
      </w:r>
      <w:r>
        <w:rPr>
          <w:noProof/>
        </w:rPr>
        <w:t>un gada vidējo tilpumu 57,83 hm 3/gadā, nodrošinot 50,3 stundas</w:t>
      </w:r>
      <w:r>
        <w:rPr>
          <w:noProof/>
          <w:vertAlign w:val="superscript"/>
        </w:rPr>
        <w:t>3</w:t>
      </w:r>
      <w:r>
        <w:rPr>
          <w:noProof/>
        </w:rPr>
        <w:t>stundas gadā valsts ūdensapgādei (</w:t>
      </w:r>
      <w:r>
        <w:rPr>
          <w:noProof/>
          <w:vertAlign w:val="superscript"/>
        </w:rPr>
        <w:t>publiskā</w:t>
      </w:r>
      <w:r>
        <w:rPr>
          <w:noProof/>
        </w:rPr>
        <w:t xml:space="preserve"> dzeramā ūdens piegāde (3,3 hm3/gadā) un apūdeņošanai (47 hm3/gadā)), kas ir būtiski, lai nodrošinātu apgādes redundanci, t. i., pietiekami daudz ūdens, lai apkalpotu Alter do Chão, Avis, Crato, Fronteira, Gavião, Nisa, Ponte de Sor un Sousel populācijas (aptuveni 55000 cilvēku).</w:t>
      </w:r>
    </w:p>
    <w:p w14:paraId="5B19CBFA" w14:textId="77777777" w:rsidR="00776A1F" w:rsidRDefault="00D8574B">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Minihidro</w:t>
      </w:r>
      <w:r>
        <w:rPr>
          <w:noProof/>
        </w:rPr>
        <w:t>: To plūsmu enerģijas patēriņš, kas izplūst ielejas apūdeņošanai lejup pa straumi, izmantojot dambja augstuma radīto kritumu. Tā uzstādītā jauda ir 1,0 MW.</w:t>
      </w:r>
    </w:p>
    <w:p w14:paraId="7ECAF144" w14:textId="604696DD" w:rsidR="00776A1F" w:rsidRDefault="00D8574B">
      <w:pPr>
        <w:pStyle w:val="P68B1DB1-Normal4"/>
        <w:widowControl w:val="0"/>
        <w:numPr>
          <w:ilvl w:val="0"/>
          <w:numId w:val="28"/>
        </w:numPr>
        <w:spacing w:before="40" w:after="0" w:line="302" w:lineRule="exact"/>
        <w:ind w:left="714" w:hanging="357"/>
        <w:jc w:val="both"/>
        <w:rPr>
          <w:rFonts w:eastAsia="Calibri" w:cs="Times New Roman"/>
          <w:noProof/>
        </w:rPr>
      </w:pPr>
      <w:r>
        <w:rPr>
          <w:noProof/>
          <w:shd w:val="clear" w:color="auto" w:fill="FFFFFF"/>
        </w:rPr>
        <w:t xml:space="preserve">Sistēma Póvoa e Meadas dambja piegādes stiprināšanai no Pisão </w:t>
      </w:r>
      <w:r>
        <w:rPr>
          <w:noProof/>
        </w:rPr>
        <w:t>d</w:t>
      </w:r>
      <w:r>
        <w:rPr>
          <w:noProof/>
          <w:shd w:val="clear" w:color="auto" w:fill="FFFFFF"/>
        </w:rPr>
        <w:t>am</w:t>
      </w:r>
      <w:r>
        <w:rPr>
          <w:noProof/>
        </w:rPr>
        <w:t>: savienojums ar ūdens attīrīšanas iekārtu Póvoa e Meadas, lai nodrošinātu Alter do Chão, Avis, Crato, Fronteira, Gavião, Nisa, Ponte de Sor un Sousel pašvaldību pilsētas patēriņa vajadzības.</w:t>
      </w:r>
    </w:p>
    <w:p w14:paraId="4A96B4C4" w14:textId="77777777" w:rsidR="00776A1F" w:rsidRDefault="00D8574B">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Apūdeņošanas infrastruktūra esošo lauksaimniecības platību atbalstam:</w:t>
      </w:r>
      <w:r>
        <w:rPr>
          <w:b/>
          <w:noProof/>
          <w:shd w:val="clear" w:color="auto" w:fill="FFFFFF"/>
        </w:rPr>
        <w:t xml:space="preserve"> </w:t>
      </w:r>
      <w:r>
        <w:rPr>
          <w:noProof/>
          <w:shd w:val="clear" w:color="auto" w:fill="FFFFFF"/>
        </w:rPr>
        <w:t xml:space="preserve">tas </w:t>
      </w:r>
      <w:r>
        <w:rPr>
          <w:noProof/>
        </w:rPr>
        <w:t>ietver pacelšanas stacijas apūdeņošanai, kanālus, balansēšanas rezervuārus un sadales tīklus, apūdeņošanas tīklus un lauksaimniecības piekļuves uzlabošanu, un paredzams, ka tas radīs 5 078 ha jaunu apūdeņošanas bloku (Alter do Chão, Avis, Crato, Fronteira un Sousel).</w:t>
      </w:r>
    </w:p>
    <w:p w14:paraId="12A18ECF" w14:textId="58490B1B" w:rsidR="00776A1F" w:rsidRDefault="00D8574B">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Saules fotoelementu</w:t>
      </w:r>
      <w:r>
        <w:rPr>
          <w:b/>
          <w:noProof/>
          <w:shd w:val="clear" w:color="auto" w:fill="FFFFFF"/>
        </w:rPr>
        <w:t xml:space="preserve"> </w:t>
      </w:r>
      <w:r>
        <w:rPr>
          <w:noProof/>
          <w:shd w:val="clear" w:color="auto" w:fill="FFFFFF"/>
        </w:rPr>
        <w:t>elektrostacija</w:t>
      </w:r>
      <w:r>
        <w:rPr>
          <w:noProof/>
        </w:rPr>
        <w:t>(saules plates, invertori, peldošas ierīces, zemsprieguma un vidēja sprieguma elektroinstalācijas): fotoelementu paneļu uzstādīšana rezervuāra ūdens spoguļā. Finansējumu veic ārpus atveseļošanas un noturības plāna.</w:t>
      </w:r>
    </w:p>
    <w:p w14:paraId="5AF0593D" w14:textId="7BA9A102" w:rsidR="00776A1F" w:rsidRDefault="00D8574B">
      <w:pPr>
        <w:pStyle w:val="P68B1DB1-Normal4"/>
        <w:spacing w:before="40" w:after="0" w:line="259" w:lineRule="auto"/>
        <w:jc w:val="both"/>
        <w:rPr>
          <w:rFonts w:eastAsiaTheme="minorEastAsia" w:cs="Times New Roman"/>
          <w:noProof/>
        </w:rPr>
      </w:pPr>
      <w:r>
        <w:rPr>
          <w:noProof/>
        </w:rPr>
        <w:t xml:space="preserve">Šis pasākums nenodara būtisku kaitējumu vides mērķiem Regulas (ES) 2020/852 17. panta nozīmē, ņemot vērā pasākuma aprakstu un mazināšanas pasākumus, kas izklāstīti atveseļošanas un noturības plānā saskaņā ar NBK tehniskajiem norādījumiem (2021/C58/01), un atskaites punktus un mērķrādītājus, kas Portugālei jāsasniedz. Pierāda pilnīgu un būtisku atbilstību piemērojamajām tiesību normām. Publicējot IVN projektu sabiedriskai apspriešanai, tajā ietver 1) prognozētās ūdens plūsmas skartajā ūdensobjektā pamatscenārijā (bez investīcijām), kā arī pēc ieguldījuma veikšanas, pilnībā ņemot vērā klimata pārmaiņu negatīvo ietekmi, pamatojoties uz labākajām pieejamajām zinātniskajām prognozēm, tostarp ticamu sliktāko scenāriju; un 2) investīciju mērķa pamatojums salīdzinājumā ar alternatīvām, kurām, iespējams, ir mazāka ietekme uz vidi, gan attiecībā uz to mērķiem (apūdeņotās zemes apjoms un ilgtspējīga lauku atjaunošana), gan to līdzekļiem (samazināt pieprasījumu pēc ūdens un dabā balstīti risinājumi). Jo īpaši visiem projektiem, kuriem varētu būt būtiska ietekme uz vidi, veic ietekmes uz vidi novērtējumu (IVN), ko pabeidz saskaņā ar Direktīvu 2011/92/ES, kā arī attiecīgus novērtējumus saistībā ar Direktīvu 2000/60/EK, tostarp nepieciešamo ietekmes mazināšanas pasākumu īstenošanu, nodrošinot atbilstību NBK tehniskajiem norādījumiem (2021/C58/01). </w:t>
      </w:r>
    </w:p>
    <w:p w14:paraId="519C6249" w14:textId="77777777" w:rsidR="00776A1F" w:rsidRDefault="00D8574B">
      <w:pPr>
        <w:pStyle w:val="P68B1DB1-Normal4"/>
        <w:spacing w:before="40" w:after="0" w:line="259" w:lineRule="auto"/>
        <w:jc w:val="both"/>
        <w:rPr>
          <w:rFonts w:eastAsiaTheme="minorEastAsia" w:cs="Times New Roman"/>
          <w:noProof/>
        </w:rPr>
      </w:pPr>
      <w:r>
        <w:rPr>
          <w:noProof/>
        </w:rPr>
        <w:t>Visus pasākumus, kas noteikti saistībā ar IVN un novērtējumu saskaņā ar Direktīvu 2000/60/EK un kas vajadzīgi, lai nodrošinātu principa “nenodarīt būtisku kaitējumu” ievērošanu, integrē projektā un stingri ievēro infrastruktūras būvniecības, ekspluatācijas un ekspluatācijas pārtraukšanas posmos.</w:t>
      </w:r>
    </w:p>
    <w:p w14:paraId="77735E49" w14:textId="77777777" w:rsidR="00776A1F" w:rsidRDefault="00D8574B">
      <w:pPr>
        <w:pStyle w:val="P68B1DB1-Normal4"/>
        <w:spacing w:before="40" w:after="0" w:line="259" w:lineRule="auto"/>
        <w:jc w:val="both"/>
        <w:rPr>
          <w:rFonts w:eastAsiaTheme="minorEastAsia" w:cs="Times New Roman"/>
          <w:noProof/>
        </w:rPr>
      </w:pPr>
      <w:r>
        <w:rPr>
          <w:noProof/>
        </w:rPr>
        <w:t>IVN pamatā ir visjaunākie, visaptverošākie un precīzākie dati, tostarp monitoringa dati par bioloģiskās kvalitātes faktoriem, kas ir īpaši jutīgi pret hidromorfoloģiskām izmaiņām, un par ūdensobjekta paredzamo stāvokli jauno darbību rezultātā salīdzinājumā ar pašreizējo. Tā jo īpaši novērtē šā jaunā projekta kumulatīvo ietekmi uz citu esošo vai plānoto infrastruktūru upes baseinā.</w:t>
      </w:r>
    </w:p>
    <w:p w14:paraId="3A356255" w14:textId="77777777" w:rsidR="00776A1F" w:rsidRDefault="00D8574B">
      <w:pPr>
        <w:pStyle w:val="P68B1DB1-Normal4"/>
        <w:spacing w:before="40" w:after="0" w:line="259" w:lineRule="auto"/>
        <w:jc w:val="both"/>
        <w:rPr>
          <w:rFonts w:eastAsiaTheme="minorEastAsia" w:cs="Times New Roman"/>
          <w:noProof/>
        </w:rPr>
      </w:pPr>
      <w:r>
        <w:rPr>
          <w:noProof/>
        </w:rPr>
        <w:t>Lai nodrošinātu atbilstību Direktīvai 2000/60/EK, pamatojoties uz novērtējumu par visu iespējamo ietekmi uz ūdensobjektu stāvokli tajā pašā upes baseinā un uz aizsargājamām dzīvotnēm un sugām, kas ir tieši atkarīgas no ūdens, jo īpaši ņemot vērā pašreizējo slodzi, kas saistīta ar ūdens ieguvi, pierāda, ka pasākums:</w:t>
      </w:r>
    </w:p>
    <w:p w14:paraId="4E8790D8" w14:textId="77777777" w:rsidR="00776A1F" w:rsidRDefault="00D8574B">
      <w:pPr>
        <w:pStyle w:val="P68B1DB1-Normal4"/>
        <w:spacing w:before="40" w:after="0" w:line="259" w:lineRule="auto"/>
        <w:jc w:val="both"/>
        <w:rPr>
          <w:rFonts w:eastAsiaTheme="minorEastAsia" w:cs="Times New Roman"/>
          <w:noProof/>
        </w:rPr>
      </w:pPr>
      <w:r>
        <w:rPr>
          <w:noProof/>
        </w:rPr>
        <w:t xml:space="preserve">I) nerada būtisku vai neatgriezenisku ietekmi uz skartajiem ūdensobjektiem un nekavē ne konkrēto ūdensobjektu, uz kuru tas attiecas, ne arī citus ūdensobjektus tajā pašā upes baseinā sasniegt labu stāvokli vai potenciālu līdz 2025. gada 4. ceturksnim; un </w:t>
      </w:r>
    </w:p>
    <w:p w14:paraId="41CC86CF" w14:textId="77777777" w:rsidR="00776A1F" w:rsidRDefault="00D8574B">
      <w:pPr>
        <w:pStyle w:val="P68B1DB1-Normal4"/>
        <w:spacing w:before="40" w:after="0" w:line="259" w:lineRule="auto"/>
        <w:jc w:val="both"/>
        <w:rPr>
          <w:rFonts w:eastAsiaTheme="minorEastAsia" w:cs="Times New Roman"/>
          <w:noProof/>
        </w:rPr>
      </w:pPr>
      <w:r>
        <w:rPr>
          <w:noProof/>
        </w:rPr>
        <w:t>II) nerada būtisku negatīvu ietekmi uz aizsargājamām dzīvotnēm un sugām, kas ir tieši atkarīgas no ūdens.</w:t>
      </w:r>
    </w:p>
    <w:p w14:paraId="5E5C92F5" w14:textId="0CA8BF50" w:rsidR="00776A1F" w:rsidRDefault="00D8574B">
      <w:pPr>
        <w:pStyle w:val="P68B1DB1-Normal4"/>
        <w:keepNext/>
        <w:spacing w:before="40" w:after="0" w:line="259" w:lineRule="auto"/>
        <w:jc w:val="both"/>
        <w:rPr>
          <w:rFonts w:eastAsiaTheme="minorEastAsia" w:cs="Times New Roman"/>
          <w:noProof/>
        </w:rPr>
      </w:pPr>
      <w:r>
        <w:rPr>
          <w:noProof/>
        </w:rPr>
        <w:t xml:space="preserve">Attiecīgā iestāde piešķir projekta atļauju, norādot visus tehniski iespējamos un ekoloģiski nozīmīgos pasākumus, kas īstenoti, lai līdz 2025. gada 4. ceturksnim mazinātu ietekmi un nodrošinātu, ka skartajos ūdensobjektos tiek sasniegts labs ekoloģiskais stāvoklis un potenciāls, un nodrošina, ka šo pasākumu efektivitāte tiek uzraudzīta saskaņā ar Ūdens pamatdirektīvas 2000/60/EK prasībām. </w:t>
      </w:r>
    </w:p>
    <w:p w14:paraId="207EA017" w14:textId="19E4EEFD"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2022. gada 31. martam.</w:t>
      </w:r>
    </w:p>
    <w:p w14:paraId="34D05917" w14:textId="77777777" w:rsidR="00776A1F" w:rsidRDefault="00D8574B">
      <w:pPr>
        <w:pStyle w:val="P68B1DB1-Normal5"/>
        <w:spacing w:before="240" w:after="0" w:line="259" w:lineRule="auto"/>
        <w:ind w:left="851"/>
        <w:jc w:val="both"/>
        <w:outlineLvl w:val="3"/>
        <w:rPr>
          <w:rFonts w:eastAsiaTheme="minorEastAsia" w:cs="Times New Roman"/>
          <w:noProof/>
        </w:rPr>
      </w:pPr>
      <w:r>
        <w:rPr>
          <w:noProof/>
        </w:rPr>
        <w:t>Ieguldījums RE-C09-i03-RAM: Ūdens efektivitātes un Madeiras apgādes un apūdeņošanas sistēmu stiprināšanas plāns</w:t>
      </w:r>
    </w:p>
    <w:p w14:paraId="37F68CD1" w14:textId="17F84417" w:rsidR="00776A1F" w:rsidRDefault="00D8574B">
      <w:pPr>
        <w:pStyle w:val="P68B1DB1-Normal4"/>
        <w:spacing w:before="40" w:after="0" w:line="259" w:lineRule="auto"/>
        <w:jc w:val="both"/>
        <w:rPr>
          <w:rFonts w:eastAsiaTheme="minorEastAsia" w:cs="Times New Roman"/>
          <w:noProof/>
        </w:rPr>
      </w:pPr>
      <w:r>
        <w:rPr>
          <w:noProof/>
        </w:rPr>
        <w:t xml:space="preserve">Pasākuma mērķis ir palielināt ūdens resursu noturību Madeiras un Porto Santo salās. </w:t>
      </w:r>
    </w:p>
    <w:p w14:paraId="0884F004" w14:textId="7EB121EB" w:rsidR="00776A1F" w:rsidRDefault="00D8574B">
      <w:pPr>
        <w:pStyle w:val="P68B1DB1-Normal4"/>
        <w:spacing w:before="40" w:after="0" w:line="259" w:lineRule="auto"/>
        <w:jc w:val="both"/>
        <w:rPr>
          <w:rFonts w:eastAsiaTheme="minorEastAsia" w:cs="Times New Roman"/>
          <w:noProof/>
        </w:rPr>
      </w:pPr>
      <w:r>
        <w:rPr>
          <w:noProof/>
        </w:rPr>
        <w:t xml:space="preserve">Investīcijas ietver ūdens resursu pieejamības nodrošināšanu, optimizējot esošo resursu izmantošanu, liekā ūdens ieguvi, neietekmējot ekosistēmas, stratēģisko rezervju izveidi un paplašināšanu un dažādu ūdens avotu savstarpēju savienošanu. </w:t>
      </w:r>
    </w:p>
    <w:p w14:paraId="6EF884DE" w14:textId="77777777" w:rsidR="00776A1F" w:rsidRDefault="00D8574B">
      <w:pPr>
        <w:pStyle w:val="P68B1DB1-Normal4"/>
        <w:spacing w:before="40" w:after="0" w:line="259" w:lineRule="auto"/>
        <w:jc w:val="both"/>
        <w:rPr>
          <w:rFonts w:eastAsiaTheme="minorEastAsia" w:cs="Times New Roman"/>
          <w:noProof/>
        </w:rPr>
      </w:pPr>
      <w:r>
        <w:rPr>
          <w:noProof/>
        </w:rPr>
        <w:t>Paredzams, ka šis pasākums nenodarīs būtisku kaitējumu vides mērķiem Regulas (ES) 2020/852 17. panta nozīmē, ņemot vērā pasākuma aprakstu un mazināšanas pasākumus, kas izklāstīti atveseļošanas un noturības plānā saskaņā ar NBK tehniskajiem norādījumiem (2021/C58/01), un atskaites punktus un mērķrādītājus, kas Portugālei jāsasniedz. Jo īpaši visiem projektiem, kuriem varētu būt būtiska ietekme uz vidi, obligāti jāveic ietekmes uz vidi novērtējums (IVN) saskaņā ar Direktīvu 2011/92/ES, kā arī attiecīgie novērtējumi saistībā ar Direktīvu 2000/60/EK un Direktīvu 92/43/EEK, tostarp nepieciešamo ietekmes mazināšanas pasākumu īstenošana.</w:t>
      </w:r>
    </w:p>
    <w:p w14:paraId="38F7BA54" w14:textId="4535BBF2" w:rsidR="00776A1F" w:rsidRDefault="00D8574B">
      <w:pPr>
        <w:pStyle w:val="P68B1DB1-Normal4"/>
        <w:keepNext/>
        <w:spacing w:before="40" w:after="0" w:line="259" w:lineRule="auto"/>
        <w:jc w:val="both"/>
        <w:rPr>
          <w:rFonts w:eastAsiaTheme="minorEastAsia" w:cs="Times New Roman"/>
          <w:noProof/>
        </w:rPr>
        <w:sectPr w:rsidR="00776A1F" w:rsidSect="00E00EDD">
          <w:headerReference w:type="even" r:id="rId180"/>
          <w:headerReference w:type="default" r:id="rId181"/>
          <w:footerReference w:type="even" r:id="rId182"/>
          <w:footerReference w:type="default" r:id="rId183"/>
          <w:headerReference w:type="first" r:id="rId184"/>
          <w:footerReference w:type="first" r:id="rId185"/>
          <w:pgSz w:w="11907" w:h="16839"/>
          <w:pgMar w:top="1134" w:right="1134" w:bottom="1134" w:left="1134" w:header="567" w:footer="567" w:gutter="0"/>
          <w:cols w:space="720"/>
          <w:docGrid w:linePitch="360"/>
        </w:sectPr>
      </w:pPr>
      <w:r>
        <w:rPr>
          <w:noProof/>
        </w:rPr>
        <w:t>Ieguldījumu īstenošanu pabeidz līdz 2026. gada 30. jūnijam.</w:t>
      </w:r>
    </w:p>
    <w:p w14:paraId="12B3E8CF"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1AF6FAD5"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1001889C"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I.2. Atskaites punkti, mērķrādītāji, citi rādītāji un neatmaksājamā finansiālā atbalsta uzraudzības un īstenošanas grafiks</w:t>
      </w:r>
    </w:p>
    <w:p w14:paraId="25E28A3C"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600C6CC3" w14:textId="77777777">
        <w:trPr>
          <w:trHeight w:val="300"/>
          <w:tblHeader/>
          <w:jc w:val="center"/>
        </w:trPr>
        <w:tc>
          <w:tcPr>
            <w:tcW w:w="1135" w:type="dxa"/>
            <w:vMerge w:val="restart"/>
            <w:shd w:val="clear" w:color="auto" w:fill="BDD6EE"/>
            <w:vAlign w:val="center"/>
            <w:hideMark/>
          </w:tcPr>
          <w:p w14:paraId="7EDDF729"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noWrap/>
            <w:vAlign w:val="center"/>
            <w:hideMark/>
          </w:tcPr>
          <w:p w14:paraId="245FD828"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noWrap/>
            <w:vAlign w:val="center"/>
            <w:hideMark/>
          </w:tcPr>
          <w:p w14:paraId="0BF43E8A" w14:textId="22BCA461"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noWrap/>
            <w:vAlign w:val="center"/>
            <w:hideMark/>
          </w:tcPr>
          <w:p w14:paraId="340FFCF7"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noWrap/>
            <w:vAlign w:val="center"/>
            <w:hideMark/>
          </w:tcPr>
          <w:p w14:paraId="6468587C"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noWrap/>
            <w:vAlign w:val="center"/>
            <w:hideMark/>
          </w:tcPr>
          <w:p w14:paraId="12177533"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noWrap/>
            <w:vAlign w:val="center"/>
            <w:hideMark/>
          </w:tcPr>
          <w:p w14:paraId="28F7EB70" w14:textId="77777777" w:rsidR="00776A1F" w:rsidRDefault="00D8574B">
            <w:pPr>
              <w:pStyle w:val="P68B1DB1-Normal6"/>
              <w:spacing w:after="0" w:line="240" w:lineRule="auto"/>
              <w:jc w:val="center"/>
              <w:rPr>
                <w:rFonts w:eastAsia="Times New Roman" w:cs="Times New Roman"/>
                <w:noProof/>
              </w:rPr>
            </w:pPr>
            <w:r>
              <w:rPr>
                <w:noProof/>
              </w:rPr>
              <w:t>Pabeigšanas grafiks</w:t>
            </w:r>
          </w:p>
        </w:tc>
        <w:tc>
          <w:tcPr>
            <w:tcW w:w="3969" w:type="dxa"/>
            <w:vMerge w:val="restart"/>
            <w:shd w:val="clear" w:color="auto" w:fill="BDD6EE"/>
            <w:vAlign w:val="center"/>
            <w:hideMark/>
          </w:tcPr>
          <w:p w14:paraId="4A0FED38"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1E2172AA" w14:textId="77777777">
        <w:trPr>
          <w:trHeight w:val="300"/>
          <w:tblHeader/>
          <w:jc w:val="center"/>
        </w:trPr>
        <w:tc>
          <w:tcPr>
            <w:tcW w:w="1135" w:type="dxa"/>
            <w:vMerge/>
            <w:vAlign w:val="center"/>
            <w:hideMark/>
          </w:tcPr>
          <w:p w14:paraId="57B55280"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622AD449"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201EE1EB" w14:textId="3CE9A911" w:rsidR="00776A1F" w:rsidRDefault="00776A1F">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BCDAF57"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7CCC7491"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4AA0E852"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noWrap/>
            <w:vAlign w:val="center"/>
            <w:hideMark/>
          </w:tcPr>
          <w:p w14:paraId="19FD5F31"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noWrap/>
            <w:vAlign w:val="center"/>
            <w:hideMark/>
          </w:tcPr>
          <w:p w14:paraId="2839A6A1"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noWrap/>
            <w:vAlign w:val="center"/>
            <w:hideMark/>
          </w:tcPr>
          <w:p w14:paraId="46BA416F"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726D1C15"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5EDB4CE2" w14:textId="77777777" w:rsidR="00776A1F" w:rsidRDefault="00776A1F">
            <w:pPr>
              <w:spacing w:after="0" w:line="240" w:lineRule="auto"/>
              <w:rPr>
                <w:rFonts w:ascii="Times New Roman" w:eastAsia="Times New Roman" w:hAnsi="Times New Roman" w:cs="Times New Roman"/>
                <w:b/>
                <w:noProof/>
                <w:sz w:val="18"/>
              </w:rPr>
            </w:pPr>
          </w:p>
        </w:tc>
      </w:tr>
      <w:tr w:rsidR="00776A1F" w14:paraId="6349FC7E" w14:textId="77777777">
        <w:trPr>
          <w:trHeight w:val="1480"/>
          <w:jc w:val="center"/>
        </w:trPr>
        <w:tc>
          <w:tcPr>
            <w:tcW w:w="1135" w:type="dxa"/>
            <w:shd w:val="clear" w:color="auto" w:fill="C5EFCE"/>
            <w:noWrap/>
            <w:vAlign w:val="center"/>
            <w:hideMark/>
          </w:tcPr>
          <w:p w14:paraId="0438A134" w14:textId="77777777" w:rsidR="00776A1F" w:rsidRDefault="00D8574B">
            <w:pPr>
              <w:pStyle w:val="P68B1DB1-Normal7"/>
              <w:spacing w:after="0" w:line="240" w:lineRule="auto"/>
              <w:jc w:val="center"/>
              <w:rPr>
                <w:rFonts w:eastAsia="Times New Roman" w:cs="Calibri"/>
                <w:noProof/>
              </w:rPr>
            </w:pPr>
            <w:r>
              <w:rPr>
                <w:noProof/>
              </w:rPr>
              <w:t>9.1</w:t>
            </w:r>
          </w:p>
        </w:tc>
        <w:tc>
          <w:tcPr>
            <w:tcW w:w="1276" w:type="dxa"/>
            <w:shd w:val="clear" w:color="auto" w:fill="C4EFCE"/>
            <w:noWrap/>
            <w:vAlign w:val="center"/>
            <w:hideMark/>
          </w:tcPr>
          <w:p w14:paraId="0B8CF946"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3A439A7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E88BABD" w14:textId="77777777" w:rsidR="00776A1F" w:rsidRDefault="00D8574B">
            <w:pPr>
              <w:pStyle w:val="P68B1DB1-Normal8"/>
              <w:spacing w:after="0" w:line="240" w:lineRule="auto"/>
              <w:jc w:val="center"/>
              <w:rPr>
                <w:rFonts w:eastAsia="Times New Roman" w:cs="Calibri"/>
                <w:noProof/>
              </w:rPr>
            </w:pPr>
            <w:r>
              <w:rPr>
                <w:noProof/>
              </w:rPr>
              <w:t>Uzstādīto gruntsūdeņu resursu papildu monitoringa punkti (SM3)</w:t>
            </w:r>
          </w:p>
        </w:tc>
        <w:tc>
          <w:tcPr>
            <w:tcW w:w="1275" w:type="dxa"/>
            <w:shd w:val="clear" w:color="auto" w:fill="C4EFCE"/>
            <w:noWrap/>
            <w:vAlign w:val="center"/>
            <w:hideMark/>
          </w:tcPr>
          <w:p w14:paraId="6E70CEC2" w14:textId="77777777" w:rsidR="00776A1F" w:rsidRDefault="00776A1F">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8B8CA1B"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642E61B9" w14:textId="77777777" w:rsidR="00776A1F" w:rsidRDefault="00D8574B">
            <w:pPr>
              <w:pStyle w:val="P68B1DB1-Normal8"/>
              <w:spacing w:after="0" w:line="240" w:lineRule="auto"/>
              <w:jc w:val="center"/>
              <w:rPr>
                <w:rFonts w:eastAsia="Times New Roman" w:cs="Calibri"/>
                <w:noProof/>
              </w:rPr>
            </w:pPr>
            <w:r>
              <w:rPr>
                <w:noProof/>
              </w:rPr>
              <w:t>32</w:t>
            </w:r>
          </w:p>
        </w:tc>
        <w:tc>
          <w:tcPr>
            <w:tcW w:w="709" w:type="dxa"/>
            <w:shd w:val="clear" w:color="auto" w:fill="C4EFCE"/>
            <w:noWrap/>
            <w:vAlign w:val="center"/>
            <w:hideMark/>
          </w:tcPr>
          <w:p w14:paraId="6267D00B" w14:textId="77777777" w:rsidR="00776A1F" w:rsidRDefault="00D8574B">
            <w:pPr>
              <w:pStyle w:val="P68B1DB1-Normal8"/>
              <w:spacing w:after="0" w:line="240" w:lineRule="auto"/>
              <w:jc w:val="center"/>
              <w:rPr>
                <w:rFonts w:eastAsia="Times New Roman" w:cs="Calibri"/>
                <w:noProof/>
              </w:rPr>
            </w:pPr>
            <w:r>
              <w:rPr>
                <w:noProof/>
              </w:rPr>
              <w:t>82</w:t>
            </w:r>
          </w:p>
        </w:tc>
        <w:tc>
          <w:tcPr>
            <w:tcW w:w="567" w:type="dxa"/>
            <w:shd w:val="clear" w:color="auto" w:fill="C4EFCE"/>
            <w:noWrap/>
            <w:vAlign w:val="center"/>
            <w:hideMark/>
          </w:tcPr>
          <w:p w14:paraId="43A52E08" w14:textId="39780CFB"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32E3C24C"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6A1ABD5" w14:textId="77777777" w:rsidR="00776A1F" w:rsidRDefault="00D8574B">
            <w:pPr>
              <w:pStyle w:val="P68B1DB1-Normal9"/>
              <w:spacing w:after="0" w:line="240" w:lineRule="auto"/>
              <w:jc w:val="both"/>
              <w:rPr>
                <w:rFonts w:eastAsia="Times New Roman" w:cs="Calibri"/>
                <w:noProof/>
                <w:sz w:val="16"/>
              </w:rPr>
            </w:pPr>
            <w:r>
              <w:rPr>
                <w:noProof/>
                <w:sz w:val="16"/>
              </w:rPr>
              <w:t>Gruntsūdeņu resursu monitoringa un uzraudzības punktu (tostarp pjezometru un telemetrisko skaitītāju) uzstādīšana. Papildus jau esošiem 32 pjezometriem uzstāda vēl 50 pjezometrus.</w:t>
            </w:r>
            <w:r>
              <w:rPr>
                <w:noProof/>
                <w:sz w:val="18"/>
              </w:rPr>
              <w:t xml:space="preserve"> </w:t>
            </w:r>
          </w:p>
        </w:tc>
      </w:tr>
      <w:tr w:rsidR="00776A1F" w14:paraId="0792A2CB" w14:textId="77777777">
        <w:trPr>
          <w:trHeight w:val="1050"/>
          <w:jc w:val="center"/>
        </w:trPr>
        <w:tc>
          <w:tcPr>
            <w:tcW w:w="1135" w:type="dxa"/>
            <w:shd w:val="clear" w:color="auto" w:fill="C4EFCE"/>
            <w:noWrap/>
            <w:vAlign w:val="center"/>
            <w:hideMark/>
          </w:tcPr>
          <w:p w14:paraId="2868601E" w14:textId="77777777" w:rsidR="00776A1F" w:rsidRDefault="00D8574B">
            <w:pPr>
              <w:pStyle w:val="P68B1DB1-Normal7"/>
              <w:spacing w:after="0" w:line="240" w:lineRule="auto"/>
              <w:jc w:val="center"/>
              <w:rPr>
                <w:rFonts w:eastAsia="Times New Roman" w:cs="Calibri"/>
                <w:noProof/>
              </w:rPr>
            </w:pPr>
            <w:r>
              <w:rPr>
                <w:noProof/>
              </w:rPr>
              <w:t>9.2</w:t>
            </w:r>
          </w:p>
        </w:tc>
        <w:tc>
          <w:tcPr>
            <w:tcW w:w="1276" w:type="dxa"/>
            <w:shd w:val="clear" w:color="auto" w:fill="C4EFCE"/>
            <w:noWrap/>
            <w:vAlign w:val="center"/>
            <w:hideMark/>
          </w:tcPr>
          <w:p w14:paraId="473C196B"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7A7F263"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10ABBF9" w14:textId="77777777" w:rsidR="00776A1F" w:rsidRDefault="00D8574B">
            <w:pPr>
              <w:pStyle w:val="P68B1DB1-Normal8"/>
              <w:spacing w:after="0" w:line="240" w:lineRule="auto"/>
              <w:jc w:val="center"/>
              <w:rPr>
                <w:rFonts w:eastAsia="Times New Roman" w:cs="Calibri"/>
                <w:noProof/>
              </w:rPr>
            </w:pPr>
            <w:r>
              <w:rPr>
                <w:noProof/>
              </w:rPr>
              <w:t>Tīkla intervences pabeigšana, lai samazinātu ūdens zudumus (SM1)</w:t>
            </w:r>
          </w:p>
        </w:tc>
        <w:tc>
          <w:tcPr>
            <w:tcW w:w="1275" w:type="dxa"/>
            <w:shd w:val="clear" w:color="auto" w:fill="C4EFCE"/>
            <w:noWrap/>
            <w:vAlign w:val="center"/>
            <w:hideMark/>
          </w:tcPr>
          <w:p w14:paraId="03DA0A8A" w14:textId="77777777" w:rsidR="00776A1F" w:rsidRDefault="00776A1F">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5ED303C2"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shd w:val="clear" w:color="auto" w:fill="C4EFCE"/>
            <w:noWrap/>
            <w:vAlign w:val="center"/>
            <w:hideMark/>
          </w:tcPr>
          <w:p w14:paraId="60440915"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2D1D6224" w14:textId="77777777" w:rsidR="00776A1F" w:rsidRDefault="00D8574B">
            <w:pPr>
              <w:pStyle w:val="P68B1DB1-Normal8"/>
              <w:spacing w:after="0" w:line="240" w:lineRule="auto"/>
              <w:jc w:val="center"/>
              <w:rPr>
                <w:rFonts w:eastAsia="Times New Roman" w:cs="Calibri"/>
                <w:noProof/>
              </w:rPr>
            </w:pPr>
            <w:r>
              <w:rPr>
                <w:noProof/>
              </w:rPr>
              <w:t>125</w:t>
            </w:r>
          </w:p>
        </w:tc>
        <w:tc>
          <w:tcPr>
            <w:tcW w:w="567" w:type="dxa"/>
            <w:shd w:val="clear" w:color="auto" w:fill="C4EFCE"/>
            <w:noWrap/>
            <w:vAlign w:val="center"/>
            <w:hideMark/>
          </w:tcPr>
          <w:p w14:paraId="5B4ACE0D"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5FCFB3CB" w14:textId="77777777"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E31623D" w14:textId="77777777" w:rsidR="00776A1F" w:rsidRDefault="00D8574B">
            <w:pPr>
              <w:pStyle w:val="P68B1DB1-Normal8"/>
              <w:spacing w:after="0" w:line="240" w:lineRule="auto"/>
              <w:jc w:val="both"/>
              <w:rPr>
                <w:rFonts w:eastAsia="Times New Roman" w:cs="Calibri"/>
                <w:noProof/>
              </w:rPr>
            </w:pPr>
            <w:r>
              <w:rPr>
                <w:noProof/>
              </w:rPr>
              <w:t>Tīkla intervences pabeigšana, lai optimizētu spiedienu un atjaunotu tīklu, veicot šādas darbības: Spiediena optimizācija un plūsmas mērīšana, 2) tīkla atjaunošana pilsētu/vēsturiskajās teritorijās 3) tīkla atjaunošana lauku vai vidējos lauku apvidos.</w:t>
            </w:r>
          </w:p>
        </w:tc>
      </w:tr>
      <w:tr w:rsidR="00776A1F" w14:paraId="470669E2" w14:textId="77777777">
        <w:trPr>
          <w:trHeight w:val="1757"/>
          <w:jc w:val="center"/>
        </w:trPr>
        <w:tc>
          <w:tcPr>
            <w:tcW w:w="1135" w:type="dxa"/>
            <w:shd w:val="clear" w:color="auto" w:fill="C5EFCE"/>
            <w:noWrap/>
            <w:vAlign w:val="center"/>
            <w:hideMark/>
          </w:tcPr>
          <w:p w14:paraId="24335E6E" w14:textId="77777777" w:rsidR="00776A1F" w:rsidRDefault="00D8574B">
            <w:pPr>
              <w:pStyle w:val="P68B1DB1-Normal7"/>
              <w:spacing w:after="0" w:line="240" w:lineRule="auto"/>
              <w:jc w:val="center"/>
              <w:rPr>
                <w:rFonts w:eastAsia="Times New Roman" w:cs="Calibri"/>
                <w:noProof/>
              </w:rPr>
            </w:pPr>
            <w:r>
              <w:rPr>
                <w:noProof/>
              </w:rPr>
              <w:t>9.3</w:t>
            </w:r>
          </w:p>
        </w:tc>
        <w:tc>
          <w:tcPr>
            <w:tcW w:w="1276" w:type="dxa"/>
            <w:shd w:val="clear" w:color="auto" w:fill="C4EFCE"/>
            <w:noWrap/>
            <w:vAlign w:val="center"/>
            <w:hideMark/>
          </w:tcPr>
          <w:p w14:paraId="61BA6E03"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481B50F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AFCFDF3" w14:textId="77777777" w:rsidR="00776A1F" w:rsidRDefault="00D8574B">
            <w:pPr>
              <w:pStyle w:val="P68B1DB1-Normal8"/>
              <w:spacing w:after="0" w:line="240" w:lineRule="auto"/>
              <w:jc w:val="center"/>
              <w:rPr>
                <w:rFonts w:eastAsia="Times New Roman" w:cs="Calibri"/>
                <w:noProof/>
              </w:rPr>
            </w:pPr>
            <w:r>
              <w:rPr>
                <w:noProof/>
              </w:rPr>
              <w:t>Zemes platību modernizācija kolektīvai hidrolauksaimnieciskai izmantošanai un individuālai apūdeņošanai (SM2)</w:t>
            </w:r>
          </w:p>
        </w:tc>
        <w:tc>
          <w:tcPr>
            <w:tcW w:w="1275" w:type="dxa"/>
            <w:shd w:val="clear" w:color="auto" w:fill="C4EFCE"/>
            <w:noWrap/>
            <w:vAlign w:val="center"/>
            <w:hideMark/>
          </w:tcPr>
          <w:p w14:paraId="36A7294C" w14:textId="77777777" w:rsidR="00776A1F" w:rsidRDefault="00776A1F">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45E8102A" w14:textId="77777777" w:rsidR="00776A1F" w:rsidRDefault="00D8574B">
            <w:pPr>
              <w:pStyle w:val="P68B1DB1-Normal8"/>
              <w:spacing w:after="0" w:line="240" w:lineRule="auto"/>
              <w:jc w:val="center"/>
              <w:rPr>
                <w:rFonts w:eastAsia="Times New Roman" w:cs="Calibri"/>
                <w:noProof/>
              </w:rPr>
            </w:pPr>
            <w:r>
              <w:rPr>
                <w:noProof/>
              </w:rPr>
              <w:t>Ha</w:t>
            </w:r>
          </w:p>
        </w:tc>
        <w:tc>
          <w:tcPr>
            <w:tcW w:w="992" w:type="dxa"/>
            <w:shd w:val="clear" w:color="auto" w:fill="C4EFCE"/>
            <w:noWrap/>
            <w:vAlign w:val="center"/>
            <w:hideMark/>
          </w:tcPr>
          <w:p w14:paraId="72C10700"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23692D8" w14:textId="77777777" w:rsidR="00776A1F" w:rsidRDefault="00D8574B">
            <w:pPr>
              <w:pStyle w:val="P68B1DB1-Normal8"/>
              <w:spacing w:after="0" w:line="240" w:lineRule="auto"/>
              <w:jc w:val="center"/>
              <w:rPr>
                <w:rFonts w:eastAsia="Times New Roman" w:cs="Calibri"/>
                <w:noProof/>
              </w:rPr>
            </w:pPr>
            <w:r>
              <w:rPr>
                <w:noProof/>
              </w:rPr>
              <w:t>10 300</w:t>
            </w:r>
          </w:p>
        </w:tc>
        <w:tc>
          <w:tcPr>
            <w:tcW w:w="567" w:type="dxa"/>
            <w:shd w:val="clear" w:color="auto" w:fill="C4EFCE"/>
            <w:noWrap/>
            <w:vAlign w:val="center"/>
            <w:hideMark/>
          </w:tcPr>
          <w:p w14:paraId="32AC4E73"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174A4D7F" w14:textId="77777777"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188BD210" w14:textId="77777777" w:rsidR="00776A1F" w:rsidRDefault="00D8574B">
            <w:pPr>
              <w:pStyle w:val="P68B1DB1-Normal8"/>
              <w:spacing w:after="0" w:line="240" w:lineRule="auto"/>
              <w:jc w:val="both"/>
              <w:rPr>
                <w:rFonts w:eastAsia="Times New Roman" w:cs="Calibri"/>
                <w:noProof/>
              </w:rPr>
            </w:pPr>
            <w:r>
              <w:rPr>
                <w:noProof/>
              </w:rPr>
              <w:t xml:space="preserve">Apgabals, uz kuru attiecas efektīvāku sadales sistēmu ieviešana, aizstājot kanālus ar kanāliem, uzlabojot tīkla spiedienu, ieviešot attālās uzrādes un patēriņa kontroles sistēmas un ieviešot noplūdes konstatēšanas sistēmas kolektīvām hidrolauksaimniecības iekārtām un efektīvākām un uzraugāmām apūdeņošanas sistēmām individuālajā apūdeņošanā. </w:t>
            </w:r>
          </w:p>
        </w:tc>
      </w:tr>
      <w:tr w:rsidR="00776A1F" w14:paraId="13208EC3" w14:textId="77777777">
        <w:trPr>
          <w:trHeight w:val="1251"/>
          <w:jc w:val="center"/>
        </w:trPr>
        <w:tc>
          <w:tcPr>
            <w:tcW w:w="1135" w:type="dxa"/>
            <w:shd w:val="clear" w:color="auto" w:fill="C5EFCE"/>
            <w:noWrap/>
            <w:vAlign w:val="center"/>
            <w:hideMark/>
          </w:tcPr>
          <w:p w14:paraId="5C18D42C" w14:textId="77777777" w:rsidR="00776A1F" w:rsidRDefault="00D8574B">
            <w:pPr>
              <w:pStyle w:val="P68B1DB1-Normal7"/>
              <w:spacing w:after="0" w:line="240" w:lineRule="auto"/>
              <w:jc w:val="center"/>
              <w:rPr>
                <w:rFonts w:eastAsia="Times New Roman" w:cs="Calibri"/>
                <w:noProof/>
              </w:rPr>
            </w:pPr>
            <w:r>
              <w:rPr>
                <w:noProof/>
              </w:rPr>
              <w:t>9.4</w:t>
            </w:r>
          </w:p>
        </w:tc>
        <w:tc>
          <w:tcPr>
            <w:tcW w:w="1276" w:type="dxa"/>
            <w:shd w:val="clear" w:color="auto" w:fill="C4EFCE"/>
            <w:noWrap/>
            <w:vAlign w:val="center"/>
            <w:hideMark/>
          </w:tcPr>
          <w:p w14:paraId="3F908A5B"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27188DE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4082C95" w14:textId="77777777" w:rsidR="00776A1F" w:rsidRDefault="00D8574B">
            <w:pPr>
              <w:pStyle w:val="P68B1DB1-Normal8"/>
              <w:spacing w:after="0" w:line="240" w:lineRule="auto"/>
              <w:jc w:val="center"/>
              <w:rPr>
                <w:rFonts w:eastAsia="Times New Roman" w:cs="Calibri"/>
                <w:noProof/>
              </w:rPr>
            </w:pPr>
            <w:r>
              <w:rPr>
                <w:noProof/>
              </w:rPr>
              <w:t>Attīrīšanas iekārtu skaits, lai nodrošinātu attīrīto notekūdeņu ražošanu un pilnveidi (SM4)</w:t>
            </w:r>
          </w:p>
        </w:tc>
        <w:tc>
          <w:tcPr>
            <w:tcW w:w="1275" w:type="dxa"/>
            <w:shd w:val="clear" w:color="auto" w:fill="C4EFCE"/>
            <w:noWrap/>
            <w:vAlign w:val="center"/>
            <w:hideMark/>
          </w:tcPr>
          <w:p w14:paraId="78A33847" w14:textId="77777777" w:rsidR="00776A1F" w:rsidRDefault="00776A1F">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28B2E837"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72835986"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40E57D3" w14:textId="77777777" w:rsidR="00776A1F" w:rsidRDefault="00D8574B">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254C1418"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72AB9968" w14:textId="77777777"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C292FEE" w14:textId="77777777" w:rsidR="00776A1F" w:rsidRDefault="00D8574B">
            <w:pPr>
              <w:pStyle w:val="P68B1DB1-Normal8"/>
              <w:spacing w:after="0" w:line="240" w:lineRule="auto"/>
              <w:jc w:val="both"/>
              <w:rPr>
                <w:rFonts w:eastAsia="Times New Roman" w:cs="Calibri"/>
                <w:noProof/>
              </w:rPr>
            </w:pPr>
            <w:r>
              <w:rPr>
                <w:noProof/>
              </w:rPr>
              <w:t>To attīrīšanas staciju skaits, kas atvērtas, lai nodrošinātu atkalizmantošanai gatavu attīrītu notekūdeņu ražošanu</w:t>
            </w:r>
          </w:p>
        </w:tc>
      </w:tr>
      <w:tr w:rsidR="00776A1F" w14:paraId="4757E211" w14:textId="77777777">
        <w:trPr>
          <w:trHeight w:val="1050"/>
          <w:jc w:val="center"/>
        </w:trPr>
        <w:tc>
          <w:tcPr>
            <w:tcW w:w="1135" w:type="dxa"/>
            <w:shd w:val="clear" w:color="auto" w:fill="C4EFCE"/>
            <w:noWrap/>
            <w:vAlign w:val="center"/>
            <w:hideMark/>
          </w:tcPr>
          <w:p w14:paraId="63118563" w14:textId="77777777" w:rsidR="00776A1F" w:rsidRDefault="00D8574B">
            <w:pPr>
              <w:pStyle w:val="P68B1DB1-Normal7"/>
              <w:spacing w:after="0" w:line="240" w:lineRule="auto"/>
              <w:jc w:val="center"/>
              <w:rPr>
                <w:rFonts w:eastAsia="Times New Roman" w:cs="Calibri"/>
                <w:noProof/>
              </w:rPr>
            </w:pPr>
            <w:r>
              <w:rPr>
                <w:noProof/>
              </w:rPr>
              <w:t>9.5</w:t>
            </w:r>
          </w:p>
        </w:tc>
        <w:tc>
          <w:tcPr>
            <w:tcW w:w="1276" w:type="dxa"/>
            <w:shd w:val="clear" w:color="auto" w:fill="C4EFCE"/>
            <w:noWrap/>
            <w:vAlign w:val="center"/>
            <w:hideMark/>
          </w:tcPr>
          <w:p w14:paraId="323709CC"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047FA0FE"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F4FE77F" w14:textId="77777777" w:rsidR="00776A1F" w:rsidRDefault="00D8574B">
            <w:pPr>
              <w:pStyle w:val="P68B1DB1-Normal8"/>
              <w:spacing w:after="0" w:line="240" w:lineRule="auto"/>
              <w:jc w:val="center"/>
              <w:rPr>
                <w:rFonts w:eastAsia="Times New Roman" w:cs="Calibri"/>
                <w:noProof/>
              </w:rPr>
            </w:pPr>
            <w:r>
              <w:rPr>
                <w:noProof/>
              </w:rPr>
              <w:t>Atjaunināta projekta pieņemšana (ja vajadzīgs) pasākumam par ieguvi Guadiana, pilnībā iekļaujot visus ietekmes uz vidi novērtējuma (SM5) rezultātus un nosacījumus</w:t>
            </w:r>
          </w:p>
        </w:tc>
        <w:tc>
          <w:tcPr>
            <w:tcW w:w="1275" w:type="dxa"/>
            <w:shd w:val="clear" w:color="auto" w:fill="C4EFCE"/>
            <w:noWrap/>
            <w:vAlign w:val="center"/>
            <w:hideMark/>
          </w:tcPr>
          <w:p w14:paraId="2770C7F5" w14:textId="77777777" w:rsidR="00776A1F" w:rsidRDefault="00D8574B">
            <w:pPr>
              <w:pStyle w:val="P68B1DB1-Normal8"/>
              <w:spacing w:after="0" w:line="240" w:lineRule="auto"/>
              <w:jc w:val="center"/>
              <w:rPr>
                <w:rFonts w:eastAsia="Times New Roman" w:cs="Calibri"/>
                <w:noProof/>
              </w:rPr>
            </w:pPr>
            <w:r>
              <w:rPr>
                <w:noProof/>
              </w:rPr>
              <w:t>Atjauninātā dizainparauga pieņemšana (ja nepieciešams)</w:t>
            </w:r>
          </w:p>
        </w:tc>
        <w:tc>
          <w:tcPr>
            <w:tcW w:w="993" w:type="dxa"/>
            <w:shd w:val="clear" w:color="auto" w:fill="C4EFCE"/>
            <w:noWrap/>
            <w:vAlign w:val="center"/>
            <w:hideMark/>
          </w:tcPr>
          <w:p w14:paraId="2CB3CD29"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8D2587E"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08998EE7"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60BDF15" w14:textId="4D96C4DC"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1079CDB9"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73E76A50" w14:textId="77777777" w:rsidR="00776A1F" w:rsidRDefault="00D8574B">
            <w:pPr>
              <w:pStyle w:val="P68B1DB1-Normal8"/>
              <w:spacing w:after="0" w:line="240" w:lineRule="auto"/>
              <w:jc w:val="both"/>
              <w:rPr>
                <w:rFonts w:eastAsia="Times New Roman" w:cs="Calibri"/>
                <w:noProof/>
              </w:rPr>
            </w:pPr>
            <w:r>
              <w:rPr>
                <w:noProof/>
              </w:rPr>
              <w:t xml:space="preserve">Pieņemt atjauninātu pasākuma plānu (ja vajadzīgs), pilnībā iekļaujot vajadzīgos ietekmes uz vidi novērtējuma rezultātus un nosacījumus, ko pabeidz saskaņā ar Direktīvu 2011/92/ES un Direktīvu 92/43/EEK, kā arī attiecīgos novērtējumus saistībā ar Direktīvu 2000/60/EK, tostarp nepieciešamo ietekmes mazināšanas pasākumu īstenošanu, nodrošinot atbilstību NBK tehniskajiem norādījumiem (2021/C58/01). </w:t>
            </w:r>
          </w:p>
          <w:p w14:paraId="3F1FF344" w14:textId="77777777" w:rsidR="00776A1F" w:rsidRDefault="00D8574B">
            <w:pPr>
              <w:pStyle w:val="P68B1DB1-Normal8"/>
              <w:spacing w:after="0" w:line="240" w:lineRule="auto"/>
              <w:jc w:val="both"/>
              <w:rPr>
                <w:rFonts w:eastAsia="Times New Roman" w:cs="Calibri"/>
                <w:noProof/>
              </w:rPr>
            </w:pPr>
            <w:r>
              <w:rPr>
                <w:noProof/>
              </w:rPr>
              <w:t xml:space="preserve">Visus pasākumus, kas noteikti saistībā ar IVN un novērtējumu saskaņā ar Direktīvu 2000/60/EK un kas vajadzīgi, lai nodrošinātu principa “nenodarīt būtisku kaitējumu” ievērošanu, integrē projektā un stingri ievēro infrastruktūras būvniecības, ekspluatācijas un ekspluatācijas pārtraukšanas posmos. </w:t>
            </w:r>
          </w:p>
          <w:p w14:paraId="2BD5E250" w14:textId="2C0B174C" w:rsidR="00776A1F" w:rsidRDefault="00D8574B">
            <w:pPr>
              <w:pStyle w:val="P68B1DB1-Normal8"/>
              <w:spacing w:after="0" w:line="240" w:lineRule="auto"/>
              <w:jc w:val="both"/>
              <w:rPr>
                <w:rFonts w:eastAsia="Times New Roman" w:cs="Calibri"/>
                <w:noProof/>
              </w:rPr>
            </w:pPr>
            <w:r>
              <w:rPr>
                <w:noProof/>
              </w:rPr>
              <w:t>Ja ūdens tiek iegūts, attiecīgā iestāde piešķir attiecīgu atļauju, norādot nosacījumus, lai novērstu pasliktināšanos un nodrošinātu, ka skartajiem ūdensobjektiem saglabājas labs ekoloģiskais stāvoklis saskaņā ar Direktīvas 2000/60/EK prasībām.</w:t>
            </w:r>
          </w:p>
        </w:tc>
      </w:tr>
      <w:tr w:rsidR="00776A1F" w14:paraId="192B3758" w14:textId="77777777">
        <w:trPr>
          <w:trHeight w:val="3160"/>
          <w:jc w:val="center"/>
        </w:trPr>
        <w:tc>
          <w:tcPr>
            <w:tcW w:w="1135" w:type="dxa"/>
            <w:shd w:val="clear" w:color="auto" w:fill="C4EFCE"/>
            <w:noWrap/>
            <w:vAlign w:val="center"/>
            <w:hideMark/>
          </w:tcPr>
          <w:p w14:paraId="2C0C5900" w14:textId="77777777" w:rsidR="00776A1F" w:rsidRDefault="00D8574B">
            <w:pPr>
              <w:pStyle w:val="P68B1DB1-Normal7"/>
              <w:spacing w:after="0" w:line="240" w:lineRule="auto"/>
              <w:jc w:val="center"/>
              <w:rPr>
                <w:rFonts w:eastAsia="Times New Roman" w:cs="Calibri"/>
                <w:noProof/>
              </w:rPr>
            </w:pPr>
            <w:r>
              <w:rPr>
                <w:noProof/>
              </w:rPr>
              <w:t>9.6</w:t>
            </w:r>
          </w:p>
        </w:tc>
        <w:tc>
          <w:tcPr>
            <w:tcW w:w="1276" w:type="dxa"/>
            <w:shd w:val="clear" w:color="auto" w:fill="C4EFCE"/>
            <w:noWrap/>
            <w:vAlign w:val="center"/>
            <w:hideMark/>
          </w:tcPr>
          <w:p w14:paraId="70BF118A"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D10D257"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9625382" w14:textId="77777777" w:rsidR="00776A1F" w:rsidRDefault="00D8574B">
            <w:pPr>
              <w:pStyle w:val="P68B1DB1-Normal8"/>
              <w:spacing w:after="0" w:line="240" w:lineRule="auto"/>
              <w:jc w:val="center"/>
              <w:rPr>
                <w:rFonts w:eastAsia="Times New Roman" w:cs="Calibri"/>
                <w:noProof/>
              </w:rPr>
            </w:pPr>
            <w:r>
              <w:rPr>
                <w:noProof/>
              </w:rPr>
              <w:t>Ieguves uzsākšana Guadiana, pilnībā ievērojot ietekmes uz vidi novērtējuma (SM5) noteiktos rezultātus un nosacījumus</w:t>
            </w:r>
          </w:p>
        </w:tc>
        <w:tc>
          <w:tcPr>
            <w:tcW w:w="1275" w:type="dxa"/>
            <w:shd w:val="clear" w:color="auto" w:fill="C4EFCE"/>
            <w:noWrap/>
            <w:vAlign w:val="center"/>
            <w:hideMark/>
          </w:tcPr>
          <w:p w14:paraId="0C2A7E77" w14:textId="77777777" w:rsidR="00776A1F" w:rsidRDefault="00D8574B">
            <w:pPr>
              <w:pStyle w:val="P68B1DB1-Normal8"/>
              <w:spacing w:after="0" w:line="240" w:lineRule="auto"/>
              <w:jc w:val="center"/>
              <w:rPr>
                <w:rFonts w:eastAsia="Times New Roman" w:cs="Calibri"/>
                <w:noProof/>
              </w:rPr>
            </w:pPr>
            <w:r>
              <w:rPr>
                <w:noProof/>
              </w:rPr>
              <w:t>Ūdens ieguves sākšana</w:t>
            </w:r>
          </w:p>
        </w:tc>
        <w:tc>
          <w:tcPr>
            <w:tcW w:w="993" w:type="dxa"/>
            <w:shd w:val="clear" w:color="auto" w:fill="C4EFCE"/>
            <w:noWrap/>
            <w:vAlign w:val="center"/>
            <w:hideMark/>
          </w:tcPr>
          <w:p w14:paraId="554265B5"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F44BFB8"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7BF66C"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1DA95B63" w14:textId="40897D40"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0523A9C1" w14:textId="7596D464"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4433FAD9" w14:textId="696B8034" w:rsidR="00776A1F" w:rsidRDefault="00D8574B">
            <w:pPr>
              <w:pStyle w:val="P68B1DB1-Normal8"/>
              <w:spacing w:after="0" w:line="240" w:lineRule="auto"/>
              <w:jc w:val="both"/>
              <w:rPr>
                <w:rFonts w:eastAsia="Times New Roman" w:cs="Calibri"/>
                <w:noProof/>
              </w:rPr>
            </w:pPr>
            <w:r>
              <w:rPr>
                <w:noProof/>
              </w:rPr>
              <w:t xml:space="preserve">Ieguves sākšana Gvadajānā, pilnībā ievērojot saskaņā ar Direktīvu 2011/92/ES un Direktīvu 92/43/EEK pabeigtā IVN rezultātus, tostarp nepieciešamo ietekmes mazināšanas pasākumu īstenošanu, nodrošinot atbilstību NBK tehniskajiem norādījumiem (2021/C58/01). </w:t>
            </w:r>
          </w:p>
        </w:tc>
      </w:tr>
      <w:tr w:rsidR="00776A1F" w14:paraId="6F9F9602" w14:textId="77777777">
        <w:trPr>
          <w:trHeight w:val="2966"/>
          <w:jc w:val="center"/>
        </w:trPr>
        <w:tc>
          <w:tcPr>
            <w:tcW w:w="1135" w:type="dxa"/>
            <w:shd w:val="clear" w:color="auto" w:fill="C4EFCE"/>
            <w:noWrap/>
            <w:vAlign w:val="center"/>
            <w:hideMark/>
          </w:tcPr>
          <w:p w14:paraId="29F6DCA6" w14:textId="77777777" w:rsidR="00776A1F" w:rsidRDefault="00D8574B">
            <w:pPr>
              <w:pStyle w:val="P68B1DB1-Normal7"/>
              <w:spacing w:after="0" w:line="240" w:lineRule="auto"/>
              <w:jc w:val="center"/>
              <w:rPr>
                <w:rFonts w:eastAsia="Times New Roman" w:cs="Calibri"/>
                <w:noProof/>
              </w:rPr>
            </w:pPr>
            <w:r>
              <w:rPr>
                <w:noProof/>
              </w:rPr>
              <w:t>9.7</w:t>
            </w:r>
          </w:p>
        </w:tc>
        <w:tc>
          <w:tcPr>
            <w:tcW w:w="1276" w:type="dxa"/>
            <w:shd w:val="clear" w:color="auto" w:fill="C4EFCE"/>
            <w:noWrap/>
            <w:vAlign w:val="center"/>
            <w:hideMark/>
          </w:tcPr>
          <w:p w14:paraId="7E7B9030"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5577101"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6971F09" w14:textId="77777777" w:rsidR="00776A1F" w:rsidRDefault="00D8574B">
            <w:pPr>
              <w:pStyle w:val="P68B1DB1-Normal8"/>
              <w:spacing w:after="0" w:line="240" w:lineRule="auto"/>
              <w:jc w:val="center"/>
              <w:rPr>
                <w:rFonts w:eastAsia="Times New Roman" w:cs="Calibri"/>
                <w:noProof/>
              </w:rPr>
            </w:pPr>
            <w:r>
              <w:rPr>
                <w:noProof/>
              </w:rPr>
              <w:t>Atjaunināta atsāļošanas pasākuma projekta pieņemšana (ja vajadzīgs), pilnībā iekļaujot visus ietekmes uz vidi novērtējuma (SM6) rezultātus un nosacījumus</w:t>
            </w:r>
          </w:p>
        </w:tc>
        <w:tc>
          <w:tcPr>
            <w:tcW w:w="1275" w:type="dxa"/>
            <w:shd w:val="clear" w:color="auto" w:fill="C4EFCE"/>
            <w:noWrap/>
            <w:vAlign w:val="center"/>
            <w:hideMark/>
          </w:tcPr>
          <w:p w14:paraId="4E8E76C8" w14:textId="77777777" w:rsidR="00776A1F" w:rsidRDefault="00D8574B">
            <w:pPr>
              <w:pStyle w:val="P68B1DB1-Normal8"/>
              <w:spacing w:after="0" w:line="240" w:lineRule="auto"/>
              <w:jc w:val="center"/>
              <w:rPr>
                <w:rFonts w:eastAsia="Times New Roman" w:cs="Calibri"/>
                <w:noProof/>
              </w:rPr>
            </w:pPr>
            <w:r>
              <w:rPr>
                <w:noProof/>
              </w:rPr>
              <w:t>Atjauninātā dizainparauga pieņemšana (ja nepieciešams)</w:t>
            </w:r>
          </w:p>
        </w:tc>
        <w:tc>
          <w:tcPr>
            <w:tcW w:w="993" w:type="dxa"/>
            <w:shd w:val="clear" w:color="auto" w:fill="C4EFCE"/>
            <w:noWrap/>
            <w:vAlign w:val="center"/>
            <w:hideMark/>
          </w:tcPr>
          <w:p w14:paraId="4A6FC0AE"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3C3FADE0"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71FE3BF8"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14F91E1" w14:textId="365EFFDB"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249C3716" w14:textId="0AB69983"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7FA125F" w14:textId="77777777" w:rsidR="00776A1F" w:rsidRDefault="00D8574B">
            <w:pPr>
              <w:pStyle w:val="P68B1DB1-Normal8"/>
              <w:spacing w:after="0" w:line="240" w:lineRule="auto"/>
              <w:jc w:val="both"/>
              <w:rPr>
                <w:rFonts w:eastAsia="Times New Roman" w:cs="Calibri"/>
                <w:noProof/>
              </w:rPr>
            </w:pPr>
            <w:r>
              <w:rPr>
                <w:noProof/>
              </w:rPr>
              <w:t>Tiek pieņemts atjaunināts atsāļošanas pasākuma plāns (ja vajadzīgs), pilnībā iekļaujot vajadzīgos ietekmes uz vidi novērtējuma rezultātus un nosacījumus, ko pabeidz saskaņā ar Direktīvu 2011/92/ES, kā arī attiecīgos novērtējumus saistībā ar Direktīvu 2000/60/EK, tostarp nepieciešamo ietekmes mazināšanas pasākumu īstenošanu, nodrošinot atbilstību NBK tehniskajiem norādījumiem (2021/C58/01). Visus pasākumus, kas noteikti saistībā ar IVN un novērtējumu saskaņā ar Direktīvu 2000/60/EK un kas vajadzīgi, lai nodrošinātu principa “nenodarīt būtisku kaitējumu” ievērošanu, integrē projektā un stingri ievēro infrastruktūras būvniecības, ekspluatācijas un ekspluatācijas pārtraukšanas posmos.</w:t>
            </w:r>
          </w:p>
        </w:tc>
      </w:tr>
      <w:tr w:rsidR="00776A1F" w14:paraId="3DA4741E" w14:textId="77777777">
        <w:trPr>
          <w:trHeight w:val="1250"/>
          <w:jc w:val="center"/>
        </w:trPr>
        <w:tc>
          <w:tcPr>
            <w:tcW w:w="1135" w:type="dxa"/>
            <w:shd w:val="clear" w:color="auto" w:fill="C4EFCE"/>
            <w:noWrap/>
            <w:vAlign w:val="center"/>
            <w:hideMark/>
          </w:tcPr>
          <w:p w14:paraId="584AC037" w14:textId="77777777" w:rsidR="00776A1F" w:rsidRDefault="00D8574B">
            <w:pPr>
              <w:pStyle w:val="P68B1DB1-Normal7"/>
              <w:spacing w:after="0" w:line="240" w:lineRule="auto"/>
              <w:jc w:val="center"/>
              <w:rPr>
                <w:rFonts w:eastAsia="Times New Roman" w:cs="Calibri"/>
                <w:noProof/>
              </w:rPr>
            </w:pPr>
            <w:r>
              <w:rPr>
                <w:noProof/>
              </w:rPr>
              <w:t>9.8</w:t>
            </w:r>
          </w:p>
        </w:tc>
        <w:tc>
          <w:tcPr>
            <w:tcW w:w="1276" w:type="dxa"/>
            <w:shd w:val="clear" w:color="auto" w:fill="C4EFCE"/>
            <w:noWrap/>
            <w:vAlign w:val="center"/>
            <w:hideMark/>
          </w:tcPr>
          <w:p w14:paraId="46BCD0A0" w14:textId="77777777" w:rsidR="00776A1F" w:rsidRDefault="00D8574B">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549C7160"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B65542" w14:textId="758A5464" w:rsidR="00776A1F" w:rsidRDefault="00D8574B">
            <w:pPr>
              <w:pStyle w:val="P68B1DB1-Normal8"/>
              <w:spacing w:after="0" w:line="240" w:lineRule="auto"/>
              <w:jc w:val="center"/>
              <w:rPr>
                <w:rFonts w:eastAsia="Times New Roman" w:cs="Calibri"/>
                <w:noProof/>
              </w:rPr>
            </w:pPr>
            <w:r>
              <w:rPr>
                <w:noProof/>
              </w:rPr>
              <w:t>Atsāļošanas pasākuma darbības uzsākšana, pilnībā ievērojot ietekmes uz vidi novērtējumā (SM6) noteiktos rezultātus un nosacījumus</w:t>
            </w:r>
          </w:p>
        </w:tc>
        <w:tc>
          <w:tcPr>
            <w:tcW w:w="1275" w:type="dxa"/>
            <w:shd w:val="clear" w:color="auto" w:fill="C4EFCE"/>
            <w:noWrap/>
            <w:vAlign w:val="center"/>
            <w:hideMark/>
          </w:tcPr>
          <w:p w14:paraId="3DF16F3D" w14:textId="77777777" w:rsidR="00776A1F" w:rsidRDefault="00D8574B">
            <w:pPr>
              <w:pStyle w:val="P68B1DB1-Normal8"/>
              <w:spacing w:after="0" w:line="240" w:lineRule="auto"/>
              <w:jc w:val="center"/>
              <w:rPr>
                <w:rFonts w:eastAsia="Times New Roman" w:cs="Calibri"/>
                <w:noProof/>
              </w:rPr>
            </w:pPr>
            <w:r>
              <w:rPr>
                <w:noProof/>
              </w:rPr>
              <w:t>Atsāļošanas iekārtas ekspluatācijas uzsākšana</w:t>
            </w:r>
          </w:p>
        </w:tc>
        <w:tc>
          <w:tcPr>
            <w:tcW w:w="993" w:type="dxa"/>
            <w:shd w:val="clear" w:color="auto" w:fill="C4EFCE"/>
            <w:noWrap/>
            <w:vAlign w:val="center"/>
            <w:hideMark/>
          </w:tcPr>
          <w:p w14:paraId="72453BB8"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510E366"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53F0AD13"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532C96C1"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70A056AF" w14:textId="77777777"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522A58FB" w14:textId="77777777" w:rsidR="00776A1F" w:rsidRDefault="00D8574B">
            <w:pPr>
              <w:pStyle w:val="P68B1DB1-Normal8"/>
              <w:spacing w:after="0" w:line="240" w:lineRule="auto"/>
              <w:jc w:val="both"/>
              <w:rPr>
                <w:rFonts w:eastAsia="Times New Roman" w:cs="Calibri"/>
                <w:noProof/>
              </w:rPr>
            </w:pPr>
            <w:r>
              <w:rPr>
                <w:noProof/>
              </w:rPr>
              <w:t xml:space="preserve">Atsāļinatora ekspluatācijas uzsākšana, pilnībā ievērojot saskaņā ar Direktīvu 2011/92/ES pabeigtā IVN rezultātus, tostarp nepieciešamo ietekmes mazināšanas pasākumu īstenošanu, nodrošinot atbilstību NBK tehniskajiem norādījumiem (2021/C58/01). </w:t>
            </w:r>
          </w:p>
        </w:tc>
      </w:tr>
      <w:tr w:rsidR="00776A1F" w14:paraId="0EE35F32" w14:textId="77777777">
        <w:trPr>
          <w:trHeight w:val="1260"/>
          <w:jc w:val="center"/>
        </w:trPr>
        <w:tc>
          <w:tcPr>
            <w:tcW w:w="1135" w:type="dxa"/>
            <w:shd w:val="clear" w:color="auto" w:fill="C4EFCE"/>
            <w:noWrap/>
            <w:vAlign w:val="center"/>
            <w:hideMark/>
          </w:tcPr>
          <w:p w14:paraId="6907820E" w14:textId="77777777" w:rsidR="00776A1F" w:rsidRDefault="00D8574B">
            <w:pPr>
              <w:pStyle w:val="P68B1DB1-Normal7"/>
              <w:spacing w:after="0" w:line="240" w:lineRule="auto"/>
              <w:jc w:val="center"/>
              <w:rPr>
                <w:rFonts w:eastAsia="Times New Roman" w:cs="Calibri"/>
                <w:noProof/>
              </w:rPr>
            </w:pPr>
            <w:r>
              <w:rPr>
                <w:noProof/>
              </w:rPr>
              <w:t>9.9</w:t>
            </w:r>
          </w:p>
        </w:tc>
        <w:tc>
          <w:tcPr>
            <w:tcW w:w="1276" w:type="dxa"/>
            <w:shd w:val="clear" w:color="auto" w:fill="C4EFCE"/>
            <w:noWrap/>
            <w:vAlign w:val="center"/>
            <w:hideMark/>
          </w:tcPr>
          <w:p w14:paraId="60154726" w14:textId="77777777" w:rsidR="00776A1F" w:rsidRDefault="00D8574B">
            <w:pPr>
              <w:pStyle w:val="P68B1DB1-Normal8"/>
              <w:spacing w:after="0" w:line="240" w:lineRule="auto"/>
              <w:jc w:val="center"/>
              <w:rPr>
                <w:rFonts w:eastAsia="Times New Roman" w:cs="Calibri"/>
                <w:noProof/>
              </w:rPr>
            </w:pPr>
            <w:r>
              <w:rPr>
                <w:noProof/>
              </w:rPr>
              <w:t>Re-C09-i02</w:t>
            </w:r>
          </w:p>
        </w:tc>
        <w:tc>
          <w:tcPr>
            <w:tcW w:w="1134" w:type="dxa"/>
            <w:shd w:val="clear" w:color="auto" w:fill="C4EFCE"/>
            <w:noWrap/>
            <w:vAlign w:val="center"/>
            <w:hideMark/>
          </w:tcPr>
          <w:p w14:paraId="2B576482"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2B791B0" w14:textId="77777777" w:rsidR="00776A1F" w:rsidRDefault="00D8574B">
            <w:pPr>
              <w:pStyle w:val="P68B1DB1-Normal8"/>
              <w:spacing w:after="0" w:line="240" w:lineRule="auto"/>
              <w:jc w:val="center"/>
              <w:rPr>
                <w:rFonts w:eastAsia="Times New Roman" w:cs="Calibri"/>
                <w:noProof/>
              </w:rPr>
            </w:pPr>
            <w:r>
              <w:rPr>
                <w:noProof/>
              </w:rPr>
              <w:t xml:space="preserve">Pasākuma plānošanas dokumentācijas publicēšana, pilnībā iekļaujot visus IVN rezultātus un nosacījumus </w:t>
            </w:r>
          </w:p>
        </w:tc>
        <w:tc>
          <w:tcPr>
            <w:tcW w:w="1275" w:type="dxa"/>
            <w:shd w:val="clear" w:color="auto" w:fill="C4EFCE"/>
            <w:noWrap/>
            <w:vAlign w:val="center"/>
            <w:hideMark/>
          </w:tcPr>
          <w:p w14:paraId="675CEB32" w14:textId="77777777" w:rsidR="00776A1F" w:rsidRDefault="00D8574B">
            <w:pPr>
              <w:pStyle w:val="P68B1DB1-Normal8"/>
              <w:spacing w:after="0" w:line="240" w:lineRule="auto"/>
              <w:jc w:val="center"/>
              <w:rPr>
                <w:rFonts w:eastAsia="Times New Roman" w:cs="Calibri"/>
                <w:noProof/>
              </w:rPr>
            </w:pPr>
            <w:r>
              <w:rPr>
                <w:noProof/>
              </w:rPr>
              <w:t>Pasākuma plānošanas dokumentācijas publicēšana, pilnībā iekļaujot visus IVN rezultātus un nosacījumus</w:t>
            </w:r>
          </w:p>
        </w:tc>
        <w:tc>
          <w:tcPr>
            <w:tcW w:w="993" w:type="dxa"/>
            <w:shd w:val="clear" w:color="auto" w:fill="C4EFCE"/>
            <w:noWrap/>
            <w:vAlign w:val="center"/>
            <w:hideMark/>
          </w:tcPr>
          <w:p w14:paraId="72B7CA55"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FDA11AC"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E4B173"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F786AEF"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59AB2AB7"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8FDFB3C" w14:textId="77777777" w:rsidR="00776A1F" w:rsidRDefault="00D8574B">
            <w:pPr>
              <w:pStyle w:val="P68B1DB1-Normal8"/>
              <w:spacing w:after="0" w:line="240" w:lineRule="auto"/>
              <w:jc w:val="both"/>
              <w:rPr>
                <w:rFonts w:eastAsia="Times New Roman" w:cs="Calibri"/>
                <w:noProof/>
              </w:rPr>
            </w:pPr>
            <w:r>
              <w:rPr>
                <w:noProof/>
              </w:rPr>
              <w:t xml:space="preserve">Ar nosacījumu, ka tiek veikts pozitīvs ietekmes uz vidi novērtējums, kas pilnībā un pēc būtības atbilst juridiskajiem kritērijiem, tiek publicēta pasākuma plānošanas dokumentācija, pilnībā iekļaujot visus ietekmes uz vidi novērtējuma rezultātus un nosacījumus, ja tas nepieciešams, lai panāktu atbilstību NBK tehniskajiem norādījumiem (2021/C58/01). IVN tiek publicēts un pabeigts saskaņā ar Direktīvu 2011/92/ES, kā arī attiecīgie novērtējumi saistībā ar Direktīvu 2000/60/EK, tostarp nepieciešamo ietekmes mazināšanas pasākumu īstenošana. </w:t>
            </w:r>
          </w:p>
          <w:p w14:paraId="16928ACC" w14:textId="62802450" w:rsidR="00776A1F" w:rsidRDefault="00D8574B">
            <w:pPr>
              <w:pStyle w:val="P68B1DB1-Normal8"/>
              <w:spacing w:after="0" w:line="240" w:lineRule="auto"/>
              <w:jc w:val="both"/>
              <w:rPr>
                <w:rFonts w:eastAsia="Times New Roman" w:cs="Calibri"/>
                <w:noProof/>
              </w:rPr>
            </w:pPr>
            <w:r>
              <w:rPr>
                <w:noProof/>
              </w:rPr>
              <w:t>Visus pasākumus, kas noteikti saistībā ar IVN un novērtējumu saskaņā ar Direktīvu 2000/60/EK un kas vajadzīgi, lai nodrošinātu atbilstību NBK tehniskajiem norādījumiem (2021/C58/01), integrē projektā un ievēro infrastruktūras būvniecības, ekspluatācijas un dezekspluatācijas posmos.</w:t>
            </w:r>
          </w:p>
        </w:tc>
      </w:tr>
      <w:tr w:rsidR="00776A1F" w14:paraId="6E7029E4" w14:textId="77777777">
        <w:trPr>
          <w:trHeight w:val="850"/>
          <w:jc w:val="center"/>
        </w:trPr>
        <w:tc>
          <w:tcPr>
            <w:tcW w:w="1135" w:type="dxa"/>
            <w:shd w:val="clear" w:color="auto" w:fill="C4EFCE"/>
            <w:noWrap/>
            <w:vAlign w:val="center"/>
            <w:hideMark/>
          </w:tcPr>
          <w:p w14:paraId="7DFAB53A" w14:textId="77777777" w:rsidR="00776A1F" w:rsidRDefault="00D8574B">
            <w:pPr>
              <w:pStyle w:val="P68B1DB1-Normal7"/>
              <w:spacing w:after="0" w:line="240" w:lineRule="auto"/>
              <w:jc w:val="center"/>
              <w:rPr>
                <w:rFonts w:eastAsia="Times New Roman" w:cs="Calibri"/>
                <w:noProof/>
              </w:rPr>
            </w:pPr>
            <w:r>
              <w:rPr>
                <w:noProof/>
              </w:rPr>
              <w:t>9.12</w:t>
            </w:r>
          </w:p>
        </w:tc>
        <w:tc>
          <w:tcPr>
            <w:tcW w:w="1276" w:type="dxa"/>
            <w:shd w:val="clear" w:color="auto" w:fill="C4EFCE"/>
            <w:noWrap/>
            <w:vAlign w:val="center"/>
            <w:hideMark/>
          </w:tcPr>
          <w:p w14:paraId="16076ED4" w14:textId="77777777" w:rsidR="00776A1F" w:rsidRDefault="00D8574B">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6337F20"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0A0CCBB" w14:textId="77777777" w:rsidR="00776A1F" w:rsidRDefault="00D8574B">
            <w:pPr>
              <w:pStyle w:val="P68B1DB1-Normal8"/>
              <w:spacing w:after="0" w:line="240" w:lineRule="auto"/>
              <w:jc w:val="center"/>
              <w:rPr>
                <w:rFonts w:eastAsia="Times New Roman" w:cs="Calibri"/>
                <w:noProof/>
              </w:rPr>
            </w:pPr>
            <w:r>
              <w:rPr>
                <w:noProof/>
              </w:rPr>
              <w:t>Atjaunoto vai atjaunoto cauruļvadu papildu km</w:t>
            </w:r>
          </w:p>
        </w:tc>
        <w:tc>
          <w:tcPr>
            <w:tcW w:w="1275" w:type="dxa"/>
            <w:shd w:val="clear" w:color="auto" w:fill="C4EFCE"/>
            <w:noWrap/>
            <w:vAlign w:val="center"/>
            <w:hideMark/>
          </w:tcPr>
          <w:p w14:paraId="63DB2787" w14:textId="77777777" w:rsidR="00776A1F" w:rsidRDefault="00776A1F">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69886126"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shd w:val="clear" w:color="auto" w:fill="C4EFCE"/>
            <w:noWrap/>
            <w:vAlign w:val="center"/>
            <w:hideMark/>
          </w:tcPr>
          <w:p w14:paraId="3003D95B"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B636C7" w14:textId="77777777" w:rsidR="00776A1F" w:rsidRDefault="00D8574B">
            <w:pPr>
              <w:pStyle w:val="P68B1DB1-Normal8"/>
              <w:spacing w:after="0" w:line="240" w:lineRule="auto"/>
              <w:jc w:val="center"/>
              <w:rPr>
                <w:rFonts w:eastAsia="Times New Roman" w:cs="Calibri"/>
                <w:noProof/>
              </w:rPr>
            </w:pPr>
            <w:r>
              <w:rPr>
                <w:noProof/>
              </w:rPr>
              <w:t>53</w:t>
            </w:r>
          </w:p>
        </w:tc>
        <w:tc>
          <w:tcPr>
            <w:tcW w:w="567" w:type="dxa"/>
            <w:shd w:val="clear" w:color="auto" w:fill="C4EFCE"/>
            <w:noWrap/>
            <w:vAlign w:val="center"/>
            <w:hideMark/>
          </w:tcPr>
          <w:p w14:paraId="4F60250B" w14:textId="3336C189"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3679EC0A" w14:textId="68FE60DD"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E611BB0" w14:textId="096EC16F" w:rsidR="00776A1F" w:rsidRDefault="00D8574B">
            <w:pPr>
              <w:pStyle w:val="P68B1DB1-Normal8"/>
              <w:spacing w:after="0" w:line="240" w:lineRule="auto"/>
              <w:jc w:val="both"/>
              <w:rPr>
                <w:rFonts w:eastAsia="Times New Roman" w:cs="Calibri"/>
                <w:noProof/>
              </w:rPr>
            </w:pPr>
            <w:r>
              <w:rPr>
                <w:noProof/>
              </w:rPr>
              <w:t>Uzbūvēto, renovēto vai atjaunoto ūdens cauruļvadu garums kilometros</w:t>
            </w:r>
          </w:p>
        </w:tc>
      </w:tr>
      <w:tr w:rsidR="00776A1F" w14:paraId="31E82792" w14:textId="77777777">
        <w:trPr>
          <w:trHeight w:val="2110"/>
          <w:jc w:val="center"/>
        </w:trPr>
        <w:tc>
          <w:tcPr>
            <w:tcW w:w="1135" w:type="dxa"/>
            <w:shd w:val="clear" w:color="auto" w:fill="C4EFCE"/>
            <w:noWrap/>
            <w:vAlign w:val="center"/>
            <w:hideMark/>
          </w:tcPr>
          <w:p w14:paraId="600412E0" w14:textId="77777777" w:rsidR="00776A1F" w:rsidRDefault="00D8574B">
            <w:pPr>
              <w:pStyle w:val="P68B1DB1-Normal7"/>
              <w:spacing w:after="0" w:line="240" w:lineRule="auto"/>
              <w:jc w:val="center"/>
              <w:rPr>
                <w:rFonts w:eastAsia="Times New Roman" w:cs="Calibri"/>
                <w:noProof/>
              </w:rPr>
            </w:pPr>
            <w:r>
              <w:rPr>
                <w:noProof/>
              </w:rPr>
              <w:t>9.13</w:t>
            </w:r>
          </w:p>
        </w:tc>
        <w:tc>
          <w:tcPr>
            <w:tcW w:w="1276" w:type="dxa"/>
            <w:shd w:val="clear" w:color="auto" w:fill="C4EFCE"/>
            <w:noWrap/>
            <w:vAlign w:val="center"/>
            <w:hideMark/>
          </w:tcPr>
          <w:p w14:paraId="17550FBE" w14:textId="77777777" w:rsidR="00776A1F" w:rsidRDefault="00D8574B">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549A2DF"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4FA1D5A" w14:textId="77777777" w:rsidR="00776A1F" w:rsidRDefault="00D8574B">
            <w:pPr>
              <w:pStyle w:val="P68B1DB1-Normal8"/>
              <w:spacing w:after="0" w:line="240" w:lineRule="auto"/>
              <w:jc w:val="center"/>
              <w:rPr>
                <w:rFonts w:eastAsia="Times New Roman" w:cs="Calibri"/>
                <w:noProof/>
              </w:rPr>
            </w:pPr>
            <w:r>
              <w:rPr>
                <w:noProof/>
              </w:rPr>
              <w:t>Papildu ūdens daudzums, kas pieejams Madeiras salas dienvidu daļā publiskai apgādei un apūdeņošanai</w:t>
            </w:r>
          </w:p>
        </w:tc>
        <w:tc>
          <w:tcPr>
            <w:tcW w:w="1275" w:type="dxa"/>
            <w:shd w:val="clear" w:color="auto" w:fill="C4EFCE"/>
            <w:noWrap/>
            <w:vAlign w:val="center"/>
            <w:hideMark/>
          </w:tcPr>
          <w:p w14:paraId="6A44E574" w14:textId="77777777" w:rsidR="00776A1F" w:rsidRDefault="00776A1F">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0237239" w14:textId="77777777" w:rsidR="00776A1F" w:rsidRDefault="00D8574B">
            <w:pPr>
              <w:pStyle w:val="P68B1DB1-Normal8"/>
              <w:spacing w:after="0" w:line="240" w:lineRule="auto"/>
              <w:jc w:val="center"/>
              <w:rPr>
                <w:rFonts w:eastAsia="Times New Roman" w:cs="Calibri"/>
                <w:noProof/>
              </w:rPr>
            </w:pPr>
            <w:r>
              <w:rPr>
                <w:noProof/>
              </w:rPr>
              <w:t>hm3</w:t>
            </w:r>
          </w:p>
        </w:tc>
        <w:tc>
          <w:tcPr>
            <w:tcW w:w="992" w:type="dxa"/>
            <w:shd w:val="clear" w:color="auto" w:fill="C4EFCE"/>
            <w:noWrap/>
            <w:vAlign w:val="center"/>
            <w:hideMark/>
          </w:tcPr>
          <w:p w14:paraId="1AE1E1CE" w14:textId="77777777" w:rsidR="00776A1F" w:rsidRDefault="00D8574B">
            <w:pPr>
              <w:pStyle w:val="P68B1DB1-Normal8"/>
              <w:spacing w:after="0" w:line="240" w:lineRule="auto"/>
              <w:jc w:val="center"/>
              <w:rPr>
                <w:rFonts w:eastAsia="Times New Roman" w:cs="Calibri"/>
                <w:noProof/>
              </w:rPr>
            </w:pPr>
            <w:r>
              <w:rPr>
                <w:noProof/>
              </w:rPr>
              <w:t>NEPIEMĒRO.</w:t>
            </w:r>
          </w:p>
        </w:tc>
        <w:tc>
          <w:tcPr>
            <w:tcW w:w="709" w:type="dxa"/>
            <w:shd w:val="clear" w:color="auto" w:fill="C4EFCE"/>
            <w:noWrap/>
            <w:vAlign w:val="center"/>
            <w:hideMark/>
          </w:tcPr>
          <w:p w14:paraId="66A0614B" w14:textId="77777777" w:rsidR="00776A1F" w:rsidRDefault="00D8574B">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31C162B3"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62F42872"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BC078D4" w14:textId="77777777" w:rsidR="00776A1F" w:rsidRDefault="00D8574B">
            <w:pPr>
              <w:pStyle w:val="P68B1DB1-Normal8"/>
              <w:spacing w:after="0" w:line="240" w:lineRule="auto"/>
              <w:jc w:val="both"/>
              <w:rPr>
                <w:rFonts w:eastAsia="Times New Roman" w:cs="Calibri"/>
                <w:noProof/>
              </w:rPr>
            </w:pPr>
            <w:r>
              <w:rPr>
                <w:noProof/>
              </w:rPr>
              <w:t>Papildu ūdens apjoms, ko dara pieejamu publiskai apgādei un apūdeņošanai; to panāk, stiprinot, renovējot, atjaunojot un būvējot jaunus cauruļvadus, kanālus, dīķus un rezervuārus.</w:t>
            </w:r>
          </w:p>
        </w:tc>
      </w:tr>
    </w:tbl>
    <w:p w14:paraId="5E4AB6BD"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186"/>
          <w:headerReference w:type="default" r:id="rId187"/>
          <w:footerReference w:type="even" r:id="rId188"/>
          <w:footerReference w:type="default" r:id="rId189"/>
          <w:headerReference w:type="first" r:id="rId190"/>
          <w:footerReference w:type="first" r:id="rId191"/>
          <w:pgSz w:w="16839" w:h="11907" w:orient="landscape"/>
          <w:pgMar w:top="1134" w:right="1134" w:bottom="1134" w:left="1134" w:header="567" w:footer="567" w:gutter="0"/>
          <w:cols w:space="720"/>
          <w:docGrid w:linePitch="360"/>
        </w:sectPr>
      </w:pPr>
    </w:p>
    <w:p w14:paraId="49EFEC21"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45C8B58D" w14:textId="293E2C82" w:rsidR="00776A1F" w:rsidRDefault="00D8574B">
      <w:pPr>
        <w:pStyle w:val="P68B1DB1-Normal3"/>
        <w:spacing w:before="40" w:after="0" w:line="259" w:lineRule="auto"/>
        <w:ind w:left="130" w:firstLine="720"/>
        <w:jc w:val="both"/>
        <w:outlineLvl w:val="2"/>
        <w:rPr>
          <w:rFonts w:eastAsiaTheme="minorEastAsia" w:cs="Times New Roman"/>
          <w:noProof/>
        </w:rPr>
      </w:pPr>
      <w:r>
        <w:rPr>
          <w:noProof/>
        </w:rPr>
        <w:t xml:space="preserve">I.3. </w:t>
      </w:r>
      <w:r>
        <w:rPr>
          <w:noProof/>
        </w:rPr>
        <w:tab/>
        <w:t xml:space="preserve">Aizdevumam pieteikto reformu un investīciju apraksts </w:t>
      </w:r>
    </w:p>
    <w:p w14:paraId="39E334BC" w14:textId="43A46B43"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RE-C09–04: Crato hidrauliskais daudzfunkcionālais uzņēmums, būvniecības posms</w:t>
      </w:r>
    </w:p>
    <w:p w14:paraId="55CAA73A" w14:textId="74061741" w:rsidR="00776A1F" w:rsidRDefault="00D8574B">
      <w:pPr>
        <w:pStyle w:val="P68B1DB1-Normal4"/>
        <w:keepNext/>
        <w:spacing w:before="40" w:after="0" w:line="259" w:lineRule="auto"/>
        <w:jc w:val="both"/>
        <w:outlineLvl w:val="2"/>
        <w:rPr>
          <w:rFonts w:eastAsia="Times New Roman" w:cs="Times New Roman"/>
          <w:noProof/>
        </w:rPr>
      </w:pPr>
      <w:r>
        <w:rPr>
          <w:noProof/>
        </w:rPr>
        <w:t xml:space="preserve">Šis ieguldījums attiecas uz projektu, kas aprakstīts “Ieguldījums RE-C09-i02” — Crato Hydraulic daudzfunkcionālais uzņēmums, plānošanas posms. Šis ieguldījums ietver dambi atjauninātas konstrukcijas (DCAPE) pieņemšanu un dambja darbības uzsākšanu. </w:t>
      </w:r>
    </w:p>
    <w:p w14:paraId="0F013EA5" w14:textId="5E42A201" w:rsidR="00776A1F" w:rsidRDefault="00D8574B">
      <w:pPr>
        <w:pStyle w:val="P68B1DB1-Normal4"/>
        <w:keepNext/>
        <w:spacing w:before="40" w:after="0" w:line="259" w:lineRule="auto"/>
        <w:jc w:val="both"/>
        <w:outlineLvl w:val="2"/>
        <w:rPr>
          <w:rFonts w:eastAsia="Times New Roman" w:cs="Times New Roman"/>
          <w:noProof/>
        </w:rPr>
      </w:pPr>
      <w:r>
        <w:rPr>
          <w:noProof/>
        </w:rPr>
        <w:t xml:space="preserve">Visi pārējie elementi, tostarp NBK pienākumi, ir tie paši, kas norādīti ieguldījumu RE-C09-i02 Hydraulic daudzfunkcionālā uzņēmuma Crato plānošanas posmā. </w:t>
      </w:r>
    </w:p>
    <w:p w14:paraId="0D565263" w14:textId="54DC2D99"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735167DE" w14:textId="77777777" w:rsidR="00776A1F" w:rsidRDefault="00776A1F">
      <w:pPr>
        <w:keepNext/>
        <w:spacing w:before="40" w:after="0" w:line="259" w:lineRule="auto"/>
        <w:ind w:left="130" w:firstLine="720"/>
        <w:jc w:val="both"/>
        <w:outlineLvl w:val="2"/>
        <w:rPr>
          <w:rFonts w:ascii="Times New Roman" w:eastAsia="Times New Roman" w:hAnsi="Times New Roman" w:cs="Times New Roman"/>
          <w:noProof/>
          <w:sz w:val="24"/>
        </w:rPr>
        <w:sectPr w:rsidR="00776A1F" w:rsidSect="009A4B20">
          <w:headerReference w:type="even" r:id="rId192"/>
          <w:headerReference w:type="default" r:id="rId193"/>
          <w:footerReference w:type="even" r:id="rId194"/>
          <w:footerReference w:type="default" r:id="rId195"/>
          <w:headerReference w:type="first" r:id="rId196"/>
          <w:footerReference w:type="first" r:id="rId197"/>
          <w:pgSz w:w="11907" w:h="16839"/>
          <w:pgMar w:top="1134" w:right="1134" w:bottom="1134" w:left="1134" w:header="567" w:footer="567" w:gutter="0"/>
          <w:cols w:space="720"/>
          <w:docGrid w:linePitch="360"/>
        </w:sectPr>
      </w:pPr>
    </w:p>
    <w:p w14:paraId="1FFCEE23" w14:textId="336170A4"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I.4. Atskaites punkti, mērķrādītāji, citi rādītāji un aizdevuma uzraudzības un īstenošanas grafiks</w:t>
      </w:r>
    </w:p>
    <w:p w14:paraId="4548674B"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5B622BB4" w14:textId="77777777">
        <w:trPr>
          <w:trHeight w:val="300"/>
          <w:tblHeader/>
        </w:trPr>
        <w:tc>
          <w:tcPr>
            <w:tcW w:w="1135" w:type="dxa"/>
            <w:vMerge w:val="restart"/>
            <w:shd w:val="clear" w:color="auto" w:fill="BDD6EE"/>
            <w:vAlign w:val="center"/>
            <w:hideMark/>
          </w:tcPr>
          <w:p w14:paraId="05AF7307" w14:textId="77777777" w:rsidR="00776A1F" w:rsidRDefault="00D8574B">
            <w:pPr>
              <w:pStyle w:val="P68B1DB1-Normal6"/>
              <w:spacing w:after="0" w:line="240" w:lineRule="auto"/>
              <w:jc w:val="center"/>
              <w:rPr>
                <w:rFonts w:eastAsia="Times New Roman" w:cs="Times New Roman"/>
                <w:noProof/>
              </w:rPr>
            </w:pPr>
            <w:bookmarkStart w:id="22" w:name="_Hlk145941568"/>
            <w:r>
              <w:rPr>
                <w:noProof/>
              </w:rPr>
              <w:t>Kārtas numurs</w:t>
            </w:r>
          </w:p>
        </w:tc>
        <w:tc>
          <w:tcPr>
            <w:tcW w:w="1276" w:type="dxa"/>
            <w:vMerge w:val="restart"/>
            <w:shd w:val="clear" w:color="auto" w:fill="BDD6EE"/>
            <w:noWrap/>
            <w:vAlign w:val="center"/>
            <w:hideMark/>
          </w:tcPr>
          <w:p w14:paraId="36DC91A9"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noWrap/>
            <w:vAlign w:val="center"/>
            <w:hideMark/>
          </w:tcPr>
          <w:p w14:paraId="46CCCA20" w14:textId="75056E55"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noWrap/>
            <w:vAlign w:val="center"/>
            <w:hideMark/>
          </w:tcPr>
          <w:p w14:paraId="3972FD46"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noWrap/>
            <w:vAlign w:val="center"/>
            <w:hideMark/>
          </w:tcPr>
          <w:p w14:paraId="0B6B437F"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noWrap/>
            <w:vAlign w:val="center"/>
            <w:hideMark/>
          </w:tcPr>
          <w:p w14:paraId="2D09032E"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noWrap/>
            <w:vAlign w:val="center"/>
            <w:hideMark/>
          </w:tcPr>
          <w:p w14:paraId="4DCBBD59" w14:textId="77777777" w:rsidR="00776A1F" w:rsidRDefault="00D8574B">
            <w:pPr>
              <w:pStyle w:val="P68B1DB1-Normal6"/>
              <w:spacing w:after="0" w:line="240" w:lineRule="auto"/>
              <w:jc w:val="center"/>
              <w:rPr>
                <w:rFonts w:eastAsia="Times New Roman" w:cs="Times New Roman"/>
                <w:noProof/>
              </w:rPr>
            </w:pPr>
            <w:r>
              <w:rPr>
                <w:noProof/>
              </w:rPr>
              <w:t>Pabeigšanas grafiks</w:t>
            </w:r>
          </w:p>
        </w:tc>
        <w:tc>
          <w:tcPr>
            <w:tcW w:w="3969" w:type="dxa"/>
            <w:vMerge w:val="restart"/>
            <w:shd w:val="clear" w:color="auto" w:fill="BDD6EE"/>
            <w:vAlign w:val="center"/>
            <w:hideMark/>
          </w:tcPr>
          <w:p w14:paraId="1C2BDDAB"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bookmarkEnd w:id="22"/>
      <w:tr w:rsidR="00776A1F" w14:paraId="2512663C" w14:textId="77777777">
        <w:trPr>
          <w:trHeight w:val="300"/>
          <w:tblHeader/>
        </w:trPr>
        <w:tc>
          <w:tcPr>
            <w:tcW w:w="1135" w:type="dxa"/>
            <w:vMerge/>
            <w:vAlign w:val="center"/>
            <w:hideMark/>
          </w:tcPr>
          <w:p w14:paraId="71D29AAD"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3784C786"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shd w:val="clear" w:color="auto" w:fill="BDD6EE"/>
            <w:noWrap/>
            <w:vAlign w:val="center"/>
            <w:hideMark/>
          </w:tcPr>
          <w:p w14:paraId="7BE73013" w14:textId="1244C4EB" w:rsidR="00776A1F" w:rsidRDefault="00776A1F">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6F2C4548"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106AC914"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6BB0C9B9"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noWrap/>
            <w:vAlign w:val="center"/>
            <w:hideMark/>
          </w:tcPr>
          <w:p w14:paraId="7837A6A7"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noWrap/>
            <w:vAlign w:val="center"/>
            <w:hideMark/>
          </w:tcPr>
          <w:p w14:paraId="0A015CF7"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noWrap/>
            <w:vAlign w:val="center"/>
            <w:hideMark/>
          </w:tcPr>
          <w:p w14:paraId="715832CA"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5FA15F06"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4CC75BE5" w14:textId="77777777" w:rsidR="00776A1F" w:rsidRDefault="00776A1F">
            <w:pPr>
              <w:spacing w:after="0" w:line="240" w:lineRule="auto"/>
              <w:rPr>
                <w:rFonts w:ascii="Times New Roman" w:eastAsia="Times New Roman" w:hAnsi="Times New Roman" w:cs="Times New Roman"/>
                <w:b/>
                <w:noProof/>
                <w:sz w:val="18"/>
              </w:rPr>
            </w:pPr>
          </w:p>
        </w:tc>
      </w:tr>
      <w:tr w:rsidR="00776A1F" w14:paraId="7A04D420" w14:textId="77777777">
        <w:trPr>
          <w:trHeight w:val="1260"/>
          <w:tblHeader/>
        </w:trPr>
        <w:tc>
          <w:tcPr>
            <w:tcW w:w="1135" w:type="dxa"/>
            <w:shd w:val="clear" w:color="auto" w:fill="C4EFCE"/>
            <w:noWrap/>
            <w:vAlign w:val="center"/>
          </w:tcPr>
          <w:p w14:paraId="5AE76F1F" w14:textId="0E0C05FE" w:rsidR="00776A1F" w:rsidRDefault="00D8574B">
            <w:pPr>
              <w:pStyle w:val="P68B1DB1-Normal7"/>
              <w:spacing w:after="0" w:line="240" w:lineRule="auto"/>
              <w:jc w:val="center"/>
              <w:rPr>
                <w:rFonts w:eastAsia="Times New Roman" w:cs="Calibri"/>
                <w:noProof/>
              </w:rPr>
            </w:pPr>
            <w:r>
              <w:rPr>
                <w:noProof/>
              </w:rPr>
              <w:t>9.10</w:t>
            </w:r>
          </w:p>
        </w:tc>
        <w:tc>
          <w:tcPr>
            <w:tcW w:w="1276" w:type="dxa"/>
            <w:shd w:val="clear" w:color="auto" w:fill="C4EFCE"/>
            <w:noWrap/>
            <w:vAlign w:val="center"/>
          </w:tcPr>
          <w:p w14:paraId="7B9ECDFA" w14:textId="4638F8FA" w:rsidR="00776A1F" w:rsidRDefault="00D8574B">
            <w:pPr>
              <w:pStyle w:val="P68B1DB1-Normal8"/>
              <w:spacing w:after="0" w:line="240" w:lineRule="auto"/>
              <w:jc w:val="center"/>
              <w:rPr>
                <w:rFonts w:eastAsia="Times New Roman" w:cs="Calibri"/>
                <w:noProof/>
              </w:rPr>
            </w:pPr>
            <w:r>
              <w:rPr>
                <w:noProof/>
              </w:rPr>
              <w:t>Re-C09-i04</w:t>
            </w:r>
          </w:p>
        </w:tc>
        <w:tc>
          <w:tcPr>
            <w:tcW w:w="1134" w:type="dxa"/>
            <w:shd w:val="clear" w:color="auto" w:fill="C4EFCE"/>
            <w:noWrap/>
            <w:vAlign w:val="center"/>
          </w:tcPr>
          <w:p w14:paraId="1650E83C" w14:textId="2A98B9CC"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38E9F561" w14:textId="401CA359" w:rsidR="00776A1F" w:rsidRDefault="00D8574B">
            <w:pPr>
              <w:pStyle w:val="P68B1DB1-Normal8"/>
              <w:spacing w:after="0" w:line="240" w:lineRule="auto"/>
              <w:jc w:val="center"/>
              <w:rPr>
                <w:rFonts w:eastAsia="Times New Roman" w:cs="Calibri"/>
                <w:noProof/>
              </w:rPr>
            </w:pPr>
            <w:r>
              <w:rPr>
                <w:noProof/>
              </w:rPr>
              <w:t>Ar nosacījumu, ka tiek veikts pozitīvs ietekmes uz vidi novērtējums, kas pilnībā un pēc būtības atbilst juridiskajiem kritērijiem, tiks pieņemts atjaunināts dambja, hidroenerģijas un saules enerģijas ražošanas un apūdeņošanas projekts, pilnībā iekļaujot visus IVN rezultātus un nosacījumus.</w:t>
            </w:r>
          </w:p>
        </w:tc>
        <w:tc>
          <w:tcPr>
            <w:tcW w:w="1275" w:type="dxa"/>
            <w:shd w:val="clear" w:color="auto" w:fill="C4EFCE"/>
            <w:noWrap/>
            <w:vAlign w:val="center"/>
          </w:tcPr>
          <w:p w14:paraId="02774AD5" w14:textId="25B357D0" w:rsidR="00776A1F" w:rsidRDefault="00D8574B">
            <w:pPr>
              <w:pStyle w:val="P68B1DB1-Normal8"/>
              <w:spacing w:after="0" w:line="240" w:lineRule="auto"/>
              <w:jc w:val="center"/>
              <w:rPr>
                <w:rFonts w:eastAsia="Times New Roman" w:cs="Calibri"/>
                <w:noProof/>
              </w:rPr>
            </w:pPr>
            <w:r>
              <w:rPr>
                <w:noProof/>
              </w:rPr>
              <w:t>Atjauninātā dizainparauga pieņemšana</w:t>
            </w:r>
          </w:p>
        </w:tc>
        <w:tc>
          <w:tcPr>
            <w:tcW w:w="993" w:type="dxa"/>
            <w:shd w:val="clear" w:color="auto" w:fill="C4EFCE"/>
            <w:noWrap/>
            <w:vAlign w:val="center"/>
          </w:tcPr>
          <w:p w14:paraId="357E7085"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EAF7F6D"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DB852A9"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634803F8" w14:textId="6C3C8F2A"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tcPr>
          <w:p w14:paraId="5CCD347B" w14:textId="6A4D3ED5" w:rsidR="00776A1F" w:rsidRDefault="00D8574B">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tcPr>
          <w:p w14:paraId="307065E5" w14:textId="77777777" w:rsidR="00776A1F" w:rsidRDefault="00D8574B">
            <w:pPr>
              <w:pStyle w:val="P68B1DB1-Normal8"/>
              <w:spacing w:after="0" w:line="240" w:lineRule="auto"/>
              <w:jc w:val="both"/>
              <w:rPr>
                <w:rFonts w:eastAsia="Times New Roman" w:cs="Calibri"/>
                <w:noProof/>
              </w:rPr>
            </w:pPr>
            <w:r>
              <w:rPr>
                <w:noProof/>
              </w:rPr>
              <w:t xml:space="preserve">Ar nosacījumu, ka tiek veikts IVN, kurā secināts, ka netiek nodarīts būtisks kaitējums, tiek pieņemts atjaunināts dambja, hidroenerģijas un saules enerģijas ražošanas un apūdeņošanas projekts, pilnībā iekļaujot visus visaptverošā un kumulatīvā IVN rezultātus un nosacījumus, ja tas nepieciešams, lai panāktu atbilstību NBK tehniskajiem norādījumiem (2021/C58/01). IVN ir pabeigts saskaņā ar Direktīvu 2011/92/ES, kā arī attiecīgie novērtējumi saistībā ar Direktīvu 2000/60/EK, tostarp nepieciešamo ietekmes mazināšanas pasākumu īstenošana. </w:t>
            </w:r>
          </w:p>
          <w:p w14:paraId="6301C6F9" w14:textId="77777777" w:rsidR="00776A1F" w:rsidRDefault="00776A1F">
            <w:pPr>
              <w:spacing w:after="0" w:line="240" w:lineRule="auto"/>
              <w:jc w:val="both"/>
              <w:rPr>
                <w:rFonts w:ascii="Calibri" w:eastAsia="Times New Roman" w:hAnsi="Calibri" w:cs="Calibri"/>
                <w:noProof/>
                <w:sz w:val="16"/>
              </w:rPr>
            </w:pPr>
          </w:p>
          <w:p w14:paraId="563B34EB" w14:textId="77777777" w:rsidR="00776A1F" w:rsidRDefault="00D8574B">
            <w:pPr>
              <w:pStyle w:val="P68B1DB1-Normal8"/>
              <w:spacing w:after="0" w:line="240" w:lineRule="auto"/>
              <w:jc w:val="both"/>
              <w:rPr>
                <w:rFonts w:eastAsia="Times New Roman" w:cs="Calibri"/>
                <w:noProof/>
              </w:rPr>
            </w:pPr>
            <w:r>
              <w:rPr>
                <w:noProof/>
              </w:rPr>
              <w:t>Visus pasākumus, kas noteikti saistībā ar IVN un novērtējumu saskaņā ar Direktīvu 2000/60/EK un kas vajadzīgi, lai nodrošinātu atbilstību NBK tehniskajiem norādījumiem (2021/C58/01), integrē projektā un ievēro infrastruktūras būvniecības, ekspluatācijas un dezekspluatācijas posmos.</w:t>
            </w:r>
          </w:p>
          <w:p w14:paraId="47634865" w14:textId="7A8CAFDB" w:rsidR="00776A1F" w:rsidRDefault="00776A1F">
            <w:pPr>
              <w:spacing w:after="0" w:line="240" w:lineRule="auto"/>
              <w:jc w:val="both"/>
              <w:rPr>
                <w:rFonts w:ascii="Calibri" w:eastAsia="Times New Roman" w:hAnsi="Calibri" w:cs="Calibri"/>
                <w:noProof/>
                <w:sz w:val="16"/>
              </w:rPr>
            </w:pPr>
          </w:p>
        </w:tc>
      </w:tr>
    </w:tbl>
    <w:p w14:paraId="7E0C9D80" w14:textId="77777777" w:rsidR="00776A1F" w:rsidRDefault="00776A1F">
      <w:pPr>
        <w:spacing w:after="0" w:line="240" w:lineRule="auto"/>
        <w:jc w:val="center"/>
        <w:rPr>
          <w:rFonts w:ascii="Calibri" w:eastAsia="Times New Roman" w:hAnsi="Calibri" w:cs="Calibri"/>
          <w:b/>
          <w:noProof/>
          <w:sz w:val="16"/>
        </w:rPr>
        <w:sectPr w:rsidR="00776A1F" w:rsidSect="00E00EDD">
          <w:headerReference w:type="even" r:id="rId198"/>
          <w:headerReference w:type="default" r:id="rId199"/>
          <w:footerReference w:type="even" r:id="rId200"/>
          <w:footerReference w:type="default" r:id="rId201"/>
          <w:headerReference w:type="first" r:id="rId202"/>
          <w:footerReference w:type="first" r:id="rId203"/>
          <w:pgSz w:w="16839" w:h="11907" w:orient="landscape"/>
          <w:pgMar w:top="1134" w:right="1134" w:bottom="1134" w:left="1134" w:header="567" w:footer="567" w:gutter="0"/>
          <w:cols w:space="720"/>
          <w:docGrid w:linePitch="360"/>
        </w:sect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645A7A24" w14:textId="77777777">
        <w:trPr>
          <w:trHeight w:val="525"/>
          <w:tblHeader/>
        </w:trPr>
        <w:tc>
          <w:tcPr>
            <w:tcW w:w="1135" w:type="dxa"/>
            <w:vMerge w:val="restart"/>
            <w:shd w:val="clear" w:color="auto" w:fill="BDD6EE"/>
            <w:noWrap/>
            <w:vAlign w:val="center"/>
          </w:tcPr>
          <w:p w14:paraId="49BCA749" w14:textId="574691EA"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noWrap/>
            <w:vAlign w:val="center"/>
          </w:tcPr>
          <w:p w14:paraId="656A6E3D" w14:textId="65A6BE6F"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noWrap/>
            <w:vAlign w:val="center"/>
          </w:tcPr>
          <w:p w14:paraId="3F140861" w14:textId="05956691"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noWrap/>
            <w:vAlign w:val="center"/>
          </w:tcPr>
          <w:p w14:paraId="7E92527E" w14:textId="5A6FC241"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noWrap/>
            <w:vAlign w:val="center"/>
          </w:tcPr>
          <w:p w14:paraId="4E73A322" w14:textId="10710CE6"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noWrap/>
            <w:vAlign w:val="center"/>
          </w:tcPr>
          <w:p w14:paraId="1CF25973" w14:textId="50C0721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noWrap/>
            <w:vAlign w:val="center"/>
          </w:tcPr>
          <w:p w14:paraId="7627C3DB" w14:textId="67658CFC" w:rsidR="00776A1F" w:rsidRDefault="00D8574B">
            <w:pPr>
              <w:pStyle w:val="P68B1DB1-Normal6"/>
              <w:spacing w:after="0" w:line="240" w:lineRule="auto"/>
              <w:jc w:val="center"/>
              <w:rPr>
                <w:rFonts w:eastAsia="Times New Roman" w:cs="Times New Roman"/>
                <w:noProof/>
              </w:rPr>
            </w:pPr>
            <w:r>
              <w:rPr>
                <w:noProof/>
              </w:rPr>
              <w:t>Pabeigšanas grafiks</w:t>
            </w:r>
          </w:p>
        </w:tc>
        <w:tc>
          <w:tcPr>
            <w:tcW w:w="3969" w:type="dxa"/>
            <w:vMerge w:val="restart"/>
            <w:shd w:val="clear" w:color="auto" w:fill="BDD6EE"/>
            <w:vAlign w:val="center"/>
          </w:tcPr>
          <w:p w14:paraId="6E91A456" w14:textId="1EEE8516"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6AF10782" w14:textId="77777777">
        <w:trPr>
          <w:trHeight w:val="525"/>
          <w:tblHeader/>
        </w:trPr>
        <w:tc>
          <w:tcPr>
            <w:tcW w:w="1135" w:type="dxa"/>
            <w:vMerge/>
            <w:shd w:val="clear" w:color="auto" w:fill="BDD6EE"/>
            <w:noWrap/>
            <w:vAlign w:val="center"/>
          </w:tcPr>
          <w:p w14:paraId="5D493835" w14:textId="77777777" w:rsidR="00776A1F" w:rsidRDefault="00776A1F">
            <w:pPr>
              <w:spacing w:after="0" w:line="240" w:lineRule="auto"/>
              <w:jc w:val="center"/>
              <w:rPr>
                <w:rFonts w:ascii="Times New Roman" w:eastAsia="Times New Roman" w:hAnsi="Times New Roman" w:cs="Times New Roman"/>
                <w:b/>
                <w:noProof/>
                <w:sz w:val="18"/>
              </w:rPr>
            </w:pPr>
          </w:p>
        </w:tc>
        <w:tc>
          <w:tcPr>
            <w:tcW w:w="1276" w:type="dxa"/>
            <w:vMerge/>
            <w:shd w:val="clear" w:color="auto" w:fill="BDD6EE"/>
            <w:noWrap/>
            <w:vAlign w:val="center"/>
          </w:tcPr>
          <w:p w14:paraId="5CFE31A1" w14:textId="77777777" w:rsidR="00776A1F" w:rsidRDefault="00776A1F">
            <w:pPr>
              <w:spacing w:after="0" w:line="240" w:lineRule="auto"/>
              <w:jc w:val="center"/>
              <w:rPr>
                <w:rFonts w:ascii="Times New Roman" w:eastAsia="Times New Roman" w:hAnsi="Times New Roman" w:cs="Times New Roman"/>
                <w:b/>
                <w:noProof/>
                <w:sz w:val="18"/>
              </w:rPr>
            </w:pPr>
          </w:p>
        </w:tc>
        <w:tc>
          <w:tcPr>
            <w:tcW w:w="1134" w:type="dxa"/>
            <w:vMerge/>
            <w:shd w:val="clear" w:color="auto" w:fill="BDD6EE"/>
            <w:noWrap/>
            <w:vAlign w:val="center"/>
          </w:tcPr>
          <w:p w14:paraId="1EC2C84E" w14:textId="77777777" w:rsidR="00776A1F" w:rsidRDefault="00776A1F">
            <w:pPr>
              <w:spacing w:after="0" w:line="240" w:lineRule="auto"/>
              <w:jc w:val="center"/>
              <w:rPr>
                <w:rFonts w:ascii="Times New Roman" w:eastAsia="Times New Roman" w:hAnsi="Times New Roman" w:cs="Times New Roman"/>
                <w:b/>
                <w:noProof/>
                <w:sz w:val="18"/>
              </w:rPr>
            </w:pPr>
          </w:p>
        </w:tc>
        <w:tc>
          <w:tcPr>
            <w:tcW w:w="1701" w:type="dxa"/>
            <w:vMerge/>
            <w:shd w:val="clear" w:color="auto" w:fill="BDD6EE"/>
            <w:noWrap/>
            <w:vAlign w:val="center"/>
          </w:tcPr>
          <w:p w14:paraId="318B1182" w14:textId="77777777" w:rsidR="00776A1F" w:rsidRDefault="00776A1F">
            <w:pPr>
              <w:spacing w:after="0" w:line="240" w:lineRule="auto"/>
              <w:jc w:val="center"/>
              <w:rPr>
                <w:rFonts w:ascii="Times New Roman" w:eastAsia="Times New Roman" w:hAnsi="Times New Roman" w:cs="Times New Roman"/>
                <w:b/>
                <w:noProof/>
                <w:sz w:val="18"/>
              </w:rPr>
            </w:pPr>
          </w:p>
        </w:tc>
        <w:tc>
          <w:tcPr>
            <w:tcW w:w="1275" w:type="dxa"/>
            <w:vMerge/>
            <w:shd w:val="clear" w:color="auto" w:fill="BDD6EE"/>
            <w:noWrap/>
            <w:vAlign w:val="center"/>
          </w:tcPr>
          <w:p w14:paraId="3F2B7268" w14:textId="77777777" w:rsidR="00776A1F" w:rsidRDefault="00776A1F">
            <w:pPr>
              <w:spacing w:after="0" w:line="240" w:lineRule="auto"/>
              <w:jc w:val="center"/>
              <w:rPr>
                <w:rFonts w:ascii="Times New Roman" w:eastAsia="Times New Roman" w:hAnsi="Times New Roman" w:cs="Times New Roman"/>
                <w:b/>
                <w:noProof/>
                <w:sz w:val="18"/>
              </w:rPr>
            </w:pPr>
          </w:p>
        </w:tc>
        <w:tc>
          <w:tcPr>
            <w:tcW w:w="993" w:type="dxa"/>
            <w:shd w:val="clear" w:color="auto" w:fill="BDD6EE"/>
            <w:noWrap/>
            <w:vAlign w:val="center"/>
          </w:tcPr>
          <w:p w14:paraId="442EF0A7" w14:textId="46709A64"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tcPr>
          <w:p w14:paraId="57D31F6B" w14:textId="69A20BB0"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vAlign w:val="center"/>
          </w:tcPr>
          <w:p w14:paraId="00D0D2E2" w14:textId="333D1553"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C6D9F1" w:themeFill="text2" w:themeFillTint="33"/>
            <w:noWrap/>
            <w:vAlign w:val="center"/>
          </w:tcPr>
          <w:p w14:paraId="0C609051" w14:textId="5DFF1650" w:rsidR="00776A1F" w:rsidRDefault="00D8574B">
            <w:pPr>
              <w:pStyle w:val="P68B1DB1-Normal8"/>
              <w:spacing w:after="0" w:line="240" w:lineRule="auto"/>
              <w:jc w:val="center"/>
              <w:rPr>
                <w:rFonts w:eastAsia="Times New Roman" w:cs="Calibri"/>
                <w:noProof/>
              </w:rPr>
            </w:pPr>
            <w:r>
              <w:rPr>
                <w:noProof/>
              </w:rPr>
              <w:t>Q</w:t>
            </w:r>
          </w:p>
        </w:tc>
        <w:tc>
          <w:tcPr>
            <w:tcW w:w="708" w:type="dxa"/>
            <w:shd w:val="clear" w:color="auto" w:fill="BDD6EE"/>
            <w:vAlign w:val="center"/>
          </w:tcPr>
          <w:p w14:paraId="5E59938E" w14:textId="4687ACDB" w:rsidR="00776A1F" w:rsidRDefault="00D8574B">
            <w:pPr>
              <w:pStyle w:val="P68B1DB1-Normal6"/>
              <w:spacing w:after="0" w:line="240" w:lineRule="auto"/>
              <w:jc w:val="center"/>
              <w:rPr>
                <w:rFonts w:ascii="Calibri" w:eastAsia="Times New Roman" w:hAnsi="Calibri" w:cs="Calibri"/>
                <w:noProof/>
                <w:sz w:val="16"/>
              </w:rPr>
            </w:pPr>
            <w:r>
              <w:rPr>
                <w:noProof/>
              </w:rPr>
              <w:t>Gadā</w:t>
            </w:r>
          </w:p>
        </w:tc>
        <w:tc>
          <w:tcPr>
            <w:tcW w:w="3969" w:type="dxa"/>
            <w:vMerge/>
            <w:shd w:val="clear" w:color="auto" w:fill="B8CCE4" w:themeFill="accent1" w:themeFillTint="66"/>
            <w:vAlign w:val="center"/>
          </w:tcPr>
          <w:p w14:paraId="2D7E8CEC" w14:textId="77777777" w:rsidR="00776A1F" w:rsidRDefault="00776A1F">
            <w:pPr>
              <w:spacing w:after="0" w:line="240" w:lineRule="auto"/>
              <w:jc w:val="both"/>
              <w:rPr>
                <w:rFonts w:ascii="Calibri" w:eastAsia="Times New Roman" w:hAnsi="Calibri" w:cs="Calibri"/>
                <w:noProof/>
                <w:sz w:val="16"/>
              </w:rPr>
            </w:pPr>
          </w:p>
        </w:tc>
      </w:tr>
      <w:tr w:rsidR="00776A1F" w14:paraId="377F90B7" w14:textId="77777777">
        <w:trPr>
          <w:trHeight w:val="1050"/>
          <w:tblHeader/>
        </w:trPr>
        <w:tc>
          <w:tcPr>
            <w:tcW w:w="1135" w:type="dxa"/>
            <w:shd w:val="clear" w:color="auto" w:fill="C4EFCE"/>
            <w:noWrap/>
            <w:vAlign w:val="center"/>
          </w:tcPr>
          <w:p w14:paraId="1879CF06" w14:textId="2ED24A15" w:rsidR="00776A1F" w:rsidRDefault="00D8574B">
            <w:pPr>
              <w:pStyle w:val="P68B1DB1-Normal7"/>
              <w:spacing w:after="0" w:line="240" w:lineRule="auto"/>
              <w:jc w:val="center"/>
              <w:rPr>
                <w:rFonts w:eastAsia="Times New Roman" w:cs="Calibri"/>
                <w:noProof/>
              </w:rPr>
            </w:pPr>
            <w:r>
              <w:rPr>
                <w:noProof/>
              </w:rPr>
              <w:t>9.11</w:t>
            </w:r>
          </w:p>
        </w:tc>
        <w:tc>
          <w:tcPr>
            <w:tcW w:w="1276" w:type="dxa"/>
            <w:shd w:val="clear" w:color="auto" w:fill="C4EFCE"/>
            <w:noWrap/>
            <w:vAlign w:val="center"/>
          </w:tcPr>
          <w:p w14:paraId="1407D8DF" w14:textId="7A6EA6EF" w:rsidR="00776A1F" w:rsidRDefault="00D8574B">
            <w:pPr>
              <w:pStyle w:val="P68B1DB1-Normal8"/>
              <w:spacing w:after="0" w:line="240" w:lineRule="auto"/>
              <w:jc w:val="center"/>
              <w:rPr>
                <w:rFonts w:eastAsia="Times New Roman" w:cs="Calibri"/>
                <w:noProof/>
              </w:rPr>
            </w:pPr>
            <w:r>
              <w:rPr>
                <w:noProof/>
              </w:rPr>
              <w:t>Re-C09-i04</w:t>
            </w:r>
          </w:p>
        </w:tc>
        <w:tc>
          <w:tcPr>
            <w:tcW w:w="1134" w:type="dxa"/>
            <w:shd w:val="clear" w:color="auto" w:fill="C4EFCE"/>
            <w:noWrap/>
            <w:vAlign w:val="center"/>
          </w:tcPr>
          <w:p w14:paraId="0C17A5A0" w14:textId="063C5029"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0239B0F6" w14:textId="52DBFA21" w:rsidR="00776A1F" w:rsidRDefault="00D8574B">
            <w:pPr>
              <w:pStyle w:val="P68B1DB1-Normal8"/>
              <w:spacing w:after="0" w:line="240" w:lineRule="auto"/>
              <w:jc w:val="center"/>
              <w:rPr>
                <w:rFonts w:eastAsia="Times New Roman" w:cs="Calibri"/>
                <w:noProof/>
              </w:rPr>
            </w:pPr>
            <w:r>
              <w:rPr>
                <w:noProof/>
              </w:rPr>
              <w:t>Dambja, hidroenerģijas un saules enerģijas ražošanas un apūdeņošanas uzsākšana, pilnībā ievērojot IVN noteiktos rezultātus un nosacījumus un panākot attiecīgo ūdensobjektu labu stāvokli</w:t>
            </w:r>
          </w:p>
        </w:tc>
        <w:tc>
          <w:tcPr>
            <w:tcW w:w="1275" w:type="dxa"/>
            <w:shd w:val="clear" w:color="auto" w:fill="C4EFCE"/>
            <w:noWrap/>
            <w:vAlign w:val="center"/>
          </w:tcPr>
          <w:p w14:paraId="7A468BEE" w14:textId="5C179788" w:rsidR="00776A1F" w:rsidRDefault="00D8574B">
            <w:pPr>
              <w:pStyle w:val="P68B1DB1-Normal8"/>
              <w:spacing w:after="0" w:line="240" w:lineRule="auto"/>
              <w:jc w:val="center"/>
              <w:rPr>
                <w:rFonts w:eastAsia="Times New Roman" w:cs="Calibri"/>
                <w:noProof/>
              </w:rPr>
            </w:pPr>
            <w:r>
              <w:rPr>
                <w:noProof/>
              </w:rPr>
              <w:t>Dambja darbības sākums</w:t>
            </w:r>
          </w:p>
        </w:tc>
        <w:tc>
          <w:tcPr>
            <w:tcW w:w="993" w:type="dxa"/>
            <w:shd w:val="clear" w:color="auto" w:fill="C4EFCE"/>
            <w:noWrap/>
            <w:vAlign w:val="center"/>
          </w:tcPr>
          <w:p w14:paraId="7F731D00"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7E2C7D5C"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0BD23613"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1A712FED" w14:textId="101D2A8E"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tcPr>
          <w:p w14:paraId="03485358" w14:textId="49F63D83"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tcPr>
          <w:p w14:paraId="06A29FB6" w14:textId="77777777" w:rsidR="00776A1F" w:rsidRDefault="00D8574B">
            <w:pPr>
              <w:pStyle w:val="P68B1DB1-Normal8"/>
              <w:spacing w:after="0" w:line="240" w:lineRule="auto"/>
              <w:jc w:val="both"/>
              <w:rPr>
                <w:rFonts w:eastAsia="Times New Roman" w:cs="Calibri"/>
                <w:noProof/>
              </w:rPr>
            </w:pPr>
            <w:r>
              <w:rPr>
                <w:noProof/>
              </w:rPr>
              <w:t>Dambju, hidroenerģijas un saules enerģijas ražošanas vienību un apūdeņošanas sistēmas ekspluatācijas uzsākšana, pilnībā ievērojot rezultātus un nosacījumus, kas noteikti visaptverošajā un kumulatīvajā IVN, kurš jāpabeidz saskaņā ar Direktīvu 2011/92/ES, kā arī attiecīgos novērtējumus saistībā ar Direktīvu 2000/60/EK, tostarp nepieciešamo ietekmes mazināšanas pasākumu īstenošanu. Nodrošina atbilstību NBK tehniskajiem norādījumiem (2021/C58/01).</w:t>
            </w:r>
          </w:p>
          <w:p w14:paraId="27D5C9C8" w14:textId="77777777" w:rsidR="00776A1F" w:rsidRDefault="00776A1F">
            <w:pPr>
              <w:spacing w:after="0" w:line="240" w:lineRule="auto"/>
              <w:jc w:val="both"/>
              <w:rPr>
                <w:rFonts w:ascii="Calibri" w:eastAsia="Times New Roman" w:hAnsi="Calibri" w:cs="Calibri"/>
                <w:noProof/>
                <w:sz w:val="16"/>
              </w:rPr>
            </w:pPr>
          </w:p>
          <w:p w14:paraId="4FAACE21" w14:textId="77777777" w:rsidR="00776A1F" w:rsidRDefault="00D8574B">
            <w:pPr>
              <w:pStyle w:val="P68B1DB1-Normal8"/>
              <w:spacing w:after="0" w:line="240" w:lineRule="auto"/>
              <w:jc w:val="both"/>
              <w:rPr>
                <w:rFonts w:eastAsia="Times New Roman" w:cs="Calibri"/>
                <w:noProof/>
              </w:rPr>
            </w:pPr>
            <w:r>
              <w:rPr>
                <w:noProof/>
              </w:rPr>
              <w:t>Pasākums nodrošina pilsētas ūdens vajadzību apmierināšanu Alter do Chão, Avis, Krato, Fronteira, Gavião, Nisa, Ponte de Sor un Sousel iedzīvotājiem.</w:t>
            </w:r>
          </w:p>
          <w:p w14:paraId="66B2A4F9" w14:textId="77777777" w:rsidR="00776A1F" w:rsidRDefault="00776A1F">
            <w:pPr>
              <w:spacing w:after="0" w:line="240" w:lineRule="auto"/>
              <w:jc w:val="both"/>
              <w:rPr>
                <w:rFonts w:ascii="Calibri" w:eastAsia="Times New Roman" w:hAnsi="Calibri" w:cs="Calibri"/>
                <w:noProof/>
                <w:sz w:val="16"/>
              </w:rPr>
            </w:pPr>
          </w:p>
          <w:p w14:paraId="6E6FCE41" w14:textId="77777777" w:rsidR="00776A1F" w:rsidRDefault="00D8574B">
            <w:pPr>
              <w:pStyle w:val="P68B1DB1-Normal8"/>
              <w:spacing w:after="0" w:line="240" w:lineRule="auto"/>
              <w:jc w:val="both"/>
              <w:rPr>
                <w:rFonts w:eastAsia="Times New Roman" w:cs="Calibri"/>
                <w:noProof/>
              </w:rPr>
            </w:pPr>
            <w:r>
              <w:rPr>
                <w:noProof/>
              </w:rPr>
              <w:t>Tīras enerģijas ražošanas jaudas palielināšana atbilstoši uzstādāmās saules enerģijas iekārtas jaudai plus 1,0 MW/gadā no minihidro; apūdeņošanas bloku infrastruktūras uzstādīšana, kas ļauj nodrošināt jaunu apūdeņotu platību 5 078 ha platībā, kas piemērota bioloģiskajām un daudzveidīgajām kultūrām.</w:t>
            </w:r>
          </w:p>
          <w:p w14:paraId="52487FBC" w14:textId="77777777" w:rsidR="00776A1F" w:rsidRDefault="00776A1F">
            <w:pPr>
              <w:spacing w:after="0" w:line="240" w:lineRule="auto"/>
              <w:jc w:val="both"/>
              <w:rPr>
                <w:rFonts w:ascii="Calibri" w:eastAsia="Times New Roman" w:hAnsi="Calibri" w:cs="Calibri"/>
                <w:noProof/>
                <w:sz w:val="16"/>
              </w:rPr>
            </w:pPr>
          </w:p>
          <w:p w14:paraId="42592D55" w14:textId="77777777" w:rsidR="00776A1F" w:rsidRDefault="00D8574B">
            <w:pPr>
              <w:pStyle w:val="P68B1DB1-Normal8"/>
              <w:spacing w:after="0" w:line="240" w:lineRule="auto"/>
              <w:jc w:val="both"/>
              <w:rPr>
                <w:rFonts w:eastAsia="Times New Roman" w:cs="Calibri"/>
                <w:noProof/>
              </w:rPr>
            </w:pPr>
            <w:r>
              <w:rPr>
                <w:noProof/>
              </w:rPr>
              <w:t>Ir sasniegts un sertificēts attiecīgo ūdensobjektu labs ekoloģiskais stāvoklis/potenciāls saskaņā ar Ūdens pamatdirektīvas 2000/60/EK prasībām.</w:t>
            </w:r>
          </w:p>
          <w:p w14:paraId="08B20BF2" w14:textId="24EAFAF5" w:rsidR="00776A1F" w:rsidRDefault="00776A1F">
            <w:pPr>
              <w:spacing w:after="0" w:line="240" w:lineRule="auto"/>
              <w:jc w:val="both"/>
              <w:rPr>
                <w:rFonts w:ascii="Calibri" w:eastAsia="Times New Roman" w:hAnsi="Calibri" w:cs="Calibri"/>
                <w:noProof/>
                <w:sz w:val="16"/>
              </w:rPr>
            </w:pPr>
          </w:p>
        </w:tc>
      </w:tr>
    </w:tbl>
    <w:p w14:paraId="67B8C802" w14:textId="150ED53E"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776A1F" w:rsidSect="00E00EDD">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60"/>
        </w:sectPr>
      </w:pPr>
    </w:p>
    <w:p w14:paraId="36DDF044"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J. 10. KOMPONENTS: Jūras</w:t>
      </w:r>
    </w:p>
    <w:p w14:paraId="7B573033" w14:textId="34C41316" w:rsidR="00776A1F" w:rsidRDefault="00D8574B">
      <w:pPr>
        <w:pStyle w:val="P68B1DB1-Normal4"/>
        <w:keepNext/>
        <w:spacing w:before="40" w:after="0" w:line="259" w:lineRule="auto"/>
        <w:jc w:val="both"/>
        <w:rPr>
          <w:rFonts w:eastAsiaTheme="minorEastAsia" w:cs="Times New Roman"/>
          <w:noProof/>
        </w:rPr>
      </w:pPr>
      <w:r>
        <w:rPr>
          <w:noProof/>
        </w:rPr>
        <w:t>Komponents risina problēmu, lai pavērtu ceļu konkurētspējīgākai, saliedētākai, iekļaujošākai un turklāt dekarbonizētākai un ilgtspējīgākai jūras ekonomikai, kas ir joma, kurā Portugālei ir liels potenciāls. Komponents palīdz izmantot iespējas, ko jūras ekonomikā rada klimata un digitālā pārkārtošanās. Šā komponenta mērķis ir atbalstīt valsts mērķu sasniegšanu saistībā ar jūras ekonomikas ražošanas potenciālu. Komponenta mērķis jo īpaši ir nodrošināt ar jūru saistītās uzņēmējdarbības sistēmas ilgtspēju un konkurētspēju. Turklāt komponenta mērķis ir vismaz daļēji novērst nabadzību piekrastes kopienās, vienlaikus nodrošinot konkurētspējīgu un saliedētu teritoriju saistībā ar pielāgošanos klimata un digitālajai pārkārtošanai, tostarp koncentrējoties uz prasmēm, kas ir būtiskas jūras nozarēm. Komponents arī palīdz saglabāt okeāna ekosistēmas pakalpojumu vērtību.</w:t>
      </w:r>
    </w:p>
    <w:p w14:paraId="5AE10A03"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Komponents atbalsta konkrētām valstīm adresēto ieteikumu īstenošanu, lai koncentrētu ekonomikas politiku, kas saistīta ar investīcijām ostās un inovācijā (valsts īpašais ieteikums Nr. 3 2019), un investīciju koncentrēšanu uz zaļo pārkārtošanos (valsts īpašais ieteikums Nr. 3 2020). Turklāt komponents palīdz īstenot konkrētai valstij adresēto ieteikumu par iedzīvotāju prasmju līmeņa uzlabošanu (valsts īpašais ieteikums Nr. 2 2020). </w:t>
      </w:r>
    </w:p>
    <w:p w14:paraId="064A0E1A" w14:textId="77777777" w:rsidR="00776A1F" w:rsidRDefault="00D8574B">
      <w:pPr>
        <w:pStyle w:val="P68B1DB1-Normal4"/>
        <w:keepNext/>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620BBC55"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744EE41"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J.1. Neatmaksājamam finansiālajam atbalstam pieteikto reformu un investīciju apraksts</w:t>
      </w:r>
    </w:p>
    <w:p w14:paraId="2A752A9A"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 xml:space="preserve">TC-r23 reforma: Zilās ekonomikas infrastruktūras ekosistēmas reforma. </w:t>
      </w:r>
    </w:p>
    <w:p w14:paraId="6BF01A81"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Šīs reformas mērķis ir pārskatīt tiesību aktus par Portu tehnoloģiju kopu tīklu (ko Ministru padome apstiprināja 2017. gadā), ar kuru Portugāles mērķis ir stiprināt ar jūru saistītās saimnieciskās darbības, radot uzņēmējdarbības iespējas, jaunas darbvietas, atbalstot eksportu, atbalstot jūras transporta izaugsmi un veicinot jūras potenciāla ilgtspējīgu izmantošanu. Reforma paplašina ostu tehnoloģiju kopu tīklu, iekļaujot tajā papildu teritorijas, kurām ir piekļuve jūrai, un izvirza jaunus mērķus, piemēram, jūras ekonomikas finansēšanas spējas stiprināšanu, izmantojot pārskatītu zilo fondu, atbalstu okeāna izmantošanai, lai uzlabotu noturību pret klimata pārmaiņām, veicināt ar jūras ekonomiku un divējādo pārkārtošanos saistīto prasmju attīstību un stiprināt publisko atbalstu inovācijai jūras ekonomikas ilgtspējīgai attīstībai. </w:t>
      </w:r>
    </w:p>
    <w:p w14:paraId="7535A86B"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Ar reformu tiek izveidots jauna zilā centra pārvaldības modelis, kam būtu jākalpo par virzītājspēku tehnoloģiju nodošanai starp dažādiem jaunas, noturīgākas un ilgtspējīgākas jūras ekonomikas vērtības ķēdes dalībniekiem, kuras ietekme, domājams, būs ilgstoša un nozīmīga attiecībā uz paradigmas maiņu uz gudru, ilgtspējīgu un iekļaujošu ekonomikas attīstību attiecīgajās nozarēs. </w:t>
      </w:r>
    </w:p>
    <w:p w14:paraId="268AFDE5"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2021. gada 31. decembrim.</w:t>
      </w:r>
    </w:p>
    <w:p w14:paraId="3D3AF8C2" w14:textId="77777777" w:rsidR="00776A1F" w:rsidRDefault="00D8574B">
      <w:pPr>
        <w:pStyle w:val="P68B1DB1-Normal5"/>
        <w:keepNext/>
        <w:keepLines/>
        <w:spacing w:before="240" w:after="0" w:line="259" w:lineRule="auto"/>
        <w:ind w:left="851"/>
        <w:jc w:val="both"/>
        <w:outlineLvl w:val="3"/>
        <w:rPr>
          <w:rFonts w:eastAsiaTheme="minorEastAsia" w:cs="Times New Roman"/>
          <w:noProof/>
        </w:rPr>
      </w:pPr>
      <w:bookmarkStart w:id="23" w:name="_Hlk67034111"/>
      <w:r>
        <w:rPr>
          <w:noProof/>
        </w:rPr>
        <w:t>Ieguldījums TC-C10-i01: Zilais centrs, zilās ekonomikas infrastruktūras tīkls</w:t>
      </w:r>
      <w:bookmarkEnd w:id="23"/>
    </w:p>
    <w:p w14:paraId="1A65F7A8"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Šo investīciju mērķis ir izveidot valsts mēroga zilās ekonomikas infrastruktūru tīklu visā valstī un stiprināt zilās ekonomikas inovācijas ekosistēmu. </w:t>
      </w:r>
    </w:p>
    <w:p w14:paraId="54DA9EF4"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Ieguldījums ietver jaunas vai esošas infrastruktūras būvniecību vai atjaunošanu, kā arī ieguldījumus aprīkojumā, kas saistīts ar jūras ekonomiku. Investīcijas ietver jaunu zilo kopu izveidi visā valstī un esošo zilo kopu uzlabošanu vai atjaunošanu, kā arī ieguldījumus apmācībā un prasmēs, izmantojot jaunu zilās skolas koncepciju. Investīcijas ietver jaunu ēku celtniecību vai ar jūras ekonomiku saistītu ēku un iekārtu atjaunošanu un modernizāciju. Ieguldījumi ļauj pētniecības rezultātus pārnest uz produktīvām specializācijām ekonomikā dažādās kopās Portugālē (tostarp Lisabona, Oeiras, Peniche, Aveiro, Porto, Algarve). Tas ietver arī investīcijas vienā zilajā centrā, kas apkopo dažādu kopu radītās zināšanas un atbalsta tīklu veidošanu visās šajās kopās. Šis zilais centrs atspoguļo jaunāko ekonomikas attīstības metodiku, kas atbilst Portugāles pārdomātas specializācijas stratēģijai, kurā liela uzmanība ir pievērsta okeānu ekonomikai. Tas ietver arī Blue Hub School projektu, galvenokārt ietverot ieguldījumus infrastruktūrā un aprīkojumā, kas ietver būtisku prasmju attīstības dimensiju, jo īpaši sadarbībā ar Valsts Kvalifikācijas un profesionālās izglītības un apmācības aģentūru (ANQEP) izstrādājot mācību kursus un liekot uzsvaru uz digitālajām platformām un apmācību. </w:t>
      </w:r>
    </w:p>
    <w:p w14:paraId="6210D5F3"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3AECA6EA"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TC-C10-i02: Zaļā un digitālā pārkārtošanās un drošība zvejniecībā</w:t>
      </w:r>
    </w:p>
    <w:p w14:paraId="23CC3E78" w14:textId="77777777" w:rsidR="00776A1F" w:rsidRDefault="00D8574B">
      <w:pPr>
        <w:pStyle w:val="P68B1DB1-Normal4"/>
        <w:keepNext/>
        <w:spacing w:before="40" w:after="0" w:line="259" w:lineRule="auto"/>
        <w:jc w:val="both"/>
        <w:rPr>
          <w:rFonts w:eastAsia="Times New Roman" w:cs="Times New Roman"/>
          <w:noProof/>
        </w:rPr>
      </w:pPr>
      <w:r>
        <w:rPr>
          <w:noProof/>
        </w:rPr>
        <w:t>Šā ieguldījuma mērķis ir</w:t>
      </w:r>
      <w:r>
        <w:rPr>
          <w:b/>
          <w:noProof/>
        </w:rPr>
        <w:t xml:space="preserve"> </w:t>
      </w:r>
      <w:r>
        <w:rPr>
          <w:noProof/>
        </w:rPr>
        <w:t xml:space="preserve">atbalstīt tādu projektu finansēšanu, kuru mērķis ir inovācija, procesu modernizācija, oglekļa pēdas samazināšana un zivju nozares un organizāciju aprites ekonomika. Ieguldījumu īsteno, veidojot ciešu saikni starp uzņēmumiem, nozari pārstāvošajām apvienībām, ražotāju organizācijām, zinātniskajām struktūrām un centrālajām valdības iestādēm, lai maksimāli palielinātu veikto ieguldījumu sociālo ieguvumu. Ieguldījumu veido uzaicinājums iesniegt piedāvājumus 70 projektiem, kas saistīti ar zvejniecības nozares uzņēmumu inovāciju, procesu modernizāciju, aprites ekonomiku un ekoloģiskās pēdas samazināšanu. </w:t>
      </w:r>
    </w:p>
    <w:p w14:paraId="6D8544C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2025. gada 31. decembrim. </w:t>
      </w:r>
    </w:p>
    <w:p w14:paraId="1CC63106"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 xml:space="preserve">Ieguldījums TC-C10-i04-RAA: “Cluster do Mar dos Açores” izveide. </w:t>
      </w:r>
    </w:p>
    <w:p w14:paraId="7A537770" w14:textId="44C7D35E" w:rsidR="00776A1F" w:rsidRDefault="00D8574B">
      <w:pPr>
        <w:pStyle w:val="P68B1DB1-Normal4"/>
        <w:keepNext/>
        <w:spacing w:before="40" w:after="0" w:line="259" w:lineRule="auto"/>
        <w:jc w:val="both"/>
        <w:rPr>
          <w:rFonts w:eastAsiaTheme="minorEastAsia" w:cs="Times New Roman"/>
          <w:noProof/>
        </w:rPr>
      </w:pPr>
      <w:r>
        <w:rPr>
          <w:noProof/>
        </w:rPr>
        <w:t xml:space="preserve">Šā ieguldījuma mērķis ir modernizēt jūras zinātnes pētniecības fiksēto un mobilo infrastruktūru Azoru salu autonomajā reģionā. Viens no pasākumiem ir aizstāt arhipelāgu kuģi, kura ekspluatācijas beigas sasniedz ar modernu kuģi, ar augstiem tehnoloģiskiem standartiem attiecībā uz spējām un aprīkojumu un augstu energoefektivitāti, lai apmierinātu pašreizējās vajadzības jūras pētniecībā un uzraudzībā vai okeānu ilgtspējīgas izmantošanas veicināšanā. Otrais pasākums ir divu moduļu iegāde, kas iebūvējami saistītajā pētniecības kuģī, proti, trases iekārtu modulis un tālvadības ūdens transportlīdzekļu (ROV) modulis. Pēdējais pasākums ir ar jūru saistīta eksperimentāla pētniecības un izstrādes centra izveide, kas ir kopīgs ar Azoru salu Zinātniskās un tehnoloģiskās sistēmas (SCTA) iestādēm un uzņēmumiem, kā rezultātā tiek veikta pētniecība un izstrāde tradicionālajās un jaunietekmes jomās, piemēram, zvejniecībā un atvasinātajos produktos, jūras biotehnoloģijā, biomateriāli vai jūras tehnoloģijas un zvejas rīki, tostarp “zilā inkubatora”, akvakultūras centrs Azoru salās. </w:t>
      </w:r>
    </w:p>
    <w:p w14:paraId="6F19EFBB" w14:textId="45036ACD"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17D3B2E6" w14:textId="02ECFF14" w:rsidR="00776A1F" w:rsidRDefault="00D8574B">
      <w:pPr>
        <w:pStyle w:val="P68B1DB1-Normal5"/>
        <w:keepNext/>
        <w:spacing w:before="240" w:after="0" w:line="259" w:lineRule="auto"/>
        <w:ind w:left="851"/>
        <w:jc w:val="both"/>
        <w:outlineLvl w:val="3"/>
        <w:rPr>
          <w:b/>
          <w:noProof/>
        </w:rPr>
      </w:pPr>
      <w:bookmarkStart w:id="24" w:name="_Toc137472457"/>
      <w:r>
        <w:rPr>
          <w:noProof/>
        </w:rPr>
        <w:t>Ieguldījums TC-C10-i05</w:t>
      </w:r>
      <w:bookmarkStart w:id="25" w:name="_Toc137472458"/>
      <w:bookmarkEnd w:id="24"/>
      <w:r>
        <w:rPr>
          <w:noProof/>
        </w:rPr>
        <w:t>-RAA: Enerģētikas pārkārtošana, digitalizācija un ietekmes uz vidi mazināšana zvejniecības un akvakultūras nozarē</w:t>
      </w:r>
      <w:bookmarkEnd w:id="25"/>
    </w:p>
    <w:p w14:paraId="2F82CF26" w14:textId="77777777" w:rsidR="00776A1F" w:rsidRDefault="00D8574B">
      <w:pPr>
        <w:pStyle w:val="P68B1DB1-Normal4"/>
        <w:spacing w:before="40" w:after="0" w:line="259" w:lineRule="auto"/>
        <w:jc w:val="both"/>
        <w:rPr>
          <w:rFonts w:cs="Times New Roman"/>
          <w:noProof/>
        </w:rPr>
      </w:pPr>
      <w:r>
        <w:rPr>
          <w:noProof/>
        </w:rPr>
        <w:t xml:space="preserve">Šā ieguldījuma mērķis ir atbalstīt projektus, kuru mērķis ir: enerģētikas pārkārtošana, digitalizācija un ietekmes uz vidi mazināšana zvejniecības un akvakultūras nozarē Azoru salu autonomajā reģionā. </w:t>
      </w:r>
    </w:p>
    <w:p w14:paraId="4851BFBB" w14:textId="71550539" w:rsidR="00776A1F" w:rsidRDefault="00D8574B">
      <w:pPr>
        <w:pStyle w:val="P68B1DB1-Normal4"/>
        <w:spacing w:before="40" w:after="0" w:line="259" w:lineRule="auto"/>
        <w:jc w:val="both"/>
        <w:rPr>
          <w:rFonts w:cs="Times New Roman"/>
          <w:noProof/>
        </w:rPr>
      </w:pPr>
      <w:r>
        <w:rPr>
          <w:noProof/>
        </w:rPr>
        <w:t xml:space="preserve"> Ieguldījumu veido 15 projekti, kas saistīti ar zvejas flotes modernizāciju un atjaunošanu, inovāciju zvejniecībā un akvakultūrā, lai uzlabotu energoefektivitāti, procesu modernizāciju, atkritumu rašanās samazināšanu jūrā un aprites ekonomikas veicināšanu visās zvejniecības un akvakultūras nozarēs un zvejas darbību dažādošanu. </w:t>
      </w:r>
    </w:p>
    <w:p w14:paraId="2CDB0CE1" w14:textId="4128E9A1" w:rsidR="00776A1F" w:rsidRDefault="00D8574B">
      <w:pPr>
        <w:pStyle w:val="P68B1DB1-Normal4"/>
        <w:spacing w:before="40" w:after="0" w:line="259" w:lineRule="auto"/>
        <w:jc w:val="both"/>
        <w:rPr>
          <w:noProof/>
        </w:rPr>
      </w:pPr>
      <w:r>
        <w:rPr>
          <w:noProof/>
        </w:rPr>
        <w:t>Attiecībā uz projektu atlasi, lai nodrošinātu pasākuma atbilstību Tehniskajiem norādījumiem “nenodari būtisku kaitējumu” (2021/C58/01), atbilstības kritērijos, kas iekļauti turpmāko uzaicinājumu iesniegt projektus nolikumā, izslēdz šādu darbību sarakstu: darbības, kas saistītas ar fosilajiem kurināmajiem, tostarp pakārtota izmantošana</w:t>
      </w:r>
      <w:r>
        <w:rPr>
          <w:noProof/>
        </w:rPr>
        <w:footnoteReference w:id="40"/>
      </w:r>
      <w:r>
        <w:rPr>
          <w:noProof/>
        </w:rPr>
        <w:t>; darbības ES emisijas kvotu tirdzniecības sistēmas (ETS) ietvaros, lai sasniegtu prognozētās siltumnīcefekta gāzu emisijas, kas nav zemākas par attiecīgajām līmeņatzīmēm</w:t>
      </w:r>
      <w:r>
        <w:rPr>
          <w:noProof/>
        </w:rPr>
        <w:footnoteReference w:id="41"/>
      </w:r>
      <w:r>
        <w:rPr>
          <w:noProof/>
        </w:rPr>
        <w:t>; III) darbības, kas saistītas ar atkritumu poligoniem, atkritumu sadedzināšanas iekārtām</w:t>
      </w:r>
      <w:r>
        <w:rPr>
          <w:noProof/>
        </w:rPr>
        <w:footnoteReference w:id="42"/>
      </w:r>
      <w:r>
        <w:rPr>
          <w:noProof/>
        </w:rPr>
        <w:t xml:space="preserve"> un mehāniski bioloģiskās apstrādes iekārtām</w:t>
      </w:r>
      <w:r>
        <w:rPr>
          <w:noProof/>
        </w:rPr>
        <w:footnoteReference w:id="43"/>
      </w:r>
      <w:r>
        <w:rPr>
          <w:noProof/>
        </w:rPr>
        <w:t>. Darba uzdevumā papildus nosaka, ka var atlasīt tikai tās darbības, kas atbilst attiecīgajiem ES un valsts tiesību aktiem vides jomā.</w:t>
      </w:r>
    </w:p>
    <w:p w14:paraId="6A89D7B3" w14:textId="77777777" w:rsidR="00776A1F" w:rsidRDefault="00D8574B">
      <w:pPr>
        <w:pStyle w:val="P68B1DB1-Normal4"/>
        <w:spacing w:before="40" w:after="0" w:line="259" w:lineRule="auto"/>
        <w:jc w:val="both"/>
        <w:rPr>
          <w:rFonts w:cs="Times New Roman"/>
          <w:i/>
          <w:noProof/>
        </w:rPr>
      </w:pPr>
      <w:r>
        <w:rPr>
          <w:noProof/>
        </w:rPr>
        <w:t>Investīciju īstenošanu pabeidz līdz 2026. gada 31. martam.</w:t>
      </w:r>
    </w:p>
    <w:p w14:paraId="4524D534" w14:textId="590264E0" w:rsidR="00776A1F" w:rsidRDefault="00D8574B">
      <w:pPr>
        <w:pStyle w:val="P68B1DB1-Heading214"/>
        <w:spacing w:before="120"/>
        <w:rPr>
          <w:noProof/>
        </w:rPr>
      </w:pPr>
      <w:bookmarkStart w:id="26" w:name="_Toc137472459"/>
      <w:r>
        <w:rPr>
          <w:noProof/>
        </w:rPr>
        <w:t>Ieguldījums TC-C10-i06-RAM: Okeāna tehnoloģijas</w:t>
      </w:r>
      <w:bookmarkEnd w:id="26"/>
    </w:p>
    <w:p w14:paraId="31140A4D" w14:textId="77777777" w:rsidR="00776A1F" w:rsidRDefault="00D8574B">
      <w:pPr>
        <w:pStyle w:val="P68B1DB1-Normal4"/>
        <w:spacing w:before="40" w:after="0" w:line="259" w:lineRule="auto"/>
        <w:jc w:val="both"/>
        <w:rPr>
          <w:rFonts w:cs="Times New Roman"/>
          <w:noProof/>
        </w:rPr>
      </w:pPr>
      <w:r>
        <w:rPr>
          <w:noProof/>
        </w:rPr>
        <w:t xml:space="preserve">Šā ieguldījuma mērķis ir apmierināt jūras zinātnes pētniecības infrastruktūras vajadzības Madeiras autonomajā reģionā un veicināt saikni starp jūras pētniecību un ekonomikas nozari. </w:t>
      </w:r>
    </w:p>
    <w:p w14:paraId="68DC00B7" w14:textId="414E5E65" w:rsidR="00776A1F" w:rsidRDefault="00D8574B">
      <w:pPr>
        <w:pStyle w:val="P68B1DB1-Normal4"/>
        <w:spacing w:before="40" w:after="0" w:line="259" w:lineRule="auto"/>
        <w:jc w:val="both"/>
        <w:rPr>
          <w:rFonts w:eastAsia="@MS Mincho" w:cs="Times New Roman"/>
          <w:noProof/>
        </w:rPr>
      </w:pPr>
      <w:r>
        <w:rPr>
          <w:noProof/>
        </w:rPr>
        <w:t xml:space="preserve">Ieguldījumu veido energoefektīva daudzfunkcionāla pētniecības kuģa būvniecība, kura mērķis ir pētniecība un apmācība seklos ūdeņos ap Madeiras arhipelāga salām un atklātā jūrā. Tas ietver arī trīs autonomu bezpilota transportlīdzekļu iegādi, lai varētu palielināt jūrā pavadīto dienu skaitu Ziemeļatlantijā jūras pētniecībai, kā arī kvalitatīvu akustisko datu vākšanu salīdzinājumā ar citām tradicionālajām meklēšanas metodēm. </w:t>
      </w:r>
    </w:p>
    <w:p w14:paraId="5B145707" w14:textId="09C460B5" w:rsidR="00776A1F" w:rsidRDefault="00D8574B">
      <w:pPr>
        <w:pStyle w:val="P68B1DB1-Normal4"/>
        <w:spacing w:before="40" w:after="0" w:line="259" w:lineRule="auto"/>
        <w:jc w:val="both"/>
        <w:rPr>
          <w:rFonts w:eastAsia="@MS Mincho" w:cs="Times New Roman"/>
          <w:noProof/>
        </w:rPr>
      </w:pPr>
      <w:r>
        <w:rPr>
          <w:noProof/>
        </w:rPr>
        <w:t>Paredzams, ka šis pasākums nenodarīs būtisku kaitējumu vides mērķiem Regulas (ES) 2020/852 17. panta nozīmē, ņemot vērā pasākuma aprakstu un mazināšanas pasākumus, kas izklāstīti atveseļošanas un noturības plānā saskaņā ar Tehniskajiem norādījumiem “nenodari būtisku kaitējumu” (2021/C58/01). Pētniecības kuģis un autonomie bezpilota transportlīdzekļi jo īpaši izmanto labāko pieejamo tehnoloģiju ar vismazāko ietekmi uz vidi šajā nozarē.</w:t>
      </w:r>
    </w:p>
    <w:p w14:paraId="365B8C9F" w14:textId="701FB870" w:rsidR="00776A1F" w:rsidRDefault="00D8574B">
      <w:pPr>
        <w:pStyle w:val="P68B1DB1-Normal4"/>
        <w:spacing w:before="40" w:after="0" w:line="259" w:lineRule="auto"/>
        <w:jc w:val="both"/>
        <w:rPr>
          <w:rFonts w:cs="Times New Roman"/>
          <w:noProof/>
        </w:rPr>
      </w:pPr>
      <w:r>
        <w:rPr>
          <w:noProof/>
        </w:rPr>
        <w:t>Ieguldījumu īstenošanu pabeidz līdz 2026. gada 30. jūnijam.</w:t>
      </w:r>
    </w:p>
    <w:p w14:paraId="6121D230"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3D6BEFF2" w14:textId="3AF4D913"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60"/>
        </w:sectPr>
      </w:pPr>
    </w:p>
    <w:p w14:paraId="5D1E2539" w14:textId="26B1DED9"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J.2. Atskaites punkti, mērķrādītāji, citi rādītāji un neatmaksājamā finansiālā atbalsta uzraudzības un īstenošanas grafiks</w:t>
      </w:r>
    </w:p>
    <w:p w14:paraId="6886E91A"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776A1F" w14:paraId="0F42C60E" w14:textId="77777777">
        <w:trPr>
          <w:trHeight w:val="910"/>
          <w:tblHeader/>
          <w:jc w:val="center"/>
        </w:trPr>
        <w:tc>
          <w:tcPr>
            <w:tcW w:w="1101" w:type="dxa"/>
            <w:vMerge w:val="restart"/>
            <w:shd w:val="clear" w:color="auto" w:fill="BDD6EE"/>
            <w:vAlign w:val="center"/>
            <w:hideMark/>
          </w:tcPr>
          <w:p w14:paraId="1AA982C8" w14:textId="77777777" w:rsidR="00776A1F" w:rsidRDefault="00D8574B">
            <w:pPr>
              <w:pStyle w:val="P68B1DB1-Normal6"/>
              <w:keepNext/>
              <w:spacing w:before="40" w:after="0" w:line="240" w:lineRule="auto"/>
              <w:jc w:val="center"/>
              <w:rPr>
                <w:rFonts w:eastAsia="Times New Roman" w:cs="Times New Roman"/>
                <w:noProof/>
              </w:rPr>
            </w:pPr>
            <w:r>
              <w:rPr>
                <w:noProof/>
              </w:rPr>
              <w:t>Kārtas numurs</w:t>
            </w:r>
          </w:p>
        </w:tc>
        <w:tc>
          <w:tcPr>
            <w:tcW w:w="1231" w:type="dxa"/>
            <w:vMerge w:val="restart"/>
            <w:shd w:val="clear" w:color="auto" w:fill="BDD6EE"/>
            <w:vAlign w:val="center"/>
            <w:hideMark/>
          </w:tcPr>
          <w:p w14:paraId="740B018E" w14:textId="77777777" w:rsidR="00776A1F" w:rsidRDefault="00D8574B">
            <w:pPr>
              <w:pStyle w:val="P68B1DB1-Normal6"/>
              <w:keepNext/>
              <w:spacing w:before="40" w:after="0" w:line="240" w:lineRule="auto"/>
              <w:jc w:val="center"/>
              <w:rPr>
                <w:rFonts w:eastAsia="Times New Roman" w:cs="Times New Roman"/>
                <w:noProof/>
              </w:rPr>
            </w:pPr>
            <w:r>
              <w:rPr>
                <w:noProof/>
              </w:rPr>
              <w:t>Pasākums (reforma vai investīcijas)</w:t>
            </w:r>
          </w:p>
        </w:tc>
        <w:tc>
          <w:tcPr>
            <w:tcW w:w="1096" w:type="dxa"/>
            <w:vMerge w:val="restart"/>
            <w:shd w:val="clear" w:color="auto" w:fill="BDD6EE"/>
            <w:vAlign w:val="center"/>
            <w:hideMark/>
          </w:tcPr>
          <w:p w14:paraId="654788B0" w14:textId="0180B006" w:rsidR="00776A1F" w:rsidRDefault="00D8574B">
            <w:pPr>
              <w:pStyle w:val="P68B1DB1-Normal6"/>
              <w:keepNext/>
              <w:spacing w:before="40" w:after="0" w:line="240" w:lineRule="auto"/>
              <w:jc w:val="center"/>
              <w:rPr>
                <w:rFonts w:eastAsia="Times New Roman" w:cs="Times New Roman"/>
                <w:noProof/>
                <w:sz w:val="14"/>
              </w:rPr>
            </w:pPr>
            <w:r>
              <w:rPr>
                <w:noProof/>
              </w:rPr>
              <w:t>Atskaites punkts/mērķrādītājs</w:t>
            </w:r>
          </w:p>
        </w:tc>
        <w:tc>
          <w:tcPr>
            <w:tcW w:w="1640" w:type="dxa"/>
            <w:vMerge w:val="restart"/>
            <w:shd w:val="clear" w:color="auto" w:fill="BDD6EE"/>
            <w:vAlign w:val="center"/>
            <w:hideMark/>
          </w:tcPr>
          <w:p w14:paraId="0453BB8E" w14:textId="77777777" w:rsidR="00776A1F" w:rsidRDefault="00D8574B">
            <w:pPr>
              <w:pStyle w:val="P68B1DB1-Normal6"/>
              <w:keepNext/>
              <w:spacing w:before="40" w:after="0" w:line="240" w:lineRule="auto"/>
              <w:jc w:val="center"/>
              <w:rPr>
                <w:rFonts w:eastAsia="Times New Roman" w:cs="Times New Roman"/>
                <w:noProof/>
              </w:rPr>
            </w:pPr>
            <w:r>
              <w:rPr>
                <w:noProof/>
              </w:rPr>
              <w:t>Uzvārds</w:t>
            </w:r>
          </w:p>
        </w:tc>
        <w:tc>
          <w:tcPr>
            <w:tcW w:w="1231" w:type="dxa"/>
            <w:vMerge w:val="restart"/>
            <w:shd w:val="clear" w:color="auto" w:fill="BDD6EE"/>
            <w:vAlign w:val="center"/>
            <w:hideMark/>
          </w:tcPr>
          <w:p w14:paraId="1B4EF47B" w14:textId="77777777" w:rsidR="00776A1F" w:rsidRDefault="00D8574B">
            <w:pPr>
              <w:pStyle w:val="P68B1DB1-Normal6"/>
              <w:keepNext/>
              <w:spacing w:before="40" w:after="0" w:line="240" w:lineRule="auto"/>
              <w:jc w:val="center"/>
              <w:rPr>
                <w:rFonts w:eastAsia="Times New Roman" w:cs="Times New Roman"/>
                <w:noProof/>
              </w:rPr>
            </w:pPr>
            <w:r>
              <w:rPr>
                <w:noProof/>
              </w:rPr>
              <w:t>Kvalitatīvie rādītāji (atskaites punktiem)</w:t>
            </w:r>
          </w:p>
        </w:tc>
        <w:tc>
          <w:tcPr>
            <w:tcW w:w="2613" w:type="dxa"/>
            <w:gridSpan w:val="3"/>
            <w:shd w:val="clear" w:color="auto" w:fill="BDD6EE"/>
            <w:vAlign w:val="center"/>
            <w:hideMark/>
          </w:tcPr>
          <w:p w14:paraId="3F05C782" w14:textId="77777777" w:rsidR="00776A1F" w:rsidRDefault="00D8574B">
            <w:pPr>
              <w:pStyle w:val="P68B1DB1-Normal6"/>
              <w:keepNext/>
              <w:spacing w:before="40" w:after="0" w:line="240" w:lineRule="auto"/>
              <w:jc w:val="center"/>
              <w:rPr>
                <w:rFonts w:eastAsia="Times New Roman" w:cs="Times New Roman"/>
                <w:noProof/>
              </w:rPr>
            </w:pPr>
            <w:r>
              <w:rPr>
                <w:noProof/>
              </w:rPr>
              <w:t>Kvantitatīvie rādītāji (mērķrādītājiem)</w:t>
            </w:r>
          </w:p>
        </w:tc>
        <w:tc>
          <w:tcPr>
            <w:tcW w:w="1238" w:type="dxa"/>
            <w:gridSpan w:val="2"/>
            <w:shd w:val="clear" w:color="auto" w:fill="BDD6EE"/>
            <w:vAlign w:val="center"/>
            <w:hideMark/>
          </w:tcPr>
          <w:p w14:paraId="5BC3A23D" w14:textId="77777777" w:rsidR="00776A1F" w:rsidRDefault="00D8574B">
            <w:pPr>
              <w:pStyle w:val="P68B1DB1-Normal6"/>
              <w:keepNext/>
              <w:spacing w:before="40" w:after="0" w:line="240" w:lineRule="auto"/>
              <w:jc w:val="center"/>
              <w:rPr>
                <w:rFonts w:eastAsia="Times New Roman" w:cs="Times New Roman"/>
                <w:noProof/>
              </w:rPr>
            </w:pPr>
            <w:r>
              <w:rPr>
                <w:noProof/>
              </w:rPr>
              <w:t>Orientējošs pabeigšanas termiņš</w:t>
            </w:r>
          </w:p>
        </w:tc>
        <w:tc>
          <w:tcPr>
            <w:tcW w:w="5223" w:type="dxa"/>
            <w:vMerge w:val="restart"/>
            <w:shd w:val="clear" w:color="auto" w:fill="BDD6EE"/>
            <w:vAlign w:val="center"/>
            <w:hideMark/>
          </w:tcPr>
          <w:p w14:paraId="7B33DA18" w14:textId="77777777" w:rsidR="00776A1F" w:rsidRDefault="00D8574B">
            <w:pPr>
              <w:pStyle w:val="P68B1DB1-Normal6"/>
              <w:keepNext/>
              <w:spacing w:before="40" w:after="0" w:line="240" w:lineRule="auto"/>
              <w:jc w:val="center"/>
              <w:rPr>
                <w:rFonts w:eastAsia="Times New Roman" w:cs="Times New Roman"/>
                <w:noProof/>
              </w:rPr>
            </w:pPr>
            <w:r>
              <w:rPr>
                <w:noProof/>
              </w:rPr>
              <w:t>Katra atskaites punkta un mērķrādītāja apraksts un skaidra definīcija</w:t>
            </w:r>
          </w:p>
        </w:tc>
      </w:tr>
      <w:tr w:rsidR="00776A1F" w14:paraId="13FCEFA1" w14:textId="77777777">
        <w:trPr>
          <w:trHeight w:val="470"/>
          <w:tblHeader/>
          <w:jc w:val="center"/>
        </w:trPr>
        <w:tc>
          <w:tcPr>
            <w:tcW w:w="1101" w:type="dxa"/>
            <w:vMerge/>
            <w:vAlign w:val="center"/>
            <w:hideMark/>
          </w:tcPr>
          <w:p w14:paraId="0FB4B9F7"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234EF905"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27B408D0" w14:textId="11212B07" w:rsidR="00776A1F" w:rsidRDefault="00776A1F">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40C2DECA"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0EE9D350"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3B5C5511" w14:textId="77777777" w:rsidR="00776A1F" w:rsidRDefault="00D8574B">
            <w:pPr>
              <w:pStyle w:val="P68B1DB1-Normal6"/>
              <w:keepNext/>
              <w:spacing w:before="40" w:after="0" w:line="240" w:lineRule="auto"/>
              <w:jc w:val="center"/>
              <w:rPr>
                <w:rFonts w:eastAsia="Times New Roman" w:cs="Times New Roman"/>
                <w:noProof/>
              </w:rPr>
            </w:pPr>
            <w:r>
              <w:rPr>
                <w:noProof/>
              </w:rPr>
              <w:t>Mēra vienība</w:t>
            </w:r>
          </w:p>
        </w:tc>
        <w:tc>
          <w:tcPr>
            <w:tcW w:w="961" w:type="dxa"/>
            <w:shd w:val="clear" w:color="auto" w:fill="BDD6EE"/>
            <w:vAlign w:val="center"/>
            <w:hideMark/>
          </w:tcPr>
          <w:p w14:paraId="60383F12" w14:textId="77777777" w:rsidR="00776A1F" w:rsidRDefault="00D8574B">
            <w:pPr>
              <w:pStyle w:val="P68B1DB1-Normal6"/>
              <w:keepNext/>
              <w:spacing w:before="40" w:after="0" w:line="240" w:lineRule="auto"/>
              <w:jc w:val="center"/>
              <w:rPr>
                <w:rFonts w:eastAsia="Times New Roman" w:cs="Times New Roman"/>
                <w:noProof/>
              </w:rPr>
            </w:pPr>
            <w:r>
              <w:rPr>
                <w:noProof/>
              </w:rPr>
              <w:t>Pamatscenārijs</w:t>
            </w:r>
          </w:p>
        </w:tc>
        <w:tc>
          <w:tcPr>
            <w:tcW w:w="690" w:type="dxa"/>
            <w:shd w:val="clear" w:color="auto" w:fill="BDD6EE"/>
            <w:vAlign w:val="center"/>
            <w:hideMark/>
          </w:tcPr>
          <w:p w14:paraId="68D883D5" w14:textId="77777777" w:rsidR="00776A1F" w:rsidRDefault="00D8574B">
            <w:pPr>
              <w:pStyle w:val="P68B1DB1-Normal6"/>
              <w:keepNext/>
              <w:spacing w:before="40" w:after="0" w:line="240" w:lineRule="auto"/>
              <w:jc w:val="center"/>
              <w:rPr>
                <w:rFonts w:eastAsia="Times New Roman" w:cs="Times New Roman"/>
                <w:noProof/>
              </w:rPr>
            </w:pPr>
            <w:r>
              <w:rPr>
                <w:noProof/>
              </w:rPr>
              <w:t>Mērķis</w:t>
            </w:r>
          </w:p>
        </w:tc>
        <w:tc>
          <w:tcPr>
            <w:tcW w:w="554" w:type="dxa"/>
            <w:shd w:val="clear" w:color="auto" w:fill="BDD6EE"/>
            <w:vAlign w:val="center"/>
            <w:hideMark/>
          </w:tcPr>
          <w:p w14:paraId="55466A9A" w14:textId="77777777" w:rsidR="00776A1F" w:rsidRDefault="00D8574B">
            <w:pPr>
              <w:pStyle w:val="P68B1DB1-Normal6"/>
              <w:keepNext/>
              <w:spacing w:before="40" w:after="0" w:line="240" w:lineRule="auto"/>
              <w:jc w:val="center"/>
              <w:rPr>
                <w:rFonts w:eastAsia="Times New Roman" w:cs="Times New Roman"/>
                <w:noProof/>
              </w:rPr>
            </w:pPr>
            <w:r>
              <w:rPr>
                <w:noProof/>
              </w:rPr>
              <w:t>Q</w:t>
            </w:r>
          </w:p>
        </w:tc>
        <w:tc>
          <w:tcPr>
            <w:tcW w:w="684" w:type="dxa"/>
            <w:shd w:val="clear" w:color="auto" w:fill="BDD6EE"/>
            <w:vAlign w:val="center"/>
            <w:hideMark/>
          </w:tcPr>
          <w:p w14:paraId="09748930" w14:textId="77777777" w:rsidR="00776A1F" w:rsidRDefault="00D8574B">
            <w:pPr>
              <w:pStyle w:val="P68B1DB1-Normal6"/>
              <w:keepNext/>
              <w:spacing w:before="40" w:after="0" w:line="240" w:lineRule="auto"/>
              <w:jc w:val="center"/>
              <w:rPr>
                <w:rFonts w:eastAsia="Times New Roman" w:cs="Times New Roman"/>
                <w:noProof/>
              </w:rPr>
            </w:pPr>
            <w:r>
              <w:rPr>
                <w:noProof/>
              </w:rPr>
              <w:t>Gadā</w:t>
            </w:r>
          </w:p>
        </w:tc>
        <w:tc>
          <w:tcPr>
            <w:tcW w:w="5223" w:type="dxa"/>
            <w:vMerge/>
            <w:vAlign w:val="center"/>
            <w:hideMark/>
          </w:tcPr>
          <w:p w14:paraId="56BFB7D9" w14:textId="77777777" w:rsidR="00776A1F" w:rsidRDefault="00776A1F">
            <w:pPr>
              <w:keepNext/>
              <w:spacing w:before="40" w:after="0" w:line="240" w:lineRule="auto"/>
              <w:jc w:val="both"/>
              <w:rPr>
                <w:rFonts w:ascii="Times New Roman" w:eastAsia="Times New Roman" w:hAnsi="Times New Roman" w:cs="Times New Roman"/>
                <w:b/>
                <w:noProof/>
                <w:sz w:val="18"/>
              </w:rPr>
            </w:pPr>
          </w:p>
        </w:tc>
      </w:tr>
      <w:tr w:rsidR="00776A1F" w14:paraId="2FD34264" w14:textId="77777777">
        <w:trPr>
          <w:trHeight w:val="290"/>
          <w:jc w:val="center"/>
        </w:trPr>
        <w:tc>
          <w:tcPr>
            <w:tcW w:w="1101" w:type="dxa"/>
            <w:shd w:val="clear" w:color="auto" w:fill="C4EFCE"/>
            <w:vAlign w:val="center"/>
            <w:hideMark/>
          </w:tcPr>
          <w:p w14:paraId="6981A743" w14:textId="77777777" w:rsidR="00776A1F" w:rsidRDefault="00D8574B">
            <w:pPr>
              <w:pStyle w:val="P68B1DB1-Normal7"/>
              <w:keepNext/>
              <w:spacing w:before="40" w:after="0" w:line="240" w:lineRule="auto"/>
              <w:jc w:val="center"/>
              <w:rPr>
                <w:rFonts w:eastAsia="Times New Roman" w:cs="Calibri"/>
                <w:noProof/>
              </w:rPr>
            </w:pPr>
            <w:r>
              <w:rPr>
                <w:noProof/>
              </w:rPr>
              <w:t>10.1</w:t>
            </w:r>
          </w:p>
        </w:tc>
        <w:tc>
          <w:tcPr>
            <w:tcW w:w="1231" w:type="dxa"/>
            <w:shd w:val="clear" w:color="auto" w:fill="C4EFCE"/>
            <w:noWrap/>
            <w:vAlign w:val="center"/>
            <w:hideMark/>
          </w:tcPr>
          <w:p w14:paraId="2DFAA2E3" w14:textId="77777777" w:rsidR="00776A1F" w:rsidRDefault="00D8574B">
            <w:pPr>
              <w:pStyle w:val="P68B1DB1-Normal8"/>
              <w:keepNext/>
              <w:spacing w:before="40" w:after="0" w:line="240" w:lineRule="auto"/>
              <w:jc w:val="center"/>
              <w:rPr>
                <w:rFonts w:eastAsia="Times New Roman" w:cs="Calibri"/>
                <w:noProof/>
              </w:rPr>
            </w:pPr>
            <w:r>
              <w:rPr>
                <w:noProof/>
              </w:rPr>
              <w:t>TC-C10-r23</w:t>
            </w:r>
          </w:p>
        </w:tc>
        <w:tc>
          <w:tcPr>
            <w:tcW w:w="1096" w:type="dxa"/>
            <w:shd w:val="clear" w:color="auto" w:fill="C4EFCE"/>
            <w:noWrap/>
            <w:vAlign w:val="center"/>
            <w:hideMark/>
          </w:tcPr>
          <w:p w14:paraId="0347A760" w14:textId="77777777" w:rsidR="00776A1F" w:rsidRDefault="00D8574B">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6EECB73C" w14:textId="77777777" w:rsidR="00776A1F" w:rsidRDefault="00D8574B">
            <w:pPr>
              <w:pStyle w:val="P68B1DB1-Normal8"/>
              <w:keepNext/>
              <w:spacing w:before="40" w:after="0" w:line="240" w:lineRule="auto"/>
              <w:jc w:val="center"/>
              <w:rPr>
                <w:rFonts w:eastAsia="Times New Roman" w:cs="Calibri"/>
                <w:noProof/>
              </w:rPr>
            </w:pPr>
            <w:r>
              <w:rPr>
                <w:noProof/>
              </w:rPr>
              <w:t>Stājas spēkā pārskatītie Jūras ministrijas tiesību akti, kas saistīti ar jūras ekonomikas un inovācijas finansēšanas spējas stiprināšanu, izmantojot Zilo fondu</w:t>
            </w:r>
          </w:p>
        </w:tc>
        <w:tc>
          <w:tcPr>
            <w:tcW w:w="1231" w:type="dxa"/>
            <w:shd w:val="clear" w:color="auto" w:fill="C4EFCE"/>
            <w:noWrap/>
            <w:vAlign w:val="center"/>
            <w:hideMark/>
          </w:tcPr>
          <w:p w14:paraId="0A3E5CD5" w14:textId="77777777" w:rsidR="00776A1F" w:rsidRDefault="00D8574B">
            <w:pPr>
              <w:pStyle w:val="P68B1DB1-Normal8"/>
              <w:keepNext/>
              <w:spacing w:before="40" w:after="0" w:line="240" w:lineRule="auto"/>
              <w:jc w:val="center"/>
              <w:rPr>
                <w:rFonts w:eastAsia="Times New Roman" w:cs="Calibri"/>
                <w:noProof/>
              </w:rPr>
            </w:pPr>
            <w:r>
              <w:rPr>
                <w:noProof/>
              </w:rPr>
              <w:t>Stājas spēkā pārskatītie Jūras ministrijas tiesību akti, kas saistīti ar jūras ekonomikas un inovācijas finansēšanas spējas stiprināšanu, izmantojot Zilo fondu</w:t>
            </w:r>
          </w:p>
        </w:tc>
        <w:tc>
          <w:tcPr>
            <w:tcW w:w="962" w:type="dxa"/>
            <w:shd w:val="clear" w:color="auto" w:fill="C4EFCE"/>
            <w:noWrap/>
            <w:vAlign w:val="center"/>
            <w:hideMark/>
          </w:tcPr>
          <w:p w14:paraId="157C0E4E"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533D7F48"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7948C8CA"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84BF334"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684" w:type="dxa"/>
            <w:shd w:val="clear" w:color="auto" w:fill="C4EFCE"/>
            <w:noWrap/>
            <w:vAlign w:val="center"/>
            <w:hideMark/>
          </w:tcPr>
          <w:p w14:paraId="14BDFB9E" w14:textId="77777777" w:rsidR="00776A1F" w:rsidRDefault="00D8574B">
            <w:pPr>
              <w:pStyle w:val="P68B1DB1-Normal8"/>
              <w:keepNext/>
              <w:spacing w:before="40" w:after="0" w:line="240" w:lineRule="auto"/>
              <w:jc w:val="center"/>
              <w:rPr>
                <w:rFonts w:eastAsia="Times New Roman" w:cs="Calibri"/>
                <w:noProof/>
              </w:rPr>
            </w:pPr>
            <w:r>
              <w:rPr>
                <w:noProof/>
              </w:rPr>
              <w:t>2021</w:t>
            </w:r>
          </w:p>
        </w:tc>
        <w:tc>
          <w:tcPr>
            <w:tcW w:w="5223" w:type="dxa"/>
            <w:shd w:val="clear" w:color="auto" w:fill="C4EFCE"/>
            <w:vAlign w:val="center"/>
            <w:hideMark/>
          </w:tcPr>
          <w:p w14:paraId="5690DF78" w14:textId="77777777" w:rsidR="00776A1F" w:rsidRDefault="00D8574B">
            <w:pPr>
              <w:pStyle w:val="P68B1DB1-Normal8"/>
              <w:keepNext/>
              <w:spacing w:before="40" w:after="0" w:line="240" w:lineRule="auto"/>
              <w:jc w:val="both"/>
              <w:rPr>
                <w:rFonts w:eastAsia="Times New Roman" w:cs="Calibri"/>
                <w:noProof/>
              </w:rPr>
            </w:pPr>
            <w:r>
              <w:rPr>
                <w:noProof/>
              </w:rPr>
              <w:t xml:space="preserve">Pārskata šādus tiesību aktus: </w:t>
            </w:r>
          </w:p>
          <w:p w14:paraId="0D6FC64A" w14:textId="77777777" w:rsidR="00776A1F" w:rsidRDefault="00D8574B">
            <w:pPr>
              <w:pStyle w:val="P68B1DB1-Normal8"/>
              <w:keepNext/>
              <w:spacing w:before="40" w:after="0" w:line="240" w:lineRule="auto"/>
              <w:jc w:val="both"/>
              <w:rPr>
                <w:rFonts w:eastAsia="Times New Roman" w:cs="Calibri"/>
                <w:noProof/>
              </w:rPr>
            </w:pPr>
            <w:r>
              <w:rPr>
                <w:noProof/>
              </w:rPr>
              <w:t xml:space="preserve">9. marta Dekrētlikums Nr. 16/2016; </w:t>
            </w:r>
          </w:p>
          <w:p w14:paraId="08A7B94D" w14:textId="77777777" w:rsidR="00776A1F" w:rsidRDefault="00D8574B">
            <w:pPr>
              <w:pStyle w:val="P68B1DB1-Normal8"/>
              <w:keepNext/>
              <w:spacing w:before="40" w:after="0" w:line="240" w:lineRule="auto"/>
              <w:jc w:val="both"/>
              <w:rPr>
                <w:rFonts w:eastAsia="Times New Roman" w:cs="Calibri"/>
                <w:noProof/>
              </w:rPr>
            </w:pPr>
            <w:r>
              <w:rPr>
                <w:noProof/>
              </w:rPr>
              <w:t xml:space="preserve">30. decembra Rīkojums Nr. 343/2016; </w:t>
            </w:r>
          </w:p>
          <w:p w14:paraId="3F2377ED" w14:textId="77777777" w:rsidR="00776A1F" w:rsidRDefault="00D8574B">
            <w:pPr>
              <w:pStyle w:val="P68B1DB1-Normal8"/>
              <w:keepNext/>
              <w:spacing w:before="40" w:after="0" w:line="240" w:lineRule="auto"/>
              <w:jc w:val="both"/>
              <w:rPr>
                <w:rFonts w:eastAsia="Times New Roman" w:cs="Calibri"/>
                <w:noProof/>
              </w:rPr>
            </w:pPr>
            <w:r>
              <w:rPr>
                <w:noProof/>
              </w:rPr>
              <w:t xml:space="preserve">Ministru padomes Rezolūcija Nr. 175/2017. </w:t>
            </w:r>
          </w:p>
          <w:p w14:paraId="576A9B43" w14:textId="344466AB" w:rsidR="00776A1F" w:rsidRDefault="00D8574B">
            <w:pPr>
              <w:pStyle w:val="P68B1DB1-Normal8"/>
              <w:keepNext/>
              <w:spacing w:before="40" w:after="0" w:line="240" w:lineRule="auto"/>
              <w:jc w:val="both"/>
              <w:rPr>
                <w:rFonts w:eastAsia="Times New Roman" w:cs="Calibri"/>
                <w:noProof/>
              </w:rPr>
            </w:pPr>
            <w:r>
              <w:rPr>
                <w:noProof/>
              </w:rPr>
              <w:t xml:space="preserve">Šo aktu pārskatīšana ietver ostas tehnoloģiju kopu tīkla stratēģijas atjaunināšanu, paplašinot tā darbības jomu, iekļaujot jūras ekonomikas dekarbonizāciju; zilā fonda bioloģiskā un darbības režīma pārskatīšana un pielāgošana, lai to pielāgotu investīciju pārvaldībai komponentā; centra pārvaldības modeļa izveide.  </w:t>
            </w:r>
          </w:p>
        </w:tc>
      </w:tr>
      <w:tr w:rsidR="00776A1F" w14:paraId="1C9ED07F" w14:textId="77777777">
        <w:trPr>
          <w:trHeight w:val="630"/>
          <w:jc w:val="center"/>
        </w:trPr>
        <w:tc>
          <w:tcPr>
            <w:tcW w:w="1101" w:type="dxa"/>
            <w:shd w:val="clear" w:color="auto" w:fill="C4EFCE"/>
            <w:vAlign w:val="center"/>
            <w:hideMark/>
          </w:tcPr>
          <w:p w14:paraId="20846F99" w14:textId="77777777" w:rsidR="00776A1F" w:rsidRDefault="00D8574B">
            <w:pPr>
              <w:pStyle w:val="P68B1DB1-Normal7"/>
              <w:keepNext/>
              <w:spacing w:before="40" w:after="0" w:line="240" w:lineRule="auto"/>
              <w:jc w:val="center"/>
              <w:rPr>
                <w:rFonts w:eastAsia="Times New Roman" w:cs="Calibri"/>
                <w:noProof/>
              </w:rPr>
            </w:pPr>
            <w:r>
              <w:rPr>
                <w:noProof/>
              </w:rPr>
              <w:t>10.2</w:t>
            </w:r>
          </w:p>
        </w:tc>
        <w:tc>
          <w:tcPr>
            <w:tcW w:w="1231" w:type="dxa"/>
            <w:shd w:val="clear" w:color="auto" w:fill="C4EFCE"/>
            <w:noWrap/>
            <w:vAlign w:val="center"/>
            <w:hideMark/>
          </w:tcPr>
          <w:p w14:paraId="13BA066B" w14:textId="77777777" w:rsidR="00776A1F" w:rsidRDefault="00D8574B">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6294F56F" w14:textId="77777777" w:rsidR="00776A1F" w:rsidRDefault="00D8574B">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079896DE" w14:textId="77777777" w:rsidR="00776A1F" w:rsidRDefault="00D8574B">
            <w:pPr>
              <w:pStyle w:val="P68B1DB1-Normal8"/>
              <w:keepNext/>
              <w:spacing w:before="40" w:after="0" w:line="240" w:lineRule="auto"/>
              <w:jc w:val="center"/>
              <w:rPr>
                <w:rFonts w:eastAsia="Times New Roman" w:cs="Calibri"/>
                <w:noProof/>
              </w:rPr>
            </w:pPr>
            <w:r>
              <w:rPr>
                <w:noProof/>
              </w:rPr>
              <w:t>“Zilā centra” skolas modernizācijas un piegādes un aprīkojuma stiprināšanas pabeigšana</w:t>
            </w:r>
          </w:p>
        </w:tc>
        <w:tc>
          <w:tcPr>
            <w:tcW w:w="1231" w:type="dxa"/>
            <w:shd w:val="clear" w:color="auto" w:fill="C4EFCE"/>
            <w:noWrap/>
            <w:vAlign w:val="center"/>
            <w:hideMark/>
          </w:tcPr>
          <w:p w14:paraId="03E07993"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55A4B559" w14:textId="77777777" w:rsidR="00776A1F" w:rsidRDefault="00D8574B">
            <w:pPr>
              <w:pStyle w:val="P68B1DB1-Normal8"/>
              <w:keepNext/>
              <w:spacing w:before="40" w:after="0" w:line="240" w:lineRule="auto"/>
              <w:jc w:val="center"/>
              <w:rPr>
                <w:rFonts w:eastAsia="Times New Roman" w:cs="Calibri"/>
                <w:noProof/>
              </w:rPr>
            </w:pPr>
            <w:r>
              <w:rPr>
                <w:noProof/>
              </w:rPr>
              <w:t xml:space="preserve">% </w:t>
            </w:r>
          </w:p>
        </w:tc>
        <w:tc>
          <w:tcPr>
            <w:tcW w:w="961" w:type="dxa"/>
            <w:shd w:val="clear" w:color="auto" w:fill="C4EFCE"/>
            <w:noWrap/>
            <w:vAlign w:val="center"/>
            <w:hideMark/>
          </w:tcPr>
          <w:p w14:paraId="2ACDF2F9" w14:textId="77777777" w:rsidR="00776A1F" w:rsidRDefault="00D8574B">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9EEF38E" w14:textId="77777777" w:rsidR="00776A1F" w:rsidRDefault="00D8574B">
            <w:pPr>
              <w:pStyle w:val="P68B1DB1-Normal8"/>
              <w:keepNext/>
              <w:spacing w:before="40" w:after="0" w:line="240" w:lineRule="auto"/>
              <w:jc w:val="center"/>
              <w:rPr>
                <w:rFonts w:eastAsia="Times New Roman" w:cs="Calibri"/>
                <w:noProof/>
              </w:rPr>
            </w:pPr>
            <w:r>
              <w:rPr>
                <w:noProof/>
              </w:rPr>
              <w:t>100</w:t>
            </w:r>
          </w:p>
        </w:tc>
        <w:tc>
          <w:tcPr>
            <w:tcW w:w="554" w:type="dxa"/>
            <w:shd w:val="clear" w:color="auto" w:fill="C4EFCE"/>
            <w:noWrap/>
            <w:vAlign w:val="center"/>
            <w:hideMark/>
          </w:tcPr>
          <w:p w14:paraId="1F0251CD"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684" w:type="dxa"/>
            <w:shd w:val="clear" w:color="auto" w:fill="C4EFCE"/>
            <w:noWrap/>
            <w:vAlign w:val="center"/>
            <w:hideMark/>
          </w:tcPr>
          <w:p w14:paraId="3708D654" w14:textId="77777777" w:rsidR="00776A1F" w:rsidRDefault="00D8574B">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6734A981" w14:textId="77777777" w:rsidR="00776A1F" w:rsidRDefault="00D8574B">
            <w:pPr>
              <w:pStyle w:val="P68B1DB1-Normal8"/>
              <w:keepNext/>
              <w:spacing w:before="40" w:after="0" w:line="240" w:lineRule="auto"/>
              <w:jc w:val="both"/>
              <w:rPr>
                <w:rFonts w:eastAsia="Times New Roman" w:cs="Calibri"/>
                <w:noProof/>
              </w:rPr>
            </w:pPr>
            <w:r>
              <w:rPr>
                <w:noProof/>
              </w:rPr>
              <w:t xml:space="preserve">Modernizācijas darbu pabeigšana, apmācības piedāvājuma stiprināšana un atjaunošana ar Zilās centra skolas aprīkojumu. Iepriekš minētā pabeigšana notiek pēc apstiprinājuma par atbilstību tehniskajām specifikācijām un līgumsaistībām. Tajā ietver: </w:t>
            </w:r>
          </w:p>
          <w:p w14:paraId="3A3F2EF4" w14:textId="2F250900"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 xml:space="preserve">ieguldījumi </w:t>
            </w:r>
            <w:r>
              <w:rPr>
                <w:rFonts w:ascii="Calibri" w:hAnsi="Calibri"/>
                <w:i/>
                <w:noProof/>
                <w:sz w:val="16"/>
              </w:rPr>
              <w:t>Escola Superior Náutica Infante D. Henrique</w:t>
            </w:r>
            <w:r>
              <w:rPr>
                <w:rFonts w:ascii="Calibri" w:hAnsi="Calibri"/>
                <w:noProof/>
                <w:sz w:val="16"/>
              </w:rPr>
              <w:t xml:space="preserve"> (ENIDH) infrastruktūrā un sistēmās, tostarp 16 laboratoriju modernizācijā un simulatoru iegādē (kuģu pozicionēšanai, kuģu satiksmes pakalpojumiem, kā arī loģistikai un ostu operācijām).</w:t>
            </w:r>
          </w:p>
          <w:p w14:paraId="37CC213B" w14:textId="3AD70643"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Attiecībā uz MAR</w:t>
            </w:r>
            <w:r>
              <w:rPr>
                <w:rFonts w:ascii="Times New Roman" w:hAnsi="Times New Roman"/>
                <w:noProof/>
                <w:sz w:val="14"/>
              </w:rPr>
              <w:t xml:space="preserve"> </w:t>
            </w:r>
            <w:r>
              <w:rPr>
                <w:rFonts w:ascii="Calibri" w:hAnsi="Calibri"/>
                <w:noProof/>
                <w:sz w:val="16"/>
              </w:rPr>
              <w:t>modernizācija: 6 mācību centru modernizācija, profesionālās apmācības atbalsta aprīkojums, IT un sakaru sistēmu modernizācija, apmācības procesu digitalizācija un e-mācību izstrāde.</w:t>
            </w:r>
          </w:p>
          <w:p w14:paraId="69131879" w14:textId="2D239F23" w:rsidR="00776A1F" w:rsidRDefault="00D8574B">
            <w:pPr>
              <w:pStyle w:val="P68B1DB1-Normal8"/>
              <w:keepNext/>
              <w:spacing w:before="40" w:after="0" w:line="240" w:lineRule="auto"/>
              <w:jc w:val="both"/>
              <w:rPr>
                <w:rFonts w:eastAsia="Times New Roman" w:cs="Calibri"/>
                <w:noProof/>
              </w:rPr>
            </w:pPr>
            <w:r>
              <w:rPr>
                <w:noProof/>
              </w:rPr>
              <w:t>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3B18127E" w14:textId="77777777">
        <w:trPr>
          <w:trHeight w:val="290"/>
          <w:jc w:val="center"/>
        </w:trPr>
        <w:tc>
          <w:tcPr>
            <w:tcW w:w="1101" w:type="dxa"/>
            <w:shd w:val="clear" w:color="auto" w:fill="C4EFCE"/>
            <w:vAlign w:val="center"/>
            <w:hideMark/>
          </w:tcPr>
          <w:p w14:paraId="1A210116" w14:textId="77777777" w:rsidR="00776A1F" w:rsidRDefault="00D8574B">
            <w:pPr>
              <w:pStyle w:val="P68B1DB1-Normal7"/>
              <w:keepNext/>
              <w:spacing w:before="40" w:after="0" w:line="240" w:lineRule="auto"/>
              <w:jc w:val="center"/>
              <w:rPr>
                <w:rFonts w:eastAsia="Times New Roman" w:cs="Calibri"/>
                <w:noProof/>
              </w:rPr>
            </w:pPr>
            <w:r>
              <w:rPr>
                <w:noProof/>
              </w:rPr>
              <w:t>10.3</w:t>
            </w:r>
          </w:p>
        </w:tc>
        <w:tc>
          <w:tcPr>
            <w:tcW w:w="1231" w:type="dxa"/>
            <w:shd w:val="clear" w:color="auto" w:fill="C4EFCE"/>
            <w:noWrap/>
            <w:vAlign w:val="center"/>
            <w:hideMark/>
          </w:tcPr>
          <w:p w14:paraId="7F3373D8" w14:textId="77777777" w:rsidR="00776A1F" w:rsidRDefault="00D8574B">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73F010EA" w14:textId="77777777" w:rsidR="00776A1F" w:rsidRDefault="00D8574B">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5BC5CD21" w14:textId="77777777" w:rsidR="00776A1F" w:rsidRDefault="00D8574B">
            <w:pPr>
              <w:pStyle w:val="P68B1DB1-Normal8"/>
              <w:keepNext/>
              <w:spacing w:before="40" w:after="0" w:line="240" w:lineRule="auto"/>
              <w:jc w:val="center"/>
              <w:rPr>
                <w:rFonts w:eastAsia="Times New Roman" w:cs="Calibri"/>
                <w:noProof/>
              </w:rPr>
            </w:pPr>
            <w:r>
              <w:rPr>
                <w:noProof/>
              </w:rPr>
              <w:t>Zilo centru uzstādīšanas pabeigšana un/vai modernizācija</w:t>
            </w:r>
          </w:p>
        </w:tc>
        <w:tc>
          <w:tcPr>
            <w:tcW w:w="1231" w:type="dxa"/>
            <w:shd w:val="clear" w:color="auto" w:fill="C4EFCE"/>
            <w:noWrap/>
            <w:vAlign w:val="center"/>
            <w:hideMark/>
          </w:tcPr>
          <w:p w14:paraId="4E5B4906"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1F0D4373" w14:textId="77777777" w:rsidR="00776A1F" w:rsidRDefault="00D8574B">
            <w:pPr>
              <w:pStyle w:val="P68B1DB1-Normal8"/>
              <w:keepNext/>
              <w:spacing w:before="40" w:after="0" w:line="240" w:lineRule="auto"/>
              <w:jc w:val="center"/>
              <w:rPr>
                <w:rFonts w:eastAsia="Times New Roman" w:cs="Calibri"/>
                <w:noProof/>
              </w:rPr>
            </w:pPr>
            <w:r>
              <w:rPr>
                <w:noProof/>
              </w:rPr>
              <w:t xml:space="preserve">Skaits </w:t>
            </w:r>
          </w:p>
        </w:tc>
        <w:tc>
          <w:tcPr>
            <w:tcW w:w="961" w:type="dxa"/>
            <w:shd w:val="clear" w:color="auto" w:fill="C4EFCE"/>
            <w:noWrap/>
            <w:vAlign w:val="center"/>
            <w:hideMark/>
          </w:tcPr>
          <w:p w14:paraId="5AE14534" w14:textId="77777777" w:rsidR="00776A1F" w:rsidRDefault="00D8574B">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0F28BF19" w14:textId="77777777" w:rsidR="00776A1F" w:rsidRDefault="00D8574B">
            <w:pPr>
              <w:pStyle w:val="P68B1DB1-Normal8"/>
              <w:keepNext/>
              <w:spacing w:before="40" w:after="0" w:line="240" w:lineRule="auto"/>
              <w:jc w:val="center"/>
              <w:rPr>
                <w:rFonts w:eastAsia="Times New Roman" w:cs="Calibri"/>
                <w:noProof/>
              </w:rPr>
            </w:pPr>
            <w:r>
              <w:rPr>
                <w:noProof/>
              </w:rPr>
              <w:t>7</w:t>
            </w:r>
          </w:p>
        </w:tc>
        <w:tc>
          <w:tcPr>
            <w:tcW w:w="554" w:type="dxa"/>
            <w:shd w:val="clear" w:color="auto" w:fill="C4EFCE"/>
            <w:noWrap/>
            <w:vAlign w:val="center"/>
            <w:hideMark/>
          </w:tcPr>
          <w:p w14:paraId="2937E871"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684" w:type="dxa"/>
            <w:shd w:val="clear" w:color="auto" w:fill="C4EFCE"/>
            <w:noWrap/>
            <w:vAlign w:val="center"/>
            <w:hideMark/>
          </w:tcPr>
          <w:p w14:paraId="60DD0007" w14:textId="77777777" w:rsidR="00776A1F" w:rsidRDefault="00D8574B">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4CB843FB" w14:textId="77777777" w:rsidR="00776A1F" w:rsidRDefault="00D8574B">
            <w:pPr>
              <w:pStyle w:val="P68B1DB1-Normal8"/>
              <w:keepNext/>
              <w:spacing w:before="40" w:after="0" w:line="240" w:lineRule="auto"/>
              <w:jc w:val="both"/>
              <w:rPr>
                <w:rFonts w:eastAsia="Times New Roman" w:cs="Calibri"/>
                <w:noProof/>
              </w:rPr>
            </w:pPr>
            <w:r>
              <w:rPr>
                <w:noProof/>
              </w:rPr>
              <w:t xml:space="preserve">7 zilo centru būvdarbu (būvniecības, renovācijas un aprīkojuma) pabeigšana. Jaunie vai modernizētie zilie mezgli ietver: </w:t>
            </w:r>
          </w:p>
          <w:p w14:paraId="23E9EE6A" w14:textId="45B1D28B"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1.</w:t>
            </w:r>
            <w:r>
              <w:rPr>
                <w:rFonts w:ascii="Times New Roman" w:hAnsi="Times New Roman"/>
                <w:noProof/>
                <w:sz w:val="14"/>
              </w:rPr>
              <w:t xml:space="preserve"> </w:t>
            </w:r>
            <w:r>
              <w:rPr>
                <w:rFonts w:ascii="Calibri" w:hAnsi="Calibri"/>
                <w:noProof/>
                <w:sz w:val="16"/>
              </w:rPr>
              <w:t xml:space="preserve">Uzņēmumu centrs un kopīgā okeāna laboratorija Lisabonā: okeāna laboratorijas ēkas renovācija, kurā cita starpā ir laboratorijas infrastruktūras telpas, biorafinēšanas rūpnīcas, telpa valsts jūras resursu biobankai un biroju telpas tehniskajiem uzņēmumiem. </w:t>
            </w:r>
          </w:p>
          <w:p w14:paraId="43ED232C" w14:textId="51E70B4B" w:rsidR="00776A1F" w:rsidRDefault="00D8574B">
            <w:pPr>
              <w:keepNext/>
              <w:spacing w:before="40" w:after="0" w:line="240" w:lineRule="auto"/>
              <w:jc w:val="both"/>
              <w:rPr>
                <w:rFonts w:ascii="Calibri" w:eastAsia="Times New Roman" w:hAnsi="Calibri"/>
                <w:noProof/>
                <w:sz w:val="16"/>
              </w:rPr>
            </w:pPr>
            <w:r>
              <w:rPr>
                <w:rFonts w:ascii="Calibri" w:hAnsi="Calibri"/>
                <w:noProof/>
                <w:sz w:val="16"/>
              </w:rPr>
              <w:t>2.</w:t>
            </w:r>
            <w:r>
              <w:rPr>
                <w:rFonts w:ascii="Times New Roman" w:hAnsi="Times New Roman"/>
                <w:noProof/>
                <w:sz w:val="14"/>
              </w:rPr>
              <w:t xml:space="preserve"> IPMA/Sea Oeiras centrs,</w:t>
            </w:r>
            <w:r>
              <w:rPr>
                <w:rFonts w:ascii="Calibri" w:hAnsi="Calibri"/>
                <w:noProof/>
                <w:sz w:val="16"/>
              </w:rPr>
              <w:t xml:space="preserve">kura mērķis ir uzlabot okeāna monitoringa spējas: tostarp angāra celtniecība okeāna inženiertehniskajā vienībā, tostarp tilta, darbnīcu zonas, arhīva ēka ar rotējošiem plauktiem paraugiem, kas jāsaglabā šķidrā vidē, zvejas pētniecības iekārtas. Tas ietver arī radaru iekārtas uzraudzībai reāllaikā. </w:t>
            </w:r>
          </w:p>
          <w:p w14:paraId="1D5FC4FC" w14:textId="27A90C32"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3.</w:t>
            </w:r>
            <w:r>
              <w:rPr>
                <w:rFonts w:ascii="Times New Roman" w:hAnsi="Times New Roman"/>
                <w:noProof/>
                <w:sz w:val="14"/>
              </w:rPr>
              <w:t xml:space="preserve"> </w:t>
            </w:r>
            <w:r>
              <w:rPr>
                <w:rFonts w:ascii="Calibri" w:hAnsi="Calibri"/>
                <w:noProof/>
                <w:sz w:val="16"/>
              </w:rPr>
              <w:t>Viedā okeāna penišas centrs: tostarp infrastruktūras, zinātnes un tehnoloģiju parka, kas atrodas Peniche Zvejas ostas teritorijā, būvniecība un ieviešana sālsūdens savākšanas un attīrīšanas sistēmā, atklātā telpā zināšanu par jūru izplatīšanai.</w:t>
            </w:r>
          </w:p>
          <w:p w14:paraId="65B36634" w14:textId="1B45ACBD"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4.</w:t>
            </w:r>
            <w:r>
              <w:rPr>
                <w:rFonts w:ascii="Times New Roman" w:hAnsi="Times New Roman"/>
                <w:noProof/>
                <w:sz w:val="14"/>
              </w:rPr>
              <w:t xml:space="preserve"> </w:t>
            </w:r>
            <w:r>
              <w:rPr>
                <w:rFonts w:ascii="Calibri" w:hAnsi="Calibri"/>
                <w:noProof/>
                <w:sz w:val="16"/>
              </w:rPr>
              <w:t>Aveiro centrs: tostarp vecās jūras ūdens reģistrēšanas, apstrādes un sadales sistēmas atjaunošana, valsts laboratorija zvejas un akvakultūras produktu izstrādei un testēšanai, 5.0 ražošanas laboratorija aļģēm un glabāšanai.</w:t>
            </w:r>
          </w:p>
          <w:p w14:paraId="62DA030E" w14:textId="5B008894"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5.</w:t>
            </w:r>
            <w:r>
              <w:rPr>
                <w:rFonts w:ascii="Times New Roman" w:hAnsi="Times New Roman"/>
                <w:noProof/>
                <w:sz w:val="14"/>
              </w:rPr>
              <w:t xml:space="preserve"> </w:t>
            </w:r>
            <w:r>
              <w:rPr>
                <w:rFonts w:ascii="Calibri" w:hAnsi="Calibri"/>
                <w:noProof/>
                <w:sz w:val="16"/>
              </w:rPr>
              <w:t>Ocean.Plus centrs Porto, Leixões I: tostarp kopīgas infrastruktūras kopums zinātniskajai kopienai, lai atbalstītu pētniekus visos zinātnes un tehnoloģiju izstrādes posmos, sākot no projektēšanas līdz prototipu izstrādei, izmēģinājumu ieviešanai uz vietas, tehnoloģiju validēšanai un zināšanu nodošanai, tostarp loģistikā un okeāna platformās, kas ir viegli pieejamas zinātniskajai un inovatīvajai kopienai.</w:t>
            </w:r>
          </w:p>
          <w:p w14:paraId="191EC3E9" w14:textId="3E847F44"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6.</w:t>
            </w:r>
            <w:r>
              <w:rPr>
                <w:rFonts w:ascii="Times New Roman" w:hAnsi="Times New Roman"/>
                <w:noProof/>
                <w:sz w:val="14"/>
              </w:rPr>
              <w:t xml:space="preserve"> </w:t>
            </w:r>
            <w:r>
              <w:rPr>
                <w:rFonts w:ascii="Calibri" w:hAnsi="Calibri"/>
                <w:noProof/>
                <w:sz w:val="16"/>
              </w:rPr>
              <w:t>Porto Hub/Leixões II: Bezpilota transportlīdzekļu vadības un kontroles centrs jūras atbalstam: tostarp daudzdomēnu bezpilota transportlīdzekļi (zemes, virszemes un ilgtermiņa gaisa kuģi), kas aprīkoti ar sensoriem svarīgu okeāna mainīgo lielumu (EoV) mērīšanai, komandvadības un kontroles centrs un datošanas un sakaru sistēmas.</w:t>
            </w:r>
          </w:p>
          <w:p w14:paraId="77BDFD13" w14:textId="7C1323F3" w:rsidR="00776A1F" w:rsidRDefault="00D8574B">
            <w:pPr>
              <w:keepNext/>
              <w:spacing w:before="40" w:after="0" w:line="240" w:lineRule="auto"/>
              <w:jc w:val="both"/>
              <w:rPr>
                <w:rFonts w:ascii="Calibri" w:eastAsia="Times New Roman" w:hAnsi="Calibri" w:cs="Calibri"/>
                <w:noProof/>
                <w:sz w:val="16"/>
              </w:rPr>
            </w:pPr>
            <w:r>
              <w:rPr>
                <w:rFonts w:ascii="Calibri" w:hAnsi="Calibri"/>
                <w:noProof/>
                <w:sz w:val="16"/>
              </w:rPr>
              <w:t>7.</w:t>
            </w:r>
            <w:r>
              <w:rPr>
                <w:rFonts w:ascii="Times New Roman" w:hAnsi="Times New Roman"/>
                <w:noProof/>
                <w:sz w:val="14"/>
              </w:rPr>
              <w:t xml:space="preserve"> </w:t>
            </w:r>
            <w:r>
              <w:rPr>
                <w:rFonts w:ascii="Calibri" w:hAnsi="Calibri"/>
                <w:noProof/>
                <w:sz w:val="16"/>
              </w:rPr>
              <w:t>Algarve centrmezgls: ietver jaunas infrastruktūras un aprīkojuma, laboratoriju un biroju izveidi, telpu jauniem uzņēmumiem (apmēram 15 uzņēmumu jaudu un 90 darbvietu), galveno uzmanību pievēršot jūras biotehnoloģijai, akvakultūrai, pārtikai un barībai un jūras bioresursiem, produktu valorizācijai un zināšanu radīšanai.</w:t>
            </w:r>
          </w:p>
          <w:p w14:paraId="7AE1994E" w14:textId="77777777" w:rsidR="00776A1F" w:rsidRDefault="00D8574B">
            <w:pPr>
              <w:pStyle w:val="P68B1DB1-Normal8"/>
              <w:keepNext/>
              <w:spacing w:before="40" w:after="0" w:line="240" w:lineRule="auto"/>
              <w:jc w:val="both"/>
              <w:rPr>
                <w:rFonts w:eastAsia="Times New Roman" w:cs="Calibri"/>
                <w:noProof/>
              </w:rPr>
            </w:pPr>
            <w:r>
              <w:rPr>
                <w:noProof/>
              </w:rPr>
              <w:t>Zilās centrmezgla darījumdarbības modelis un profesionāla pagaidu vadības komanda tiek no jauna izveidota un pieņemta darbā (kas aptver arī Zilā centra skolu).</w:t>
            </w:r>
          </w:p>
          <w:p w14:paraId="30FFCC06" w14:textId="77777777" w:rsidR="00776A1F" w:rsidRDefault="00D8574B">
            <w:pPr>
              <w:pStyle w:val="P68B1DB1-Normal8"/>
              <w:keepNext/>
              <w:spacing w:before="40" w:after="0" w:line="240" w:lineRule="auto"/>
              <w:jc w:val="both"/>
              <w:rPr>
                <w:rFonts w:eastAsia="Times New Roman" w:cs="Calibri"/>
                <w:noProof/>
              </w:rPr>
            </w:pPr>
            <w:r>
              <w:rPr>
                <w:noProof/>
              </w:rPr>
              <w:t xml:space="preserve">Šī iniciatīva ir daļa no Valsts okeānu stratēģijas 2021.–2030. gadam īstenošanas, proti, saskaņā ar 1., 2., 3., 6., 7. un 9. stratēģisko mērķi. </w:t>
            </w:r>
          </w:p>
          <w:p w14:paraId="1957099A" w14:textId="05570FBA" w:rsidR="00776A1F" w:rsidRDefault="00D8574B">
            <w:pPr>
              <w:pStyle w:val="P68B1DB1-Normal8"/>
              <w:keepNext/>
              <w:spacing w:before="40" w:after="0" w:line="240" w:lineRule="auto"/>
              <w:jc w:val="both"/>
              <w:rPr>
                <w:rFonts w:eastAsia="Times New Roman" w:cs="Calibri"/>
                <w:noProof/>
              </w:rPr>
            </w:pPr>
            <w:r>
              <w:rPr>
                <w:noProof/>
              </w:rPr>
              <w:t>Iepriekš minētā pabeigšana notiek pēc apstiprinājuma par atbilstību tehniskajām specifikācijām un līgumsaistībām. 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476877EB" w14:textId="77777777">
        <w:trPr>
          <w:trHeight w:val="2116"/>
          <w:jc w:val="center"/>
        </w:trPr>
        <w:tc>
          <w:tcPr>
            <w:tcW w:w="1101" w:type="dxa"/>
            <w:shd w:val="clear" w:color="auto" w:fill="C4EFCE"/>
            <w:vAlign w:val="center"/>
            <w:hideMark/>
          </w:tcPr>
          <w:p w14:paraId="789549CF" w14:textId="77777777" w:rsidR="00776A1F" w:rsidRDefault="00D8574B">
            <w:pPr>
              <w:pStyle w:val="P68B1DB1-Normal7"/>
              <w:keepNext/>
              <w:spacing w:before="40" w:after="0" w:line="240" w:lineRule="auto"/>
              <w:jc w:val="center"/>
              <w:rPr>
                <w:rFonts w:eastAsia="Times New Roman" w:cs="Calibri"/>
                <w:noProof/>
              </w:rPr>
            </w:pPr>
            <w:r>
              <w:rPr>
                <w:noProof/>
              </w:rPr>
              <w:t>10.4</w:t>
            </w:r>
          </w:p>
        </w:tc>
        <w:tc>
          <w:tcPr>
            <w:tcW w:w="1231" w:type="dxa"/>
            <w:shd w:val="clear" w:color="auto" w:fill="C4EFCE"/>
            <w:noWrap/>
            <w:vAlign w:val="center"/>
            <w:hideMark/>
          </w:tcPr>
          <w:p w14:paraId="123D829D" w14:textId="77777777" w:rsidR="00776A1F" w:rsidRDefault="00D8574B">
            <w:pPr>
              <w:pStyle w:val="P68B1DB1-Normal8"/>
              <w:keepNext/>
              <w:spacing w:before="40" w:after="0" w:line="240" w:lineRule="auto"/>
              <w:jc w:val="center"/>
              <w:rPr>
                <w:rFonts w:eastAsia="Times New Roman" w:cs="Calibri"/>
                <w:noProof/>
              </w:rPr>
            </w:pPr>
            <w:r>
              <w:rPr>
                <w:noProof/>
              </w:rPr>
              <w:t>TC-C10-i02</w:t>
            </w:r>
          </w:p>
        </w:tc>
        <w:tc>
          <w:tcPr>
            <w:tcW w:w="1096" w:type="dxa"/>
            <w:shd w:val="clear" w:color="auto" w:fill="C4EFCE"/>
            <w:noWrap/>
            <w:vAlign w:val="center"/>
            <w:hideMark/>
          </w:tcPr>
          <w:p w14:paraId="5CC8709D" w14:textId="77777777" w:rsidR="00776A1F" w:rsidRDefault="00D8574B">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10951DFD" w14:textId="77777777" w:rsidR="00776A1F" w:rsidRDefault="00D8574B">
            <w:pPr>
              <w:pStyle w:val="P68B1DB1-Normal8"/>
              <w:keepNext/>
              <w:spacing w:before="40" w:after="0" w:line="240" w:lineRule="auto"/>
              <w:jc w:val="center"/>
              <w:rPr>
                <w:rFonts w:eastAsia="Times New Roman" w:cs="Calibri"/>
                <w:noProof/>
              </w:rPr>
            </w:pPr>
            <w:r>
              <w:rPr>
                <w:noProof/>
              </w:rPr>
              <w:t>Nobeiguma ziņojumu apstiprināšana par 70 projektiem, kuru mērķis ir atbalstīt inovāciju, enerģētikas pārkārtošanu un mazināt ietekmi uz vidi zvejniecības nozares subjektiem</w:t>
            </w:r>
          </w:p>
        </w:tc>
        <w:tc>
          <w:tcPr>
            <w:tcW w:w="1231" w:type="dxa"/>
            <w:shd w:val="clear" w:color="auto" w:fill="C4EFCE"/>
            <w:noWrap/>
            <w:vAlign w:val="center"/>
            <w:hideMark/>
          </w:tcPr>
          <w:p w14:paraId="43AC3C6A"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41968F9D" w14:textId="77777777" w:rsidR="00776A1F" w:rsidRDefault="00D8574B">
            <w:pPr>
              <w:pStyle w:val="P68B1DB1-Normal8"/>
              <w:keepNext/>
              <w:spacing w:before="40" w:after="0" w:line="240" w:lineRule="auto"/>
              <w:jc w:val="center"/>
              <w:rPr>
                <w:rFonts w:eastAsia="Times New Roman" w:cs="Calibri"/>
                <w:noProof/>
              </w:rPr>
            </w:pPr>
            <w:r>
              <w:rPr>
                <w:noProof/>
              </w:rPr>
              <w:t xml:space="preserve">Skaits </w:t>
            </w:r>
          </w:p>
        </w:tc>
        <w:tc>
          <w:tcPr>
            <w:tcW w:w="961" w:type="dxa"/>
            <w:shd w:val="clear" w:color="auto" w:fill="C4EFCE"/>
            <w:noWrap/>
            <w:vAlign w:val="center"/>
            <w:hideMark/>
          </w:tcPr>
          <w:p w14:paraId="48106376" w14:textId="77777777" w:rsidR="00776A1F" w:rsidRDefault="00D8574B">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7C46F26" w14:textId="77777777" w:rsidR="00776A1F" w:rsidRDefault="00D8574B">
            <w:pPr>
              <w:pStyle w:val="P68B1DB1-Normal8"/>
              <w:keepNext/>
              <w:spacing w:before="40" w:after="0" w:line="240" w:lineRule="auto"/>
              <w:jc w:val="center"/>
              <w:rPr>
                <w:rFonts w:eastAsia="Times New Roman" w:cs="Calibri"/>
                <w:noProof/>
              </w:rPr>
            </w:pPr>
            <w:r>
              <w:rPr>
                <w:noProof/>
              </w:rPr>
              <w:t>70</w:t>
            </w:r>
          </w:p>
        </w:tc>
        <w:tc>
          <w:tcPr>
            <w:tcW w:w="554" w:type="dxa"/>
            <w:shd w:val="clear" w:color="auto" w:fill="C4EFCE"/>
            <w:noWrap/>
            <w:vAlign w:val="center"/>
            <w:hideMark/>
          </w:tcPr>
          <w:p w14:paraId="05E8D103"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684" w:type="dxa"/>
            <w:shd w:val="clear" w:color="auto" w:fill="C4EFCE"/>
            <w:noWrap/>
            <w:vAlign w:val="center"/>
            <w:hideMark/>
          </w:tcPr>
          <w:p w14:paraId="4FA70926" w14:textId="77777777" w:rsidR="00776A1F" w:rsidRDefault="00D8574B">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5616E553" w14:textId="7802FC27" w:rsidR="00776A1F" w:rsidRDefault="00D8574B">
            <w:pPr>
              <w:pStyle w:val="P68B1DB1-Normal8"/>
              <w:keepNext/>
              <w:spacing w:before="40" w:after="0" w:line="240" w:lineRule="auto"/>
              <w:jc w:val="both"/>
              <w:rPr>
                <w:rFonts w:eastAsia="Times New Roman" w:cs="Calibri"/>
                <w:noProof/>
              </w:rPr>
            </w:pPr>
            <w:r>
              <w:rPr>
                <w:noProof/>
              </w:rPr>
              <w:t>DGRM-IFAP (Dabas resursu, drošības un jūras pakalpojumu ģenerāldirektorāts) apstiprina galīgos ziņojumus par 70 projektu īstenošanu, lai atbalstītu inovāciju, enerģētikas pārkārtošanu un mazinātu ietekmi uz vidi zvejniecības nozares struktūrām. DGRM-IFAP novērtē kvantitatīvo progresu attiecībā pret konkrētajiem mērķiem, par kuriem panākta vienošanās, kad pamata finansējums tika piešķirts pēc diviem uzaicinājumiem iesniegt piedāvājumus, kurus organizēja DGRM-IFAP un kurus bija paredzēts sākt 2021. un 2022. gadā</w:t>
            </w:r>
            <w:r>
              <w:rPr>
                <w:noProof/>
                <w:shd w:val="clear" w:color="auto" w:fill="E6E6E6"/>
              </w:rPr>
              <w:t>.</w:t>
            </w:r>
          </w:p>
        </w:tc>
      </w:tr>
      <w:tr w:rsidR="00776A1F" w14:paraId="7741B9D8" w14:textId="77777777">
        <w:trPr>
          <w:trHeight w:val="630"/>
          <w:jc w:val="center"/>
        </w:trPr>
        <w:tc>
          <w:tcPr>
            <w:tcW w:w="1101" w:type="dxa"/>
            <w:shd w:val="clear" w:color="auto" w:fill="C4EFCE"/>
            <w:vAlign w:val="center"/>
            <w:hideMark/>
          </w:tcPr>
          <w:p w14:paraId="39E27BD5" w14:textId="77777777" w:rsidR="00776A1F" w:rsidRDefault="00D8574B">
            <w:pPr>
              <w:pStyle w:val="P68B1DB1-Normal7"/>
              <w:keepNext/>
              <w:spacing w:before="40" w:after="0" w:line="240" w:lineRule="auto"/>
              <w:jc w:val="center"/>
              <w:rPr>
                <w:rFonts w:eastAsia="Times New Roman" w:cs="Calibri"/>
                <w:noProof/>
              </w:rPr>
            </w:pPr>
            <w:r>
              <w:rPr>
                <w:noProof/>
              </w:rPr>
              <w:t>10.8</w:t>
            </w:r>
          </w:p>
        </w:tc>
        <w:tc>
          <w:tcPr>
            <w:tcW w:w="1231" w:type="dxa"/>
            <w:shd w:val="clear" w:color="auto" w:fill="C4EFCE"/>
            <w:noWrap/>
            <w:vAlign w:val="center"/>
            <w:hideMark/>
          </w:tcPr>
          <w:p w14:paraId="40B57651" w14:textId="77777777" w:rsidR="00776A1F" w:rsidRDefault="00D8574B">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C88D666" w14:textId="77777777" w:rsidR="00776A1F" w:rsidRDefault="00D8574B">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7895B9C7" w14:textId="2C5299C6" w:rsidR="00776A1F" w:rsidRDefault="00D8574B">
            <w:pPr>
              <w:pStyle w:val="P68B1DB1-Normal8"/>
              <w:keepNext/>
              <w:spacing w:before="40" w:after="0" w:line="240" w:lineRule="auto"/>
              <w:jc w:val="center"/>
              <w:rPr>
                <w:rFonts w:eastAsia="Times New Roman" w:cs="Calibri"/>
                <w:noProof/>
              </w:rPr>
            </w:pPr>
            <w:r>
              <w:rPr>
                <w:noProof/>
              </w:rPr>
              <w:t>Būvdarbu publiskā iepirkuma līguma sākšana MARTEC tehniskajam centram</w:t>
            </w:r>
          </w:p>
        </w:tc>
        <w:tc>
          <w:tcPr>
            <w:tcW w:w="1231" w:type="dxa"/>
            <w:shd w:val="clear" w:color="auto" w:fill="C4EFCE"/>
            <w:noWrap/>
            <w:vAlign w:val="center"/>
            <w:hideMark/>
          </w:tcPr>
          <w:p w14:paraId="23050660" w14:textId="1D88FF3D" w:rsidR="00776A1F" w:rsidRDefault="00D8574B">
            <w:pPr>
              <w:pStyle w:val="P68B1DB1-Normal8"/>
              <w:keepNext/>
              <w:spacing w:before="40" w:after="0" w:line="240" w:lineRule="auto"/>
              <w:jc w:val="center"/>
              <w:rPr>
                <w:rFonts w:eastAsia="Times New Roman" w:cs="Calibri"/>
                <w:noProof/>
              </w:rPr>
            </w:pPr>
            <w:r>
              <w:rPr>
                <w:noProof/>
              </w:rPr>
              <w:t>Tehniskā centra MARTEC būvdarbu sākums</w:t>
            </w:r>
          </w:p>
        </w:tc>
        <w:tc>
          <w:tcPr>
            <w:tcW w:w="962" w:type="dxa"/>
            <w:shd w:val="clear" w:color="auto" w:fill="C4EFCE"/>
            <w:noWrap/>
            <w:vAlign w:val="center"/>
            <w:hideMark/>
          </w:tcPr>
          <w:p w14:paraId="12D246C0"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27F0FE3B"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355E60A"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166E7D8"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684" w:type="dxa"/>
            <w:shd w:val="clear" w:color="auto" w:fill="C4EFCE"/>
            <w:noWrap/>
            <w:vAlign w:val="center"/>
            <w:hideMark/>
          </w:tcPr>
          <w:p w14:paraId="13D93DFC" w14:textId="0E0F7803" w:rsidR="00776A1F" w:rsidRDefault="00D8574B">
            <w:pPr>
              <w:pStyle w:val="P68B1DB1-Normal8"/>
              <w:keepNext/>
              <w:spacing w:before="40" w:after="0" w:line="240" w:lineRule="auto"/>
              <w:jc w:val="center"/>
              <w:rPr>
                <w:rFonts w:eastAsia="Times New Roman" w:cs="Calibri"/>
                <w:noProof/>
              </w:rPr>
            </w:pPr>
            <w:r>
              <w:rPr>
                <w:noProof/>
              </w:rPr>
              <w:t>2023</w:t>
            </w:r>
          </w:p>
        </w:tc>
        <w:tc>
          <w:tcPr>
            <w:tcW w:w="5223" w:type="dxa"/>
            <w:shd w:val="clear" w:color="auto" w:fill="C4EFCE"/>
            <w:vAlign w:val="center"/>
            <w:hideMark/>
          </w:tcPr>
          <w:p w14:paraId="7652F711" w14:textId="77777777" w:rsidR="00776A1F" w:rsidRDefault="00D8574B">
            <w:pPr>
              <w:pStyle w:val="P68B1DB1-Normal8"/>
              <w:keepNext/>
              <w:spacing w:before="40" w:after="0" w:line="240" w:lineRule="auto"/>
              <w:jc w:val="both"/>
              <w:rPr>
                <w:rFonts w:eastAsia="Times New Roman" w:cs="Calibri"/>
                <w:noProof/>
              </w:rPr>
            </w:pPr>
            <w:r>
              <w:rPr>
                <w:noProof/>
              </w:rPr>
              <w:t xml:space="preserve">Sākt Technopolo MARTEC infrastruktūras būvdarbus (tostarp zemes iegādi un esošās infrastruktūras nojaukšanu) Faial salā, ko pabeigs 2025. gadā kā daļu no ar jūru saistītā eksperimentālā un attīstības centra Azoru salās. </w:t>
            </w:r>
          </w:p>
          <w:p w14:paraId="6E6AE8E6" w14:textId="77777777" w:rsidR="00776A1F" w:rsidRDefault="00D8574B">
            <w:pPr>
              <w:pStyle w:val="P68B1DB1-Normal8"/>
              <w:keepNext/>
              <w:spacing w:before="40" w:after="0" w:line="240" w:lineRule="auto"/>
              <w:jc w:val="both"/>
              <w:rPr>
                <w:rFonts w:eastAsia="Times New Roman" w:cs="Calibri"/>
                <w:noProof/>
              </w:rPr>
            </w:pPr>
            <w:r>
              <w:rPr>
                <w:noProof/>
              </w:rPr>
              <w:t>Tajā ietilpst zilais inkubators (vismaz 6 500 m²), akvakultūras centrs (vismaz 2 000 m²) un nepieciešamais aprīkojums (vispārējais aprīkojums, kā arī eksperimentālā centra un stacijas ierīkošana akvakultūras pētniecībai).</w:t>
            </w:r>
          </w:p>
          <w:p w14:paraId="102BB169" w14:textId="1675BC9D" w:rsidR="00776A1F" w:rsidRDefault="00D8574B">
            <w:pPr>
              <w:pStyle w:val="P68B1DB1-Normal8"/>
              <w:keepNext/>
              <w:spacing w:before="40" w:after="0" w:line="240" w:lineRule="auto"/>
              <w:jc w:val="both"/>
              <w:rPr>
                <w:rFonts w:eastAsia="Times New Roman" w:cs="Calibri"/>
                <w:noProof/>
              </w:rPr>
            </w:pPr>
            <w:r>
              <w:rPr>
                <w:noProof/>
              </w:rPr>
              <w:t>Jaunu ēku primārās enerģijas pieprasījums ir vismaz par 20 % zemāks nekā prasības, kas noteiktas gandrīz nulles enerģijas ēkām.</w:t>
            </w:r>
          </w:p>
        </w:tc>
      </w:tr>
      <w:tr w:rsidR="00776A1F" w14:paraId="5F9977DC" w14:textId="77777777">
        <w:trPr>
          <w:trHeight w:val="1060"/>
          <w:jc w:val="center"/>
        </w:trPr>
        <w:tc>
          <w:tcPr>
            <w:tcW w:w="1101" w:type="dxa"/>
            <w:shd w:val="clear" w:color="auto" w:fill="C4EFCE"/>
            <w:vAlign w:val="center"/>
            <w:hideMark/>
          </w:tcPr>
          <w:p w14:paraId="5F48BC21" w14:textId="77777777" w:rsidR="00776A1F" w:rsidRDefault="00D8574B">
            <w:pPr>
              <w:pStyle w:val="P68B1DB1-Normal7"/>
              <w:keepNext/>
              <w:spacing w:before="40" w:after="0" w:line="240" w:lineRule="auto"/>
              <w:jc w:val="center"/>
              <w:rPr>
                <w:rFonts w:eastAsia="Times New Roman" w:cs="Calibri"/>
                <w:noProof/>
              </w:rPr>
            </w:pPr>
            <w:r>
              <w:rPr>
                <w:noProof/>
              </w:rPr>
              <w:t>10.9</w:t>
            </w:r>
          </w:p>
        </w:tc>
        <w:tc>
          <w:tcPr>
            <w:tcW w:w="1231" w:type="dxa"/>
            <w:shd w:val="clear" w:color="auto" w:fill="C4EFCE"/>
            <w:noWrap/>
            <w:vAlign w:val="center"/>
            <w:hideMark/>
          </w:tcPr>
          <w:p w14:paraId="04663115" w14:textId="77777777" w:rsidR="00776A1F" w:rsidRDefault="00D8574B">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5F75A61A" w14:textId="77777777" w:rsidR="00776A1F" w:rsidRDefault="00D8574B">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3F722B7B" w14:textId="77777777" w:rsidR="00776A1F" w:rsidRDefault="00D8574B">
            <w:pPr>
              <w:pStyle w:val="P68B1DB1-Normal8"/>
              <w:keepNext/>
              <w:spacing w:before="40" w:after="0" w:line="240" w:lineRule="auto"/>
              <w:jc w:val="center"/>
              <w:rPr>
                <w:rFonts w:eastAsia="Times New Roman" w:cs="Calibri"/>
                <w:noProof/>
              </w:rPr>
            </w:pPr>
            <w:r>
              <w:rPr>
                <w:noProof/>
              </w:rPr>
              <w:t xml:space="preserve">Pētniecības kuģa piegāde </w:t>
            </w:r>
          </w:p>
        </w:tc>
        <w:tc>
          <w:tcPr>
            <w:tcW w:w="1231" w:type="dxa"/>
            <w:shd w:val="clear" w:color="auto" w:fill="C4EFCE"/>
            <w:noWrap/>
            <w:vAlign w:val="center"/>
            <w:hideMark/>
          </w:tcPr>
          <w:p w14:paraId="19FAE713" w14:textId="77777777" w:rsidR="00776A1F" w:rsidRDefault="00D8574B">
            <w:pPr>
              <w:pStyle w:val="P68B1DB1-Normal8"/>
              <w:keepNext/>
              <w:spacing w:before="40" w:after="0" w:line="240" w:lineRule="auto"/>
              <w:jc w:val="center"/>
              <w:rPr>
                <w:rFonts w:eastAsia="Times New Roman" w:cs="Calibri"/>
                <w:noProof/>
              </w:rPr>
            </w:pPr>
            <w:r>
              <w:rPr>
                <w:noProof/>
              </w:rPr>
              <w:t xml:space="preserve"> Pētniecības kuģa piegāde</w:t>
            </w:r>
          </w:p>
        </w:tc>
        <w:tc>
          <w:tcPr>
            <w:tcW w:w="962" w:type="dxa"/>
            <w:shd w:val="clear" w:color="auto" w:fill="C4EFCE"/>
            <w:noWrap/>
            <w:vAlign w:val="center"/>
            <w:hideMark/>
          </w:tcPr>
          <w:p w14:paraId="497F9221"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3E15C7BE"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49C9000"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654D30E1" w14:textId="027BD054" w:rsidR="00776A1F" w:rsidRDefault="00D8574B">
            <w:pPr>
              <w:pStyle w:val="P68B1DB1-Normal8"/>
              <w:keepNext/>
              <w:spacing w:before="40" w:after="0" w:line="240" w:lineRule="auto"/>
              <w:jc w:val="center"/>
              <w:rPr>
                <w:rFonts w:eastAsia="Times New Roman" w:cs="Calibri"/>
                <w:noProof/>
              </w:rPr>
            </w:pPr>
            <w:r>
              <w:rPr>
                <w:noProof/>
              </w:rPr>
              <w:t>4. CET.</w:t>
            </w:r>
          </w:p>
        </w:tc>
        <w:tc>
          <w:tcPr>
            <w:tcW w:w="684" w:type="dxa"/>
            <w:shd w:val="clear" w:color="auto" w:fill="C4EFCE"/>
            <w:noWrap/>
            <w:vAlign w:val="center"/>
            <w:hideMark/>
          </w:tcPr>
          <w:p w14:paraId="5D59229F" w14:textId="1FE12986" w:rsidR="00776A1F" w:rsidRDefault="00D8574B">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3F920368" w14:textId="7AA2937D" w:rsidR="00776A1F" w:rsidRDefault="00D8574B">
            <w:pPr>
              <w:pStyle w:val="P68B1DB1-Normal8"/>
              <w:keepNext/>
              <w:spacing w:before="40" w:after="0" w:line="240" w:lineRule="auto"/>
              <w:jc w:val="both"/>
              <w:rPr>
                <w:rFonts w:eastAsia="Times New Roman" w:cs="Calibri"/>
                <w:noProof/>
              </w:rPr>
            </w:pPr>
            <w:r>
              <w:rPr>
                <w:noProof/>
              </w:rPr>
              <w:t>Moderna pētniecības kuģa piegāde. Tā spēj darboties lielos dziļumos, ietverot modernu pētniecības un datu pārraides aprīkojumu, dinamisko pozicionēšanu, spēj ekspluatēt tālvadības transportlīdzekļus, pelaģiskos tīklus, dragas, kastu pamatnes ar augstiem tehnoloģiskajiem standartiem attiecībā uz spējām un aprīkojumu ar augstu energoefektivitāti, lai apmierinātu pašreizējās vajadzības jūras pētniecības un monitoringa jomā vai okeānu ilgtspējīgas izmantošanas veicināšanas jomā.</w:t>
            </w:r>
          </w:p>
        </w:tc>
      </w:tr>
      <w:tr w:rsidR="00776A1F" w14:paraId="622F6723" w14:textId="77777777">
        <w:trPr>
          <w:trHeight w:val="1060"/>
          <w:jc w:val="center"/>
        </w:trPr>
        <w:tc>
          <w:tcPr>
            <w:tcW w:w="1101" w:type="dxa"/>
            <w:shd w:val="clear" w:color="auto" w:fill="C4EFCE"/>
            <w:vAlign w:val="center"/>
          </w:tcPr>
          <w:p w14:paraId="42689895" w14:textId="717581FE" w:rsidR="00776A1F" w:rsidRDefault="00D8574B">
            <w:pPr>
              <w:pStyle w:val="P68B1DB1-Normal11"/>
              <w:keepNext/>
              <w:spacing w:before="40" w:after="0" w:line="240" w:lineRule="auto"/>
              <w:jc w:val="center"/>
              <w:rPr>
                <w:rFonts w:eastAsia="Times New Roman"/>
                <w:noProof/>
              </w:rPr>
            </w:pPr>
            <w:r>
              <w:rPr>
                <w:noProof/>
              </w:rPr>
              <w:t>10.11</w:t>
            </w:r>
          </w:p>
        </w:tc>
        <w:tc>
          <w:tcPr>
            <w:tcW w:w="1231" w:type="dxa"/>
            <w:shd w:val="clear" w:color="auto" w:fill="C4EFCE"/>
            <w:noWrap/>
            <w:vAlign w:val="center"/>
          </w:tcPr>
          <w:p w14:paraId="41B255A2" w14:textId="2496DE23" w:rsidR="00776A1F" w:rsidRDefault="00D8574B">
            <w:pPr>
              <w:pStyle w:val="P68B1DB1-Normal12"/>
              <w:keepNext/>
              <w:spacing w:before="40" w:after="0" w:line="240" w:lineRule="auto"/>
              <w:jc w:val="center"/>
              <w:rPr>
                <w:rFonts w:eastAsia="Times New Roman" w:cstheme="minorHAnsi"/>
                <w:noProof/>
              </w:rPr>
            </w:pPr>
            <w:r>
              <w:rPr>
                <w:noProof/>
              </w:rPr>
              <w:t xml:space="preserve"> TC-C10-i04-RAA</w:t>
            </w:r>
          </w:p>
        </w:tc>
        <w:tc>
          <w:tcPr>
            <w:tcW w:w="1096" w:type="dxa"/>
            <w:shd w:val="clear" w:color="auto" w:fill="C4EFCE"/>
            <w:noWrap/>
            <w:vAlign w:val="center"/>
          </w:tcPr>
          <w:p w14:paraId="718C08F5" w14:textId="0ECD9053" w:rsidR="00776A1F" w:rsidRDefault="00D8574B">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440886E" w14:textId="5BA56187" w:rsidR="00776A1F" w:rsidRDefault="00D8574B">
            <w:pPr>
              <w:pStyle w:val="P68B1DB1-Normal12"/>
              <w:keepNext/>
              <w:spacing w:before="40" w:after="0" w:line="240" w:lineRule="auto"/>
              <w:jc w:val="center"/>
              <w:rPr>
                <w:rFonts w:eastAsia="Arial" w:cstheme="minorHAnsi"/>
                <w:noProof/>
              </w:rPr>
            </w:pPr>
            <w:r>
              <w:rPr>
                <w:noProof/>
              </w:rPr>
              <w:t xml:space="preserve">Divu moduļu piegāde jaunajam pētniecības kuģim </w:t>
            </w:r>
          </w:p>
        </w:tc>
        <w:tc>
          <w:tcPr>
            <w:tcW w:w="1231" w:type="dxa"/>
            <w:shd w:val="clear" w:color="auto" w:fill="C4EFCE"/>
            <w:noWrap/>
            <w:vAlign w:val="center"/>
          </w:tcPr>
          <w:p w14:paraId="5ABEAD50" w14:textId="3E3B82CC" w:rsidR="00776A1F" w:rsidRDefault="00D8574B">
            <w:pPr>
              <w:pStyle w:val="P68B1DB1-Normal12"/>
              <w:keepNext/>
              <w:spacing w:before="40" w:after="0" w:line="240" w:lineRule="auto"/>
              <w:jc w:val="center"/>
              <w:rPr>
                <w:rFonts w:eastAsia="Times New Roman" w:cstheme="minorHAnsi"/>
                <w:noProof/>
              </w:rPr>
            </w:pPr>
            <w:r>
              <w:rPr>
                <w:noProof/>
              </w:rPr>
              <w:t>Divu moduļu piegāde jaunajam pētniecības kuģim</w:t>
            </w:r>
          </w:p>
        </w:tc>
        <w:tc>
          <w:tcPr>
            <w:tcW w:w="962" w:type="dxa"/>
            <w:shd w:val="clear" w:color="auto" w:fill="C4EFCE"/>
            <w:noWrap/>
            <w:vAlign w:val="center"/>
          </w:tcPr>
          <w:p w14:paraId="600BCF98" w14:textId="77777777" w:rsidR="00776A1F" w:rsidRDefault="00776A1F">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4027EBE3" w14:textId="1E059CAD" w:rsidR="00776A1F" w:rsidRDefault="00776A1F">
            <w:pPr>
              <w:keepNext/>
              <w:spacing w:before="40" w:after="0" w:line="240" w:lineRule="auto"/>
              <w:jc w:val="center"/>
              <w:rPr>
                <w:rFonts w:cstheme="minorHAnsi"/>
                <w:noProof/>
                <w:sz w:val="16"/>
              </w:rPr>
            </w:pPr>
          </w:p>
        </w:tc>
        <w:tc>
          <w:tcPr>
            <w:tcW w:w="690" w:type="dxa"/>
            <w:shd w:val="clear" w:color="auto" w:fill="C4EFCE"/>
            <w:noWrap/>
            <w:vAlign w:val="center"/>
          </w:tcPr>
          <w:p w14:paraId="56912BFF" w14:textId="585868F2" w:rsidR="00776A1F" w:rsidRDefault="00776A1F">
            <w:pPr>
              <w:keepNext/>
              <w:spacing w:before="40" w:after="0" w:line="240" w:lineRule="auto"/>
              <w:jc w:val="center"/>
              <w:rPr>
                <w:rFonts w:cstheme="minorHAnsi"/>
                <w:noProof/>
                <w:sz w:val="16"/>
              </w:rPr>
            </w:pPr>
          </w:p>
        </w:tc>
        <w:tc>
          <w:tcPr>
            <w:tcW w:w="554" w:type="dxa"/>
            <w:shd w:val="clear" w:color="auto" w:fill="C4EFCE"/>
            <w:noWrap/>
            <w:vAlign w:val="center"/>
          </w:tcPr>
          <w:p w14:paraId="1A51A8E2" w14:textId="5CF011EB" w:rsidR="00776A1F" w:rsidRDefault="00D8574B">
            <w:pPr>
              <w:pStyle w:val="P68B1DB1-Normal12"/>
              <w:keepNext/>
              <w:spacing w:before="40" w:after="0" w:line="240" w:lineRule="auto"/>
              <w:jc w:val="center"/>
              <w:rPr>
                <w:rFonts w:eastAsia="Arial" w:cstheme="minorHAnsi"/>
                <w:noProof/>
              </w:rPr>
            </w:pPr>
            <w:r>
              <w:rPr>
                <w:noProof/>
              </w:rPr>
              <w:t>2. CET.</w:t>
            </w:r>
          </w:p>
        </w:tc>
        <w:tc>
          <w:tcPr>
            <w:tcW w:w="684" w:type="dxa"/>
            <w:shd w:val="clear" w:color="auto" w:fill="C4EFCE"/>
            <w:noWrap/>
            <w:vAlign w:val="center"/>
          </w:tcPr>
          <w:p w14:paraId="49C8B85F" w14:textId="00EC4422" w:rsidR="00776A1F" w:rsidRDefault="00D8574B">
            <w:pPr>
              <w:pStyle w:val="P68B1DB1-Normal12"/>
              <w:keepNext/>
              <w:spacing w:before="40" w:after="0" w:line="240" w:lineRule="auto"/>
              <w:jc w:val="center"/>
              <w:rPr>
                <w:rFonts w:eastAsia="Arial" w:cstheme="minorHAnsi"/>
                <w:noProof/>
              </w:rPr>
            </w:pPr>
            <w:r>
              <w:rPr>
                <w:noProof/>
              </w:rPr>
              <w:t>2026</w:t>
            </w:r>
          </w:p>
        </w:tc>
        <w:tc>
          <w:tcPr>
            <w:tcW w:w="5223" w:type="dxa"/>
            <w:shd w:val="clear" w:color="auto" w:fill="C4EFCE"/>
            <w:vAlign w:val="center"/>
          </w:tcPr>
          <w:p w14:paraId="3455FF49" w14:textId="02FE8514" w:rsidR="00776A1F" w:rsidRDefault="00D8574B">
            <w:pPr>
              <w:pStyle w:val="P68B1DB1-Normal12"/>
              <w:keepNext/>
              <w:spacing w:before="40" w:after="0" w:line="240" w:lineRule="auto"/>
              <w:jc w:val="both"/>
              <w:rPr>
                <w:rFonts w:eastAsia="Calibri" w:cstheme="minorHAnsi"/>
                <w:noProof/>
              </w:rPr>
            </w:pPr>
            <w:r>
              <w:rPr>
                <w:noProof/>
              </w:rPr>
              <w:t>Divu moduļu nodrošināšana jaunajiem kuģu pētījumiem: 1 ROV modulis un 1 tralēšanas iekārtu modulis</w:t>
            </w:r>
          </w:p>
        </w:tc>
      </w:tr>
      <w:tr w:rsidR="00776A1F" w14:paraId="4ED5D0BF" w14:textId="77777777">
        <w:trPr>
          <w:trHeight w:val="61"/>
          <w:jc w:val="center"/>
        </w:trPr>
        <w:tc>
          <w:tcPr>
            <w:tcW w:w="1101" w:type="dxa"/>
            <w:shd w:val="clear" w:color="auto" w:fill="C4EFCE"/>
            <w:vAlign w:val="center"/>
            <w:hideMark/>
          </w:tcPr>
          <w:p w14:paraId="1D980CEA" w14:textId="4E2C1C4E" w:rsidR="00776A1F" w:rsidRDefault="00D8574B">
            <w:pPr>
              <w:pStyle w:val="P68B1DB1-Normal7"/>
              <w:keepNext/>
              <w:spacing w:before="40" w:after="0" w:line="240" w:lineRule="auto"/>
              <w:jc w:val="center"/>
              <w:rPr>
                <w:rFonts w:eastAsia="Times New Roman" w:cs="Calibri"/>
                <w:noProof/>
              </w:rPr>
            </w:pPr>
            <w:r>
              <w:rPr>
                <w:noProof/>
              </w:rPr>
              <w:t>10.10</w:t>
            </w:r>
          </w:p>
        </w:tc>
        <w:tc>
          <w:tcPr>
            <w:tcW w:w="1231" w:type="dxa"/>
            <w:shd w:val="clear" w:color="auto" w:fill="C4EFCE"/>
            <w:noWrap/>
            <w:vAlign w:val="center"/>
            <w:hideMark/>
          </w:tcPr>
          <w:p w14:paraId="6D342640" w14:textId="77777777" w:rsidR="00776A1F" w:rsidRDefault="00D8574B">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4AC5CC4" w14:textId="77777777" w:rsidR="00776A1F" w:rsidRDefault="00D8574B">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636F73E3" w14:textId="16AB0CF0" w:rsidR="00776A1F" w:rsidRDefault="00D8574B">
            <w:pPr>
              <w:pStyle w:val="P68B1DB1-Normal8"/>
              <w:keepNext/>
              <w:spacing w:before="40" w:after="0" w:line="240" w:lineRule="auto"/>
              <w:jc w:val="center"/>
              <w:rPr>
                <w:rFonts w:eastAsia="Times New Roman" w:cs="Calibri"/>
                <w:noProof/>
              </w:rPr>
            </w:pPr>
            <w:r>
              <w:rPr>
                <w:noProof/>
              </w:rPr>
              <w:t>Ar jūru saistītā eksperimentālās pētniecības un izstrādes centra darbības uzsākšana Azoru salās (MARTEC centrs)</w:t>
            </w:r>
          </w:p>
        </w:tc>
        <w:tc>
          <w:tcPr>
            <w:tcW w:w="1231" w:type="dxa"/>
            <w:shd w:val="clear" w:color="auto" w:fill="C4EFCE"/>
            <w:noWrap/>
            <w:vAlign w:val="center"/>
            <w:hideMark/>
          </w:tcPr>
          <w:p w14:paraId="45BDBD81" w14:textId="41D58349" w:rsidR="00776A1F" w:rsidRDefault="00D8574B">
            <w:pPr>
              <w:pStyle w:val="P68B1DB1-Normal8"/>
              <w:keepNext/>
              <w:spacing w:before="40" w:after="0" w:line="240" w:lineRule="auto"/>
              <w:jc w:val="center"/>
              <w:rPr>
                <w:rFonts w:eastAsia="Times New Roman" w:cs="Calibri"/>
                <w:noProof/>
              </w:rPr>
            </w:pPr>
            <w:r>
              <w:rPr>
                <w:noProof/>
              </w:rPr>
              <w:t>Ar jūru saistītā eksperimentālās pētniecības un izstrādes centra darbības uzsākšana Azoru salās (MARTEC centrs)</w:t>
            </w:r>
          </w:p>
        </w:tc>
        <w:tc>
          <w:tcPr>
            <w:tcW w:w="962" w:type="dxa"/>
            <w:shd w:val="clear" w:color="auto" w:fill="C4EFCE"/>
            <w:noWrap/>
            <w:vAlign w:val="center"/>
            <w:hideMark/>
          </w:tcPr>
          <w:p w14:paraId="1B1BE93D"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18CF87CE"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C99979D"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5B5A6190" w14:textId="371A61A9" w:rsidR="00776A1F" w:rsidRDefault="00D8574B">
            <w:pPr>
              <w:pStyle w:val="P68B1DB1-Normal8"/>
              <w:keepNext/>
              <w:spacing w:before="40" w:after="0" w:line="240" w:lineRule="auto"/>
              <w:jc w:val="center"/>
              <w:rPr>
                <w:rFonts w:eastAsia="Times New Roman" w:cs="Calibri"/>
                <w:noProof/>
              </w:rPr>
            </w:pPr>
            <w:r>
              <w:rPr>
                <w:noProof/>
              </w:rPr>
              <w:t>2. CET.</w:t>
            </w:r>
          </w:p>
        </w:tc>
        <w:tc>
          <w:tcPr>
            <w:tcW w:w="684" w:type="dxa"/>
            <w:shd w:val="clear" w:color="auto" w:fill="C4EFCE"/>
            <w:noWrap/>
            <w:vAlign w:val="center"/>
            <w:hideMark/>
          </w:tcPr>
          <w:p w14:paraId="355DB126" w14:textId="0A215794" w:rsidR="00776A1F" w:rsidRDefault="00D8574B">
            <w:pPr>
              <w:pStyle w:val="P68B1DB1-Normal8"/>
              <w:keepNext/>
              <w:spacing w:before="40" w:after="0" w:line="240" w:lineRule="auto"/>
              <w:jc w:val="center"/>
              <w:rPr>
                <w:rFonts w:eastAsia="Times New Roman" w:cs="Calibri"/>
                <w:noProof/>
              </w:rPr>
            </w:pPr>
            <w:r>
              <w:rPr>
                <w:noProof/>
              </w:rPr>
              <w:t>2026</w:t>
            </w:r>
          </w:p>
        </w:tc>
        <w:tc>
          <w:tcPr>
            <w:tcW w:w="5223" w:type="dxa"/>
            <w:shd w:val="clear" w:color="auto" w:fill="C4EFCE"/>
            <w:vAlign w:val="center"/>
            <w:hideMark/>
          </w:tcPr>
          <w:p w14:paraId="3E083202" w14:textId="4E0D2C48" w:rsidR="00776A1F" w:rsidRDefault="00D8574B">
            <w:pPr>
              <w:pStyle w:val="P68B1DB1-Normal9"/>
              <w:keepNext/>
              <w:spacing w:before="40" w:after="0" w:line="240" w:lineRule="auto"/>
              <w:jc w:val="both"/>
              <w:rPr>
                <w:rFonts w:eastAsia="Times New Roman" w:cs="Calibri"/>
                <w:noProof/>
                <w:sz w:val="16"/>
              </w:rPr>
            </w:pPr>
            <w:r>
              <w:rPr>
                <w:noProof/>
                <w:sz w:val="4"/>
              </w:rPr>
              <w:t> Ar jūru saistīta eksperimentālās pētniecības un izstrādes centra</w:t>
            </w:r>
            <w:r>
              <w:rPr>
                <w:noProof/>
                <w:sz w:val="16"/>
              </w:rPr>
              <w:t xml:space="preserve">izveide un ieviešana, ko var kopīgot ar Azoru salu zinātniskās un tehnoloģiskās sistēmas iestādēm un uzņēmumiem, kas atbild par pētniecību un izstrādi tradicionālajās un jaunietekmes jomās, piemēram, zvejniecībā un tās produktos, akvakultūrā, jūras biotehnoloģijās, biomateriālus vai jūras tehnoloģijās un ierīcēs. Centra darbība (tehniskais centrs MARTEC). Šis centrs atrodas Faial salā. </w:t>
            </w:r>
          </w:p>
          <w:p w14:paraId="6661BE7E" w14:textId="06F54DE1" w:rsidR="00776A1F" w:rsidRDefault="00D8574B">
            <w:pPr>
              <w:pStyle w:val="P68B1DB1-Normal8"/>
              <w:keepNext/>
              <w:spacing w:before="40" w:after="0" w:line="240" w:lineRule="auto"/>
              <w:jc w:val="both"/>
              <w:rPr>
                <w:rFonts w:eastAsia="Times New Roman" w:cs="Calibri"/>
                <w:noProof/>
              </w:rPr>
            </w:pPr>
            <w:r>
              <w:rPr>
                <w:noProof/>
              </w:rPr>
              <w:t>Jaunu ēku primārās enerģijas pieprasījums ir vismaz par 20 % zemāks nekā prasības, kas noteiktas gandrīz nulles enerģijas ēkām.</w:t>
            </w:r>
          </w:p>
        </w:tc>
      </w:tr>
      <w:tr w:rsidR="00776A1F" w14:paraId="3E3DE191" w14:textId="77777777">
        <w:trPr>
          <w:trHeight w:val="61"/>
          <w:jc w:val="center"/>
        </w:trPr>
        <w:tc>
          <w:tcPr>
            <w:tcW w:w="1101" w:type="dxa"/>
            <w:shd w:val="clear" w:color="auto" w:fill="C4EFCE"/>
            <w:vAlign w:val="center"/>
          </w:tcPr>
          <w:p w14:paraId="26903038" w14:textId="0E90B29C" w:rsidR="00776A1F" w:rsidRDefault="00D8574B">
            <w:pPr>
              <w:pStyle w:val="P68B1DB1-Normal11"/>
              <w:keepNext/>
              <w:spacing w:after="0" w:line="240" w:lineRule="auto"/>
              <w:jc w:val="center"/>
              <w:rPr>
                <w:noProof/>
              </w:rPr>
            </w:pPr>
            <w:r>
              <w:rPr>
                <w:noProof/>
              </w:rPr>
              <w:t>10.12</w:t>
            </w:r>
          </w:p>
        </w:tc>
        <w:tc>
          <w:tcPr>
            <w:tcW w:w="1231" w:type="dxa"/>
            <w:shd w:val="clear" w:color="auto" w:fill="C4EFCE"/>
            <w:noWrap/>
            <w:vAlign w:val="center"/>
          </w:tcPr>
          <w:p w14:paraId="0496A8A4" w14:textId="19D8C5CA" w:rsidR="00776A1F" w:rsidRDefault="00D8574B">
            <w:pPr>
              <w:pStyle w:val="P68B1DB1-Normal12"/>
              <w:keepNext/>
              <w:spacing w:after="0" w:line="240" w:lineRule="auto"/>
              <w:jc w:val="center"/>
              <w:rPr>
                <w:rFonts w:eastAsia="Times New Roman" w:cstheme="minorHAnsi"/>
                <w:noProof/>
              </w:rPr>
            </w:pPr>
            <w:r>
              <w:rPr>
                <w:noProof/>
              </w:rPr>
              <w:t>TC-C10-i05-RAA</w:t>
            </w:r>
          </w:p>
        </w:tc>
        <w:tc>
          <w:tcPr>
            <w:tcW w:w="1096" w:type="dxa"/>
            <w:shd w:val="clear" w:color="auto" w:fill="C4EFCE"/>
            <w:noWrap/>
            <w:vAlign w:val="center"/>
          </w:tcPr>
          <w:p w14:paraId="22D05C51" w14:textId="779F89BB" w:rsidR="00776A1F" w:rsidRDefault="00D8574B">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2E7266DE" w14:textId="3E73B555" w:rsidR="00776A1F" w:rsidRDefault="00D8574B">
            <w:pPr>
              <w:pStyle w:val="P68B1DB1-Normal12"/>
              <w:keepNext/>
              <w:spacing w:after="0" w:line="240" w:lineRule="auto"/>
              <w:jc w:val="center"/>
              <w:rPr>
                <w:rFonts w:eastAsia="Times New Roman" w:cstheme="minorHAnsi"/>
                <w:noProof/>
              </w:rPr>
            </w:pPr>
            <w:r>
              <w:rPr>
                <w:noProof/>
              </w:rPr>
              <w:t xml:space="preserve">Projektu pabeigšana zivsaimniecības un akvakultūras nozarē </w:t>
            </w:r>
          </w:p>
        </w:tc>
        <w:tc>
          <w:tcPr>
            <w:tcW w:w="1231" w:type="dxa"/>
            <w:shd w:val="clear" w:color="auto" w:fill="C4EFCE"/>
            <w:noWrap/>
            <w:vAlign w:val="center"/>
          </w:tcPr>
          <w:p w14:paraId="75E12B83" w14:textId="77777777" w:rsidR="00776A1F" w:rsidRDefault="00776A1F">
            <w:pPr>
              <w:keepNext/>
              <w:spacing w:after="0" w:line="240" w:lineRule="auto"/>
              <w:jc w:val="center"/>
              <w:rPr>
                <w:rFonts w:eastAsia="Times New Roman" w:cstheme="minorHAnsi"/>
                <w:noProof/>
                <w:sz w:val="16"/>
              </w:rPr>
            </w:pPr>
          </w:p>
        </w:tc>
        <w:tc>
          <w:tcPr>
            <w:tcW w:w="962" w:type="dxa"/>
            <w:shd w:val="clear" w:color="auto" w:fill="C4EFCE"/>
            <w:noWrap/>
            <w:vAlign w:val="center"/>
          </w:tcPr>
          <w:p w14:paraId="5A4F2AC3" w14:textId="78005504" w:rsidR="00776A1F" w:rsidRDefault="00D8574B">
            <w:pPr>
              <w:pStyle w:val="P68B1DB1-Normal12"/>
              <w:keepNext/>
              <w:spacing w:after="0" w:line="240" w:lineRule="auto"/>
              <w:jc w:val="center"/>
              <w:rPr>
                <w:rFonts w:eastAsia="Times New Roman" w:cstheme="minorHAnsi"/>
                <w:noProof/>
              </w:rPr>
            </w:pPr>
            <w:r>
              <w:rPr>
                <w:noProof/>
              </w:rPr>
              <w:t>Skaits</w:t>
            </w:r>
          </w:p>
        </w:tc>
        <w:tc>
          <w:tcPr>
            <w:tcW w:w="961" w:type="dxa"/>
            <w:shd w:val="clear" w:color="auto" w:fill="C4EFCE"/>
            <w:noWrap/>
            <w:vAlign w:val="center"/>
          </w:tcPr>
          <w:p w14:paraId="2A286384" w14:textId="3FCA842C" w:rsidR="00776A1F" w:rsidRDefault="00D8574B">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6A7E8F46" w14:textId="573D606D" w:rsidR="00776A1F" w:rsidRDefault="00D8574B">
            <w:pPr>
              <w:pStyle w:val="P68B1DB1-Normal12"/>
              <w:keepNext/>
              <w:spacing w:after="0" w:line="240" w:lineRule="auto"/>
              <w:jc w:val="center"/>
              <w:rPr>
                <w:rFonts w:eastAsia="Times New Roman" w:cstheme="minorHAnsi"/>
                <w:noProof/>
              </w:rPr>
            </w:pPr>
            <w:r>
              <w:rPr>
                <w:noProof/>
              </w:rPr>
              <w:t>15</w:t>
            </w:r>
          </w:p>
        </w:tc>
        <w:tc>
          <w:tcPr>
            <w:tcW w:w="554" w:type="dxa"/>
            <w:shd w:val="clear" w:color="auto" w:fill="C4EFCE"/>
            <w:noWrap/>
            <w:vAlign w:val="center"/>
          </w:tcPr>
          <w:p w14:paraId="144B65D8" w14:textId="68A92AA2" w:rsidR="00776A1F" w:rsidRDefault="00D8574B">
            <w:pPr>
              <w:pStyle w:val="P68B1DB1-Normal12"/>
              <w:keepNext/>
              <w:spacing w:after="0" w:line="240" w:lineRule="auto"/>
              <w:jc w:val="center"/>
              <w:rPr>
                <w:rFonts w:eastAsia="Times New Roman" w:cstheme="minorHAnsi"/>
                <w:noProof/>
              </w:rPr>
            </w:pPr>
            <w:r>
              <w:rPr>
                <w:noProof/>
              </w:rPr>
              <w:t>1. CET.</w:t>
            </w:r>
          </w:p>
        </w:tc>
        <w:tc>
          <w:tcPr>
            <w:tcW w:w="684" w:type="dxa"/>
            <w:shd w:val="clear" w:color="auto" w:fill="C4EFCE"/>
            <w:noWrap/>
            <w:vAlign w:val="center"/>
          </w:tcPr>
          <w:p w14:paraId="2B8EDB26" w14:textId="3CD57E6A" w:rsidR="00776A1F" w:rsidRDefault="00D8574B">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2BBD1A35" w14:textId="6A68B2CD" w:rsidR="00776A1F" w:rsidRDefault="00D8574B">
            <w:pPr>
              <w:pStyle w:val="P68B1DB1-Normal12"/>
              <w:keepNext/>
              <w:spacing w:after="0" w:line="240" w:lineRule="auto"/>
              <w:jc w:val="both"/>
              <w:rPr>
                <w:noProof/>
              </w:rPr>
            </w:pPr>
            <w:r>
              <w:rPr>
                <w:noProof/>
              </w:rPr>
              <w:t xml:space="preserve">15 projektu pabeigšana, kas saistīti ar zvejas flotes modernizāciju un atjaunošanu, inovāciju zvejniecībā un akvakultūrā, lai uzlabotu energoefektivitāti, procesu modernizāciju, atkritumu rašanās samazināšanu jūrā un aprites ekonomikas veicināšanu visās zvejniecības un akvakultūras nozarēs un zvejas darbību dažādošanu. </w:t>
            </w:r>
          </w:p>
          <w:p w14:paraId="227A05D1" w14:textId="3F225BEF" w:rsidR="00776A1F" w:rsidRDefault="00D8574B">
            <w:pPr>
              <w:pStyle w:val="P68B1DB1-Normal12"/>
              <w:keepNext/>
              <w:spacing w:after="0" w:line="240" w:lineRule="auto"/>
              <w:jc w:val="both"/>
              <w:rPr>
                <w:rFonts w:eastAsia="Times New Roman" w:cstheme="minorHAnsi"/>
                <w:noProof/>
              </w:rPr>
            </w:pPr>
            <w:r>
              <w:rPr>
                <w:noProof/>
              </w:rPr>
              <w:t>Atlases kritēriji nodrošina saskaņā ar šo pasākumu atbalstīto darījumu atbilstību Tehniskajiem norādījumiem “nenodari būtisku kaitējumu” (2021/C58/01), izmantojot izslēgšanas sarakstu (kā izklāstīts pasākuma aprakstā) un prasību par atbilstību attiecīgajiem ES un valsts tiesību aktiem vides jomā.</w:t>
            </w:r>
          </w:p>
        </w:tc>
      </w:tr>
      <w:tr w:rsidR="00776A1F" w14:paraId="7AA31F3F" w14:textId="77777777">
        <w:trPr>
          <w:trHeight w:val="61"/>
          <w:jc w:val="center"/>
        </w:trPr>
        <w:tc>
          <w:tcPr>
            <w:tcW w:w="1101" w:type="dxa"/>
            <w:shd w:val="clear" w:color="auto" w:fill="C4EFCE"/>
            <w:vAlign w:val="center"/>
          </w:tcPr>
          <w:p w14:paraId="2FDBE218" w14:textId="6636866D" w:rsidR="00776A1F" w:rsidRDefault="00D8574B">
            <w:pPr>
              <w:pStyle w:val="P68B1DB1-Normal11"/>
              <w:keepNext/>
              <w:spacing w:before="40" w:after="0" w:line="240" w:lineRule="auto"/>
              <w:jc w:val="center"/>
              <w:rPr>
                <w:noProof/>
              </w:rPr>
            </w:pPr>
            <w:r>
              <w:rPr>
                <w:noProof/>
              </w:rPr>
              <w:t>10.13</w:t>
            </w:r>
          </w:p>
        </w:tc>
        <w:tc>
          <w:tcPr>
            <w:tcW w:w="1231" w:type="dxa"/>
            <w:shd w:val="clear" w:color="auto" w:fill="C4EFCE"/>
            <w:noWrap/>
            <w:vAlign w:val="center"/>
          </w:tcPr>
          <w:p w14:paraId="217D89A3" w14:textId="2D6DE9DE" w:rsidR="00776A1F" w:rsidRDefault="00D8574B">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681600AA" w14:textId="32CC34AF" w:rsidR="00776A1F" w:rsidRDefault="00D8574B">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F245A6B" w14:textId="015E3869" w:rsidR="00776A1F" w:rsidRDefault="00D8574B">
            <w:pPr>
              <w:pStyle w:val="P68B1DB1-Normal12"/>
              <w:keepNext/>
              <w:spacing w:before="40" w:after="0" w:line="240" w:lineRule="auto"/>
              <w:jc w:val="center"/>
              <w:rPr>
                <w:rFonts w:eastAsia="Times New Roman" w:cstheme="minorHAnsi"/>
                <w:noProof/>
              </w:rPr>
            </w:pPr>
            <w:r>
              <w:rPr>
                <w:noProof/>
              </w:rPr>
              <w:t>Līguma parakstīšana par daudzfunkcionālu pētniecības kuģi</w:t>
            </w:r>
          </w:p>
        </w:tc>
        <w:tc>
          <w:tcPr>
            <w:tcW w:w="1231" w:type="dxa"/>
            <w:shd w:val="clear" w:color="auto" w:fill="C4EFCE"/>
            <w:noWrap/>
          </w:tcPr>
          <w:p w14:paraId="20AD7A7D" w14:textId="4BE3559E" w:rsidR="00776A1F" w:rsidRDefault="00D8574B">
            <w:pPr>
              <w:pStyle w:val="P68B1DB1-Normal12"/>
              <w:keepNext/>
              <w:spacing w:before="40" w:after="0" w:line="240" w:lineRule="auto"/>
              <w:jc w:val="center"/>
              <w:rPr>
                <w:rFonts w:eastAsia="Times New Roman" w:cstheme="minorHAnsi"/>
                <w:noProof/>
              </w:rPr>
            </w:pPr>
            <w:r>
              <w:rPr>
                <w:noProof/>
              </w:rPr>
              <w:t>Līguma parakstīšana par daudzfunkcionālu pētniecības kuģi</w:t>
            </w:r>
          </w:p>
        </w:tc>
        <w:tc>
          <w:tcPr>
            <w:tcW w:w="962" w:type="dxa"/>
            <w:shd w:val="clear" w:color="auto" w:fill="C4EFCE"/>
            <w:noWrap/>
            <w:vAlign w:val="center"/>
          </w:tcPr>
          <w:p w14:paraId="3A40C90E" w14:textId="77777777" w:rsidR="00776A1F" w:rsidRDefault="00776A1F">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26DE80A" w14:textId="77777777" w:rsidR="00776A1F" w:rsidRDefault="00776A1F">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2D6BAC30" w14:textId="77777777" w:rsidR="00776A1F" w:rsidRDefault="00776A1F">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16B97E23" w14:textId="3AF81EB9" w:rsidR="00776A1F" w:rsidRDefault="00D8574B">
            <w:pPr>
              <w:pStyle w:val="P68B1DB1-Normal12"/>
              <w:keepNext/>
              <w:spacing w:before="40" w:after="0" w:line="240" w:lineRule="auto"/>
              <w:jc w:val="center"/>
              <w:rPr>
                <w:rFonts w:eastAsia="Times New Roman" w:cstheme="minorHAnsi"/>
                <w:noProof/>
              </w:rPr>
            </w:pPr>
            <w:r>
              <w:rPr>
                <w:noProof/>
              </w:rPr>
              <w:t>2. CET.</w:t>
            </w:r>
          </w:p>
        </w:tc>
        <w:tc>
          <w:tcPr>
            <w:tcW w:w="684" w:type="dxa"/>
            <w:shd w:val="clear" w:color="auto" w:fill="C4EFCE"/>
            <w:noWrap/>
            <w:vAlign w:val="center"/>
          </w:tcPr>
          <w:p w14:paraId="6528D03E" w14:textId="5BBF66E9" w:rsidR="00776A1F" w:rsidRDefault="00D8574B">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8DBF254" w14:textId="4B711299" w:rsidR="00776A1F" w:rsidRDefault="00D8574B">
            <w:pPr>
              <w:pStyle w:val="P68B1DB1-Bodytext1013"/>
              <w:spacing w:after="0" w:line="240" w:lineRule="auto"/>
              <w:jc w:val="both"/>
              <w:rPr>
                <w:rFonts w:cstheme="minorHAnsi"/>
                <w:noProof/>
              </w:rPr>
            </w:pPr>
            <w:r>
              <w:rPr>
                <w:noProof/>
              </w:rPr>
              <w:t>Daudzfunkcionāla pētniecības kuģa būvniecības līguma parakstīšana.</w:t>
            </w:r>
          </w:p>
          <w:p w14:paraId="69C9B7F5" w14:textId="2745F682" w:rsidR="00776A1F" w:rsidRDefault="00D8574B">
            <w:pPr>
              <w:pStyle w:val="P68B1DB1-Bodytext1013"/>
              <w:spacing w:after="0" w:line="240" w:lineRule="auto"/>
              <w:jc w:val="both"/>
              <w:rPr>
                <w:rFonts w:cstheme="minorHAnsi"/>
                <w:noProof/>
              </w:rPr>
            </w:pPr>
            <w:r>
              <w:rPr>
                <w:noProof/>
              </w:rPr>
              <w:t>Saskaņā ar darba uzdevumu ir jāpiemēro pasākuma aprakstā izklāstītais NBK nosacījums.</w:t>
            </w:r>
          </w:p>
        </w:tc>
      </w:tr>
      <w:tr w:rsidR="00776A1F" w14:paraId="2A3E48E3" w14:textId="77777777">
        <w:trPr>
          <w:trHeight w:val="61"/>
          <w:jc w:val="center"/>
        </w:trPr>
        <w:tc>
          <w:tcPr>
            <w:tcW w:w="1101" w:type="dxa"/>
            <w:shd w:val="clear" w:color="auto" w:fill="C4EFCE"/>
            <w:vAlign w:val="center"/>
          </w:tcPr>
          <w:p w14:paraId="5F10CBE7" w14:textId="4A79894B" w:rsidR="00776A1F" w:rsidRDefault="00D8574B">
            <w:pPr>
              <w:pStyle w:val="P68B1DB1-Normal11"/>
              <w:keepNext/>
              <w:spacing w:before="40" w:after="0" w:line="240" w:lineRule="auto"/>
              <w:jc w:val="center"/>
              <w:rPr>
                <w:noProof/>
              </w:rPr>
            </w:pPr>
            <w:r>
              <w:rPr>
                <w:noProof/>
              </w:rPr>
              <w:t>10.14</w:t>
            </w:r>
          </w:p>
        </w:tc>
        <w:tc>
          <w:tcPr>
            <w:tcW w:w="1231" w:type="dxa"/>
            <w:shd w:val="clear" w:color="auto" w:fill="C4EFCE"/>
            <w:noWrap/>
            <w:vAlign w:val="center"/>
          </w:tcPr>
          <w:p w14:paraId="226B4B24" w14:textId="77A8C67B" w:rsidR="00776A1F" w:rsidRDefault="00D8574B">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92E5EFA" w14:textId="343F1A1A" w:rsidR="00776A1F" w:rsidRDefault="00D8574B">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52FE4774" w14:textId="73D91BDA" w:rsidR="00776A1F" w:rsidRDefault="00D8574B">
            <w:pPr>
              <w:pStyle w:val="P68B1DB1-Normal12"/>
              <w:keepNext/>
              <w:spacing w:before="40" w:after="0" w:line="240" w:lineRule="auto"/>
              <w:jc w:val="center"/>
              <w:rPr>
                <w:rFonts w:eastAsia="Times New Roman" w:cstheme="minorHAnsi"/>
                <w:noProof/>
              </w:rPr>
            </w:pPr>
            <w:r>
              <w:rPr>
                <w:noProof/>
              </w:rPr>
              <w:t>Energoefektīva daudzfunkcionāla pētniecības kuģa piegāde</w:t>
            </w:r>
          </w:p>
        </w:tc>
        <w:tc>
          <w:tcPr>
            <w:tcW w:w="1231" w:type="dxa"/>
            <w:shd w:val="clear" w:color="auto" w:fill="C4EFCE"/>
            <w:noWrap/>
            <w:vAlign w:val="center"/>
          </w:tcPr>
          <w:p w14:paraId="0008148C" w14:textId="6B0E742D" w:rsidR="00776A1F" w:rsidRDefault="00D8574B">
            <w:pPr>
              <w:pStyle w:val="P68B1DB1-Normal12"/>
              <w:keepNext/>
              <w:spacing w:before="40" w:after="0" w:line="240" w:lineRule="auto"/>
              <w:jc w:val="center"/>
              <w:rPr>
                <w:rFonts w:eastAsia="Times New Roman" w:cstheme="minorHAnsi"/>
                <w:noProof/>
              </w:rPr>
            </w:pPr>
            <w:r>
              <w:rPr>
                <w:noProof/>
              </w:rPr>
              <w:t>Daudzfunkcionāla pētniecības kuģa piegāde</w:t>
            </w:r>
          </w:p>
        </w:tc>
        <w:tc>
          <w:tcPr>
            <w:tcW w:w="962" w:type="dxa"/>
            <w:shd w:val="clear" w:color="auto" w:fill="C4EFCE"/>
            <w:noWrap/>
            <w:vAlign w:val="center"/>
          </w:tcPr>
          <w:p w14:paraId="5108E572" w14:textId="77777777" w:rsidR="00776A1F" w:rsidRDefault="00776A1F">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5D573528" w14:textId="77777777" w:rsidR="00776A1F" w:rsidRDefault="00776A1F">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59F38D6" w14:textId="77777777" w:rsidR="00776A1F" w:rsidRDefault="00776A1F">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78546CDD" w14:textId="248BD776" w:rsidR="00776A1F" w:rsidRDefault="00D8574B">
            <w:pPr>
              <w:pStyle w:val="P68B1DB1-Normal12"/>
              <w:keepNext/>
              <w:spacing w:before="40" w:after="0" w:line="240" w:lineRule="auto"/>
              <w:jc w:val="center"/>
              <w:rPr>
                <w:rFonts w:eastAsia="Times New Roman" w:cstheme="minorHAnsi"/>
                <w:noProof/>
              </w:rPr>
            </w:pPr>
            <w:r>
              <w:rPr>
                <w:noProof/>
              </w:rPr>
              <w:t>2. CET.</w:t>
            </w:r>
          </w:p>
        </w:tc>
        <w:tc>
          <w:tcPr>
            <w:tcW w:w="684" w:type="dxa"/>
            <w:shd w:val="clear" w:color="auto" w:fill="C4EFCE"/>
            <w:noWrap/>
            <w:vAlign w:val="center"/>
          </w:tcPr>
          <w:p w14:paraId="59E155B1" w14:textId="23D5A01D" w:rsidR="00776A1F" w:rsidRDefault="00D8574B">
            <w:pPr>
              <w:pStyle w:val="P68B1DB1-Normal12"/>
              <w:keepNext/>
              <w:spacing w:before="40" w:after="0" w:line="240" w:lineRule="auto"/>
              <w:jc w:val="center"/>
              <w:rPr>
                <w:rFonts w:eastAsia="Times New Roman" w:cstheme="minorHAnsi"/>
                <w:noProof/>
              </w:rPr>
            </w:pPr>
            <w:r>
              <w:rPr>
                <w:noProof/>
              </w:rPr>
              <w:t>2026</w:t>
            </w:r>
          </w:p>
        </w:tc>
        <w:tc>
          <w:tcPr>
            <w:tcW w:w="5223" w:type="dxa"/>
            <w:shd w:val="clear" w:color="auto" w:fill="C4EFCE"/>
            <w:vAlign w:val="center"/>
          </w:tcPr>
          <w:p w14:paraId="34A1476F" w14:textId="225C975F" w:rsidR="00776A1F" w:rsidRDefault="00D8574B">
            <w:pPr>
              <w:pStyle w:val="P68B1DB1-Normal12"/>
              <w:keepNext/>
              <w:spacing w:before="40" w:after="0" w:line="240" w:lineRule="auto"/>
              <w:jc w:val="both"/>
              <w:rPr>
                <w:rFonts w:eastAsia="Times New Roman" w:cstheme="minorHAnsi"/>
                <w:noProof/>
              </w:rPr>
            </w:pPr>
            <w:r>
              <w:rPr>
                <w:noProof/>
              </w:rPr>
              <w:t xml:space="preserve">Energoefektīva daudzfunkcionāla pētniecības kuģa piegāde. Tā spēj darboties Madeiras autonomā reģiona seklajos ūdeņos ap arhipelāga salām, kā arī atklātā jūrā. </w:t>
            </w:r>
          </w:p>
        </w:tc>
      </w:tr>
      <w:tr w:rsidR="00776A1F" w14:paraId="091A1A6A" w14:textId="77777777">
        <w:trPr>
          <w:trHeight w:val="61"/>
          <w:jc w:val="center"/>
        </w:trPr>
        <w:tc>
          <w:tcPr>
            <w:tcW w:w="1101" w:type="dxa"/>
            <w:shd w:val="clear" w:color="auto" w:fill="C4EFCE"/>
            <w:vAlign w:val="center"/>
          </w:tcPr>
          <w:p w14:paraId="411A72EE" w14:textId="6F64B9D4" w:rsidR="00776A1F" w:rsidRDefault="00D8574B">
            <w:pPr>
              <w:pStyle w:val="P68B1DB1-Normal11"/>
              <w:keepNext/>
              <w:spacing w:before="40" w:after="0" w:line="240" w:lineRule="auto"/>
              <w:jc w:val="center"/>
              <w:rPr>
                <w:noProof/>
              </w:rPr>
            </w:pPr>
            <w:r>
              <w:rPr>
                <w:noProof/>
              </w:rPr>
              <w:t>10.15</w:t>
            </w:r>
          </w:p>
        </w:tc>
        <w:tc>
          <w:tcPr>
            <w:tcW w:w="1231" w:type="dxa"/>
            <w:shd w:val="clear" w:color="auto" w:fill="C4EFCE"/>
            <w:noWrap/>
            <w:vAlign w:val="center"/>
          </w:tcPr>
          <w:p w14:paraId="2EB7E203" w14:textId="651B5F2E" w:rsidR="00776A1F" w:rsidRDefault="00D8574B">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5F6666DA" w14:textId="7D095AF5" w:rsidR="00776A1F" w:rsidRDefault="00D8574B">
            <w:pPr>
              <w:pStyle w:val="P68B1DB1-Normal12"/>
              <w:keepNext/>
              <w:spacing w:before="40" w:after="0" w:line="240" w:lineRule="auto"/>
              <w:jc w:val="center"/>
              <w:rPr>
                <w:rFonts w:eastAsia="Times New Roman" w:cstheme="minorHAnsi"/>
                <w:noProof/>
              </w:rPr>
            </w:pPr>
            <w:r>
              <w:rPr>
                <w:noProof/>
              </w:rPr>
              <w:t>T</w:t>
            </w:r>
          </w:p>
        </w:tc>
        <w:tc>
          <w:tcPr>
            <w:tcW w:w="1640" w:type="dxa"/>
            <w:shd w:val="clear" w:color="auto" w:fill="C4EFCE"/>
            <w:noWrap/>
            <w:vAlign w:val="center"/>
          </w:tcPr>
          <w:p w14:paraId="7684AA42" w14:textId="6AF3654F" w:rsidR="00776A1F" w:rsidRDefault="00D8574B">
            <w:pPr>
              <w:pStyle w:val="P68B1DB1-Normal12"/>
              <w:keepNext/>
              <w:spacing w:before="40" w:after="0" w:line="240" w:lineRule="auto"/>
              <w:jc w:val="center"/>
              <w:rPr>
                <w:rFonts w:eastAsia="Times New Roman" w:cstheme="minorHAnsi"/>
                <w:noProof/>
              </w:rPr>
            </w:pPr>
            <w:r>
              <w:rPr>
                <w:noProof/>
              </w:rPr>
              <w:t>Divu autonomu bezpilota transportlīdzekļu piegāde</w:t>
            </w:r>
          </w:p>
        </w:tc>
        <w:tc>
          <w:tcPr>
            <w:tcW w:w="1231" w:type="dxa"/>
            <w:shd w:val="clear" w:color="auto" w:fill="C4EFCE"/>
            <w:noWrap/>
            <w:vAlign w:val="center"/>
          </w:tcPr>
          <w:p w14:paraId="5A84A9D9" w14:textId="16826EBA" w:rsidR="00776A1F" w:rsidRDefault="00D8574B">
            <w:pPr>
              <w:pStyle w:val="P68B1DB1-Normal12"/>
              <w:keepNext/>
              <w:spacing w:before="40" w:after="0" w:line="240" w:lineRule="auto"/>
              <w:jc w:val="center"/>
              <w:rPr>
                <w:rFonts w:eastAsia="Times New Roman" w:cstheme="minorHAnsi"/>
                <w:noProof/>
              </w:rPr>
            </w:pPr>
            <w:r>
              <w:rPr>
                <w:noProof/>
              </w:rPr>
              <w:t xml:space="preserve">Divu autonomu transportlīdzekļu piegāde </w:t>
            </w:r>
          </w:p>
        </w:tc>
        <w:tc>
          <w:tcPr>
            <w:tcW w:w="962" w:type="dxa"/>
            <w:shd w:val="clear" w:color="auto" w:fill="C4EFCE"/>
            <w:noWrap/>
            <w:vAlign w:val="center"/>
          </w:tcPr>
          <w:p w14:paraId="2E74DE0C" w14:textId="24DEA61F" w:rsidR="00776A1F" w:rsidRDefault="00D8574B">
            <w:pPr>
              <w:pStyle w:val="P68B1DB1-Normal12"/>
              <w:keepNext/>
              <w:spacing w:before="40" w:after="0" w:line="240" w:lineRule="auto"/>
              <w:jc w:val="center"/>
              <w:rPr>
                <w:rFonts w:eastAsia="Times New Roman" w:cstheme="minorHAnsi"/>
                <w:noProof/>
              </w:rPr>
            </w:pPr>
            <w:r>
              <w:rPr>
                <w:noProof/>
              </w:rPr>
              <w:t>Skaits</w:t>
            </w:r>
          </w:p>
        </w:tc>
        <w:tc>
          <w:tcPr>
            <w:tcW w:w="961" w:type="dxa"/>
            <w:shd w:val="clear" w:color="auto" w:fill="C4EFCE"/>
            <w:noWrap/>
            <w:vAlign w:val="center"/>
          </w:tcPr>
          <w:p w14:paraId="547741A2" w14:textId="0C97B0DB" w:rsidR="00776A1F" w:rsidRDefault="00D8574B">
            <w:pPr>
              <w:pStyle w:val="P68B1DB1-Normal12"/>
              <w:keepNext/>
              <w:spacing w:before="40" w:after="0" w:line="240" w:lineRule="auto"/>
              <w:jc w:val="center"/>
              <w:rPr>
                <w:rFonts w:eastAsia="Times New Roman" w:cstheme="minorHAnsi"/>
                <w:noProof/>
              </w:rPr>
            </w:pPr>
            <w:r>
              <w:rPr>
                <w:noProof/>
              </w:rPr>
              <w:t>0</w:t>
            </w:r>
          </w:p>
        </w:tc>
        <w:tc>
          <w:tcPr>
            <w:tcW w:w="690" w:type="dxa"/>
            <w:shd w:val="clear" w:color="auto" w:fill="C4EFCE"/>
            <w:noWrap/>
            <w:vAlign w:val="center"/>
          </w:tcPr>
          <w:p w14:paraId="7E1DC46E" w14:textId="326880E0" w:rsidR="00776A1F" w:rsidRDefault="00D8574B">
            <w:pPr>
              <w:pStyle w:val="P68B1DB1-Normal12"/>
              <w:keepNext/>
              <w:spacing w:before="40" w:after="0" w:line="240" w:lineRule="auto"/>
              <w:jc w:val="center"/>
              <w:rPr>
                <w:rFonts w:eastAsia="Times New Roman" w:cstheme="minorHAnsi"/>
                <w:noProof/>
              </w:rPr>
            </w:pPr>
            <w:r>
              <w:rPr>
                <w:noProof/>
              </w:rPr>
              <w:t>2</w:t>
            </w:r>
          </w:p>
        </w:tc>
        <w:tc>
          <w:tcPr>
            <w:tcW w:w="554" w:type="dxa"/>
            <w:shd w:val="clear" w:color="auto" w:fill="C4EFCE"/>
            <w:noWrap/>
            <w:vAlign w:val="center"/>
          </w:tcPr>
          <w:p w14:paraId="5705B555" w14:textId="6E24D781" w:rsidR="00776A1F" w:rsidRDefault="00D8574B">
            <w:pPr>
              <w:pStyle w:val="P68B1DB1-Normal12"/>
              <w:keepNext/>
              <w:spacing w:before="40" w:after="0" w:line="240" w:lineRule="auto"/>
              <w:jc w:val="center"/>
              <w:rPr>
                <w:rFonts w:eastAsia="Times New Roman" w:cstheme="minorHAnsi"/>
                <w:noProof/>
              </w:rPr>
            </w:pPr>
            <w:r>
              <w:rPr>
                <w:noProof/>
              </w:rPr>
              <w:t>3. CET.</w:t>
            </w:r>
          </w:p>
        </w:tc>
        <w:tc>
          <w:tcPr>
            <w:tcW w:w="684" w:type="dxa"/>
            <w:shd w:val="clear" w:color="auto" w:fill="C4EFCE"/>
            <w:noWrap/>
            <w:vAlign w:val="center"/>
          </w:tcPr>
          <w:p w14:paraId="110A6402" w14:textId="166C70AB" w:rsidR="00776A1F" w:rsidRDefault="00D8574B">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92B0CE3" w14:textId="77777777" w:rsidR="00776A1F" w:rsidRDefault="00D8574B">
            <w:pPr>
              <w:pStyle w:val="P68B1DB1-Bodytext1013"/>
              <w:spacing w:after="0" w:line="240" w:lineRule="auto"/>
              <w:jc w:val="both"/>
              <w:rPr>
                <w:rFonts w:cstheme="minorHAnsi"/>
                <w:noProof/>
              </w:rPr>
            </w:pPr>
            <w:r>
              <w:rPr>
                <w:noProof/>
              </w:rPr>
              <w:t xml:space="preserve">Divu autonomu bezpilota transportlīdzekļu piegāde: </w:t>
            </w:r>
          </w:p>
          <w:p w14:paraId="639A4637" w14:textId="77777777" w:rsidR="00776A1F" w:rsidRDefault="00D8574B">
            <w:pPr>
              <w:pStyle w:val="P68B1DB1-Bodytext1013"/>
              <w:widowControl/>
              <w:numPr>
                <w:ilvl w:val="0"/>
                <w:numId w:val="79"/>
              </w:numPr>
              <w:spacing w:after="0" w:line="240" w:lineRule="auto"/>
              <w:jc w:val="both"/>
              <w:rPr>
                <w:rFonts w:cstheme="minorHAnsi"/>
                <w:noProof/>
              </w:rPr>
            </w:pPr>
            <w:r>
              <w:rPr>
                <w:noProof/>
              </w:rPr>
              <w:t xml:space="preserve">Autonomais transportlīdzeklis ar virsmas laukumu (USV) </w:t>
            </w:r>
          </w:p>
          <w:p w14:paraId="56AB6A4E" w14:textId="2C32EDBC" w:rsidR="00776A1F" w:rsidRDefault="00D8574B">
            <w:pPr>
              <w:pStyle w:val="P68B1DB1-Bodytext1013"/>
              <w:widowControl/>
              <w:numPr>
                <w:ilvl w:val="0"/>
                <w:numId w:val="79"/>
              </w:numPr>
              <w:spacing w:after="0" w:line="240" w:lineRule="auto"/>
              <w:jc w:val="both"/>
              <w:rPr>
                <w:rFonts w:cstheme="minorHAnsi"/>
                <w:noProof/>
              </w:rPr>
            </w:pPr>
            <w:r>
              <w:rPr>
                <w:noProof/>
              </w:rPr>
              <w:t>Zemūdens autonomais transportlīdzeklis (AUV) 1000M</w:t>
            </w:r>
          </w:p>
        </w:tc>
      </w:tr>
      <w:tr w:rsidR="00776A1F" w14:paraId="12E1396B" w14:textId="77777777">
        <w:trPr>
          <w:trHeight w:val="61"/>
          <w:jc w:val="center"/>
        </w:trPr>
        <w:tc>
          <w:tcPr>
            <w:tcW w:w="1101" w:type="dxa"/>
            <w:shd w:val="clear" w:color="auto" w:fill="C4EFCE"/>
            <w:vAlign w:val="center"/>
          </w:tcPr>
          <w:p w14:paraId="56FD233F" w14:textId="75E58EAE" w:rsidR="00776A1F" w:rsidRDefault="00D8574B">
            <w:pPr>
              <w:pStyle w:val="P68B1DB1-Normal11"/>
              <w:keepNext/>
              <w:spacing w:before="40" w:after="0" w:line="240" w:lineRule="auto"/>
              <w:jc w:val="center"/>
              <w:rPr>
                <w:noProof/>
              </w:rPr>
            </w:pPr>
            <w:r>
              <w:rPr>
                <w:noProof/>
              </w:rPr>
              <w:t>10.16</w:t>
            </w:r>
          </w:p>
        </w:tc>
        <w:tc>
          <w:tcPr>
            <w:tcW w:w="1231" w:type="dxa"/>
            <w:shd w:val="clear" w:color="auto" w:fill="C4EFCE"/>
            <w:noWrap/>
            <w:vAlign w:val="center"/>
          </w:tcPr>
          <w:p w14:paraId="483DF909" w14:textId="5978A081" w:rsidR="00776A1F" w:rsidRDefault="00D8574B">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C879D3F" w14:textId="0AE81711" w:rsidR="00776A1F" w:rsidRDefault="00D8574B">
            <w:pPr>
              <w:pStyle w:val="P68B1DB1-Normal12"/>
              <w:keepNext/>
              <w:spacing w:before="40" w:after="0" w:line="240" w:lineRule="auto"/>
              <w:jc w:val="center"/>
              <w:rPr>
                <w:rFonts w:eastAsia="Times New Roman"/>
                <w:noProof/>
              </w:rPr>
            </w:pPr>
            <w:r>
              <w:rPr>
                <w:noProof/>
              </w:rPr>
              <w:t>M</w:t>
            </w:r>
          </w:p>
        </w:tc>
        <w:tc>
          <w:tcPr>
            <w:tcW w:w="1640" w:type="dxa"/>
            <w:shd w:val="clear" w:color="auto" w:fill="C4EFCE"/>
            <w:noWrap/>
            <w:vAlign w:val="center"/>
          </w:tcPr>
          <w:p w14:paraId="49A83E98" w14:textId="3C7FA536" w:rsidR="00776A1F" w:rsidRDefault="00D8574B">
            <w:pPr>
              <w:pStyle w:val="P68B1DB1-Normal12"/>
              <w:keepNext/>
              <w:spacing w:before="40" w:after="0" w:line="240" w:lineRule="auto"/>
              <w:jc w:val="center"/>
              <w:rPr>
                <w:rFonts w:eastAsia="Times New Roman" w:cstheme="minorHAnsi"/>
                <w:noProof/>
              </w:rPr>
            </w:pPr>
            <w:r>
              <w:rPr>
                <w:noProof/>
              </w:rPr>
              <w:t>Autonoma bezpilota transportlīdzekļa piegāde</w:t>
            </w:r>
          </w:p>
        </w:tc>
        <w:tc>
          <w:tcPr>
            <w:tcW w:w="1231" w:type="dxa"/>
            <w:shd w:val="clear" w:color="auto" w:fill="C4EFCE"/>
            <w:noWrap/>
            <w:vAlign w:val="center"/>
          </w:tcPr>
          <w:p w14:paraId="56763CB6" w14:textId="04C99C4E" w:rsidR="00776A1F" w:rsidRDefault="00D8574B">
            <w:pPr>
              <w:pStyle w:val="P68B1DB1-Normal12"/>
              <w:keepNext/>
              <w:spacing w:before="40" w:after="0" w:line="240" w:lineRule="auto"/>
              <w:jc w:val="center"/>
              <w:rPr>
                <w:rFonts w:eastAsia="Times New Roman" w:cstheme="minorHAnsi"/>
                <w:noProof/>
              </w:rPr>
            </w:pPr>
            <w:r>
              <w:rPr>
                <w:noProof/>
              </w:rPr>
              <w:t>Autonoma bezpilota transportlīdzekļa piegāde</w:t>
            </w:r>
          </w:p>
        </w:tc>
        <w:tc>
          <w:tcPr>
            <w:tcW w:w="962" w:type="dxa"/>
            <w:shd w:val="clear" w:color="auto" w:fill="C4EFCE"/>
            <w:noWrap/>
            <w:vAlign w:val="center"/>
          </w:tcPr>
          <w:p w14:paraId="1103F6C0" w14:textId="457E077F" w:rsidR="00776A1F" w:rsidRDefault="00776A1F">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01DD50D" w14:textId="0EF25E98" w:rsidR="00776A1F" w:rsidRDefault="00776A1F">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383417D" w14:textId="03239D54" w:rsidR="00776A1F" w:rsidRDefault="00776A1F">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0D745C96" w14:textId="508646F6" w:rsidR="00776A1F" w:rsidRDefault="00D8574B">
            <w:pPr>
              <w:pStyle w:val="P68B1DB1-Normal12"/>
              <w:keepNext/>
              <w:spacing w:before="40" w:after="0" w:line="240" w:lineRule="auto"/>
              <w:jc w:val="center"/>
              <w:rPr>
                <w:rFonts w:eastAsia="Times New Roman" w:cstheme="minorHAnsi"/>
                <w:noProof/>
              </w:rPr>
            </w:pPr>
            <w:r>
              <w:rPr>
                <w:noProof/>
              </w:rPr>
              <w:t>4. CET.</w:t>
            </w:r>
          </w:p>
        </w:tc>
        <w:tc>
          <w:tcPr>
            <w:tcW w:w="684" w:type="dxa"/>
            <w:shd w:val="clear" w:color="auto" w:fill="C4EFCE"/>
            <w:noWrap/>
            <w:vAlign w:val="center"/>
          </w:tcPr>
          <w:p w14:paraId="4410A9DA" w14:textId="4A5D18FE" w:rsidR="00776A1F" w:rsidRDefault="00D8574B">
            <w:pPr>
              <w:pStyle w:val="P68B1DB1-Normal12"/>
              <w:keepNext/>
              <w:spacing w:before="40" w:after="0" w:line="240" w:lineRule="auto"/>
              <w:jc w:val="center"/>
              <w:rPr>
                <w:rFonts w:eastAsia="Times New Roman" w:cstheme="minorHAnsi"/>
                <w:noProof/>
              </w:rPr>
            </w:pPr>
            <w:r>
              <w:rPr>
                <w:noProof/>
              </w:rPr>
              <w:t>2025</w:t>
            </w:r>
          </w:p>
        </w:tc>
        <w:tc>
          <w:tcPr>
            <w:tcW w:w="5223" w:type="dxa"/>
            <w:shd w:val="clear" w:color="auto" w:fill="C4EFCE"/>
            <w:vAlign w:val="center"/>
          </w:tcPr>
          <w:p w14:paraId="4E50F559" w14:textId="7094A901" w:rsidR="00776A1F" w:rsidRDefault="00D8574B">
            <w:pPr>
              <w:pStyle w:val="P68B1DB1-Normal12"/>
              <w:keepNext/>
              <w:spacing w:before="40" w:after="0" w:line="240" w:lineRule="auto"/>
              <w:jc w:val="both"/>
              <w:rPr>
                <w:rFonts w:eastAsia="Times New Roman" w:cstheme="minorHAnsi"/>
                <w:noProof/>
              </w:rPr>
            </w:pPr>
            <w:r>
              <w:rPr>
                <w:noProof/>
              </w:rPr>
              <w:t xml:space="preserve">Autonoma zemūdens bezpilota transportlīdzekļa 6000M piegāde. </w:t>
            </w:r>
          </w:p>
        </w:tc>
      </w:tr>
    </w:tbl>
    <w:p w14:paraId="2BA4F9E6" w14:textId="4FDF11B3" w:rsidR="00776A1F" w:rsidRDefault="00776A1F">
      <w:pPr>
        <w:rPr>
          <w:noProof/>
        </w:rPr>
      </w:pPr>
    </w:p>
    <w:p w14:paraId="57C9C0BA"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4CBC1AE8" w14:textId="378A82D4"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60"/>
        </w:sectPr>
      </w:pPr>
    </w:p>
    <w:p w14:paraId="29ABB686" w14:textId="06439B4A" w:rsidR="00776A1F" w:rsidRDefault="00D8574B">
      <w:pPr>
        <w:pStyle w:val="P68B1DB1-Normal3"/>
        <w:spacing w:before="40" w:after="0" w:line="259" w:lineRule="auto"/>
        <w:ind w:left="130" w:firstLine="720"/>
        <w:jc w:val="both"/>
        <w:outlineLvl w:val="2"/>
        <w:rPr>
          <w:rFonts w:eastAsiaTheme="minorEastAsia" w:cs="Times New Roman"/>
          <w:noProof/>
        </w:rPr>
      </w:pPr>
      <w:r>
        <w:rPr>
          <w:noProof/>
        </w:rPr>
        <w:t>J.3. Aizdevumam pieteikto reformu un investīciju apraksts</w:t>
      </w:r>
    </w:p>
    <w:p w14:paraId="6F09459D" w14:textId="77777777"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Ieguldījums TC-C10-i03: Atlantijas aizsardzības operāciju centrs un jūras spēku platforma</w:t>
      </w:r>
    </w:p>
    <w:p w14:paraId="51C079D1" w14:textId="77777777" w:rsidR="00776A1F" w:rsidRDefault="00D8574B">
      <w:pPr>
        <w:pStyle w:val="P68B1DB1-Normal4"/>
        <w:keepNext/>
        <w:spacing w:before="40" w:after="0" w:line="259" w:lineRule="auto"/>
        <w:jc w:val="both"/>
        <w:rPr>
          <w:rFonts w:eastAsia="Times New Roman"/>
          <w:noProof/>
        </w:rPr>
      </w:pPr>
      <w:r>
        <w:rPr>
          <w:noProof/>
        </w:rPr>
        <w:t xml:space="preserve">Šā ieguldījuma mērķis ir palīdzēt risināt vairākas problēmas, tostarp uzraudzīt okeāna un atmosfēras bioģeoķīmisko dimensiju; kartēt un novērtēt minerālresursus un visus citus neatjaunojamos jūras augsnes un dzīļu resursus, kas ir Portugāles jurisdikcijā; pastāvīgi kartēt dzīvos resursus (atjaunojamos resursus) un uzraudzīt to attīstību; apkarot pārkāpumus un nelikumības okeāna rūpniecības vērtību ķēdēs Portugāles jurisdikcijā esošajā okeānā; reaģēšana uz dabas un cilvēka izraisītām katastrofām; palīdzēt mazināt kaitīgas cilvēka darbības okeānā (novēršot piesārņojuma, piemēram, makroplastmasas, ietekmi); palielināt spēju reģistrēt visu jūrā iegūto informāciju; radīt jaunas zināšanas un radīt zināšanas, apvienojot informāciju un izstrādājot prognozēšanas modeļus ar atšķirīgu laika un telpisko mērogu. </w:t>
      </w:r>
    </w:p>
    <w:p w14:paraId="600E2269" w14:textId="72E35649" w:rsidR="00776A1F" w:rsidRDefault="00D8574B">
      <w:pPr>
        <w:pStyle w:val="P68B1DB1-Normal4"/>
        <w:keepNext/>
        <w:spacing w:before="40" w:after="0" w:line="259" w:lineRule="auto"/>
        <w:jc w:val="both"/>
        <w:rPr>
          <w:rFonts w:eastAsia="Times New Roman"/>
          <w:noProof/>
        </w:rPr>
      </w:pPr>
      <w:r>
        <w:rPr>
          <w:noProof/>
        </w:rPr>
        <w:t xml:space="preserve">Investīcijas ietver sistēmas izveidi, kuras pamatā ir trīs galvenie pīlāri: I pīlārs — daudzfunkcionāla kuģu platforma, kurai ir vairākas stiprās puses un kura kalpo šādiem mērķiem: okeānu monitorings, okeanogrāfiskie pētījumi, jūras ekoloģijas monitorings, jaunu tehnoloģiju integrēšana okeānu monitoringam un okeānu intervencei, tostarp gaisa un zemūdens robotikas sistēmas); II pīlārs — Operāciju centrs, kas sakņojas izpratnes veicināšanas sistēmā, kuras pamatā ir valsts jūras datubāze un digitālais dvīnis, un pētniecības, izstrādes, eksperimentēšanas un inovācijas centru tīkls, lai stiprinātu līdzekļus okeānu novērošanai, palīdzētu sasniegt mērķi izveidot digitālo okeānu, veicinātu zināšanas un rastu risinājumus okeāna intervences pasākumiem, piemēram, datu vākšana no gaisa, jūras un zemūdenēm, zināšanas par okeāna parādībām un okeāna kartēšana zinātniskiem mērķiem; un III pīlārs — Alfeite Arsenal Academy (Academy 4.0). I pīlārs ir daudzfunkcionālas platformas būvniecība, progresīvo tehnoloģiju integrēšana un okeāna novērošanas kuģa un okeanogrāfiskās pētniecības kuģa funkcionalitātes paplašināšana, ietverot citus scenārijus, piemēram, naftas noplūdi vai plastmasas, aļģu vai želejas ziedēšanu) vai jūras ekoloģijas monitoringa darbības un integrējot jaunus tehnoloģiskos okeāna novērošanas, monitoringa un iejaukšanās līdzekļus, piemēram, robotiskas gaisa vai zemūdens sistēmas. Platforma veic vairākas darbības, piemēram: avārijas operācijas, uzraudzība, zinātniskā un tehnoloģiskā pētniecība un vides un meteoroloģiskais monitorings. Saskaņā ar II pīlāru Operāciju centra mērķis ir stiprināt okeāna novērošanas līdzekļus, palīdzot sasniegt mērķi izveidot “digitālo okeānu”, lai varētu radīt zināšanas un turklāt nodrošināt risinājumus, kas stiprina valstu un starptautisko spēju iejaukties okeānos. III pīlāra mērķis ir novatorisks projekts cilvēkresursu apmācībai jūrniecības nozarē, izmantojot gan uzņēmumu darbinieku kvalifikāciju un pieredzes apmaiņu, gan piesaistot speciālistus jūras inženierijas jomā. Arsenāla akadēmijas mērķis ir koncentrēties uz apmācību revolucionārās jomās, piemēram, robotika, telekomunikācijas, biotehnoloģija, nanotehnoloģija, savienojamība, mākslīgais intelekts, lielie dati un mašīnmācīšanās. </w:t>
      </w:r>
    </w:p>
    <w:p w14:paraId="194B0E08" w14:textId="4DA04AD9" w:rsidR="00776A1F" w:rsidRDefault="00D8574B">
      <w:pPr>
        <w:pStyle w:val="P68B1DB1-Normal4"/>
        <w:keepNext/>
        <w:spacing w:before="40" w:after="0" w:line="259" w:lineRule="auto"/>
        <w:jc w:val="both"/>
        <w:rPr>
          <w:rFonts w:eastAsiaTheme="minorEastAsia" w:cs="Times New Roman"/>
          <w:noProof/>
        </w:rPr>
      </w:pPr>
      <w:r>
        <w:rPr>
          <w:noProof/>
        </w:rPr>
        <w:t xml:space="preserve">Ieguldījumu īstenošanu pabeidz līdz 2026. gada 30. jūnijam. </w:t>
      </w:r>
    </w:p>
    <w:p w14:paraId="6C40F50C" w14:textId="4BE4D193" w:rsidR="00776A1F" w:rsidRDefault="00D8574B">
      <w:pPr>
        <w:pStyle w:val="P68B1DB1-Normal5"/>
        <w:keepNext/>
        <w:spacing w:before="240" w:after="0" w:line="259" w:lineRule="auto"/>
        <w:ind w:left="851"/>
        <w:jc w:val="both"/>
        <w:outlineLvl w:val="3"/>
        <w:rPr>
          <w:rFonts w:eastAsiaTheme="minorEastAsia" w:cs="Times New Roman"/>
          <w:noProof/>
        </w:rPr>
      </w:pPr>
      <w:r>
        <w:rPr>
          <w:noProof/>
        </w:rPr>
        <w:t xml:space="preserve">Ieguldījums TC-C10-i07: Zaļā kuģniecība </w:t>
      </w:r>
    </w:p>
    <w:p w14:paraId="1305AFF8" w14:textId="77777777" w:rsidR="00776A1F" w:rsidRDefault="00D8574B">
      <w:pPr>
        <w:pStyle w:val="P68B1DB1-Normal4"/>
        <w:spacing w:before="40" w:after="0" w:line="259" w:lineRule="auto"/>
        <w:jc w:val="both"/>
        <w:rPr>
          <w:rFonts w:cs="Times New Roman"/>
          <w:noProof/>
        </w:rPr>
      </w:pPr>
      <w:r>
        <w:rPr>
          <w:noProof/>
        </w:rPr>
        <w:t xml:space="preserve">Pasākuma mērķis ir paātrināt jūras kravu un pasažieru pārvadājumu enerģētikas pārkārtošanu. </w:t>
      </w:r>
    </w:p>
    <w:p w14:paraId="5C3C7211" w14:textId="196441A6" w:rsidR="00776A1F" w:rsidRDefault="00D8574B">
      <w:pPr>
        <w:pStyle w:val="P68B1DB1-Normal4"/>
        <w:spacing w:before="40" w:after="0" w:line="259" w:lineRule="auto"/>
        <w:jc w:val="both"/>
        <w:rPr>
          <w:rFonts w:eastAsia="Yu Mincho Light" w:cs="Times New Roman"/>
          <w:noProof/>
        </w:rPr>
      </w:pPr>
      <w:r>
        <w:rPr>
          <w:noProof/>
        </w:rPr>
        <w:t xml:space="preserve">Investīcijas ietver atbalsta programmu energoefektivitātes intervencēm desmit kravas un pasažieru transporta kuģiem, no kuriem vismaz 70 % kuģu pārsniedz 5000 bruto tilpību (GT). Intervences atbilst vismaz vienai no šādām tipoloģijām: fosilā kurināmā aizstāšanas pasākumi, ii) energotaupības pasākumi un iii) papildu emisiju samazināšanas pasākumi. </w:t>
      </w:r>
    </w:p>
    <w:p w14:paraId="15F0E021" w14:textId="6C3C3C59" w:rsidR="00776A1F" w:rsidRDefault="00D8574B">
      <w:pPr>
        <w:pStyle w:val="P68B1DB1-Normal4"/>
        <w:spacing w:before="40" w:after="0" w:line="259" w:lineRule="auto"/>
        <w:jc w:val="both"/>
        <w:rPr>
          <w:rFonts w:cs="Times New Roman"/>
          <w:noProof/>
        </w:rPr>
      </w:pPr>
      <w:r>
        <w:rPr>
          <w:noProof/>
        </w:rPr>
        <w:t xml:space="preserve">Pieteikumus vērtē, novērtējot oglekļa dioksīda (CO2) emisiju samazinājuma līmeni, kas aprēķināts, pamatojoties uz oglekļa intensitātes rādītāju (CII), un norādi uz transporta darba vienību procentos un sēra oksīdu (SOx), slāpekļa oksīdu (NOx) un cieto daļiņu emisiju samazinājuma līmeni procentos. Kā novērtējuma rādītāju izmanto arī esošo kuģu energoefektivitātes indeksu (EEXI).  </w:t>
      </w:r>
    </w:p>
    <w:p w14:paraId="54D2FF52" w14:textId="77777777" w:rsidR="00776A1F" w:rsidRDefault="00D8574B">
      <w:pPr>
        <w:pStyle w:val="P68B1DB1-Normal4"/>
        <w:spacing w:before="40" w:after="0" w:line="259" w:lineRule="auto"/>
        <w:jc w:val="both"/>
        <w:rPr>
          <w:rFonts w:eastAsia="@MS Mincho" w:cs="Times New Roman"/>
          <w:noProof/>
        </w:rPr>
      </w:pPr>
      <w:r>
        <w:rPr>
          <w:noProof/>
        </w:rPr>
        <w:t xml:space="preserve">Lai nodrošinātu, ka pasākums atbilst Tehniskajiem norādījumiem “nenodari būtisku kaitējumu” (2021/C58/01), ieguldījums palīdz vismaz par 10 % samazināt kuģa degvielas patēriņu, ko izsaka degvielas gramos uz kravnesības tonnu uz jūras jūdzi. Patēriņu aprēķina, izmantojot skaitļošanas šķidrumu dinamiku (CFD), tvertnes testus vai līdzīgus tehniskos aprēķinus. Turklāt kuģi nav paredzēti fosilā kurināmā transportēšanai. </w:t>
      </w:r>
    </w:p>
    <w:p w14:paraId="4981A449" w14:textId="09E215CA" w:rsidR="00776A1F" w:rsidRDefault="00D8574B">
      <w:pPr>
        <w:pStyle w:val="P68B1DB1-Normal4"/>
        <w:spacing w:before="40" w:after="0" w:line="259" w:lineRule="auto"/>
        <w:jc w:val="both"/>
        <w:rPr>
          <w:rFonts w:cs="Times New Roman"/>
          <w:noProof/>
        </w:rPr>
      </w:pPr>
      <w:r>
        <w:rPr>
          <w:noProof/>
        </w:rPr>
        <w:t>Ieguldījumu īstenošanu pabeidz līdz 2026. gada 30. jūnijam.</w:t>
      </w:r>
    </w:p>
    <w:p w14:paraId="1FA687FB"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60"/>
        </w:sectPr>
      </w:pPr>
    </w:p>
    <w:p w14:paraId="21CBC0E4" w14:textId="0F96D272"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J.4. Atskaites punkti, mērķrādītāji, citi rādītāji un aizdevuma uzraudzības un īstenošanas grafiks</w:t>
      </w:r>
    </w:p>
    <w:p w14:paraId="2814265F" w14:textId="77777777" w:rsidR="00776A1F" w:rsidRDefault="00776A1F">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776A1F" w14:paraId="7C352B17" w14:textId="77777777">
        <w:trPr>
          <w:trHeight w:val="910"/>
          <w:tblHeader/>
        </w:trPr>
        <w:tc>
          <w:tcPr>
            <w:tcW w:w="1101" w:type="dxa"/>
            <w:vMerge w:val="restart"/>
            <w:shd w:val="clear" w:color="auto" w:fill="BDD6EE"/>
            <w:vAlign w:val="center"/>
            <w:hideMark/>
          </w:tcPr>
          <w:p w14:paraId="293CE21B" w14:textId="77777777" w:rsidR="00776A1F" w:rsidRDefault="00D8574B">
            <w:pPr>
              <w:pStyle w:val="P68B1DB1-Normal6"/>
              <w:keepNext/>
              <w:spacing w:before="40" w:after="0" w:line="240" w:lineRule="auto"/>
              <w:jc w:val="center"/>
              <w:rPr>
                <w:rFonts w:eastAsia="Times New Roman" w:cs="Times New Roman"/>
                <w:noProof/>
              </w:rPr>
            </w:pPr>
            <w:r>
              <w:rPr>
                <w:noProof/>
              </w:rPr>
              <w:t>Kārtas numurs</w:t>
            </w:r>
          </w:p>
        </w:tc>
        <w:tc>
          <w:tcPr>
            <w:tcW w:w="1231" w:type="dxa"/>
            <w:vMerge w:val="restart"/>
            <w:shd w:val="clear" w:color="auto" w:fill="BDD6EE"/>
            <w:vAlign w:val="center"/>
            <w:hideMark/>
          </w:tcPr>
          <w:p w14:paraId="1FBAE739" w14:textId="77777777" w:rsidR="00776A1F" w:rsidRDefault="00D8574B">
            <w:pPr>
              <w:pStyle w:val="P68B1DB1-Normal6"/>
              <w:keepNext/>
              <w:spacing w:before="40" w:after="0" w:line="240" w:lineRule="auto"/>
              <w:jc w:val="center"/>
              <w:rPr>
                <w:rFonts w:eastAsia="Times New Roman" w:cs="Times New Roman"/>
                <w:noProof/>
              </w:rPr>
            </w:pPr>
            <w:r>
              <w:rPr>
                <w:noProof/>
              </w:rPr>
              <w:t>Pasākums (reforma vai investīcijas)</w:t>
            </w:r>
          </w:p>
        </w:tc>
        <w:tc>
          <w:tcPr>
            <w:tcW w:w="1096" w:type="dxa"/>
            <w:vMerge w:val="restart"/>
            <w:shd w:val="clear" w:color="auto" w:fill="BDD6EE"/>
            <w:vAlign w:val="center"/>
            <w:hideMark/>
          </w:tcPr>
          <w:p w14:paraId="60453F23" w14:textId="77777777" w:rsidR="00776A1F" w:rsidRDefault="00D8574B">
            <w:pPr>
              <w:pStyle w:val="P68B1DB1-Normal6"/>
              <w:keepNext/>
              <w:spacing w:before="40" w:after="0" w:line="240" w:lineRule="auto"/>
              <w:jc w:val="center"/>
              <w:rPr>
                <w:rFonts w:eastAsia="Times New Roman" w:cs="Times New Roman"/>
                <w:noProof/>
                <w:sz w:val="14"/>
              </w:rPr>
            </w:pPr>
            <w:r>
              <w:rPr>
                <w:noProof/>
              </w:rPr>
              <w:t>Atskaites punkts/mērķrādītājs</w:t>
            </w:r>
          </w:p>
        </w:tc>
        <w:tc>
          <w:tcPr>
            <w:tcW w:w="1640" w:type="dxa"/>
            <w:vMerge w:val="restart"/>
            <w:shd w:val="clear" w:color="auto" w:fill="BDD6EE"/>
            <w:vAlign w:val="center"/>
            <w:hideMark/>
          </w:tcPr>
          <w:p w14:paraId="5B93FBDA" w14:textId="77777777" w:rsidR="00776A1F" w:rsidRDefault="00D8574B">
            <w:pPr>
              <w:pStyle w:val="P68B1DB1-Normal6"/>
              <w:keepNext/>
              <w:spacing w:before="40" w:after="0" w:line="240" w:lineRule="auto"/>
              <w:jc w:val="center"/>
              <w:rPr>
                <w:rFonts w:eastAsia="Times New Roman" w:cs="Times New Roman"/>
                <w:noProof/>
              </w:rPr>
            </w:pPr>
            <w:r>
              <w:rPr>
                <w:noProof/>
              </w:rPr>
              <w:t>Uzvārds</w:t>
            </w:r>
          </w:p>
        </w:tc>
        <w:tc>
          <w:tcPr>
            <w:tcW w:w="1231" w:type="dxa"/>
            <w:vMerge w:val="restart"/>
            <w:shd w:val="clear" w:color="auto" w:fill="BDD6EE"/>
            <w:vAlign w:val="center"/>
            <w:hideMark/>
          </w:tcPr>
          <w:p w14:paraId="5731C7BD" w14:textId="77777777" w:rsidR="00776A1F" w:rsidRDefault="00D8574B">
            <w:pPr>
              <w:pStyle w:val="P68B1DB1-Normal6"/>
              <w:keepNext/>
              <w:spacing w:before="40" w:after="0" w:line="240" w:lineRule="auto"/>
              <w:jc w:val="center"/>
              <w:rPr>
                <w:rFonts w:eastAsia="Times New Roman" w:cs="Times New Roman"/>
                <w:noProof/>
              </w:rPr>
            </w:pPr>
            <w:r>
              <w:rPr>
                <w:noProof/>
              </w:rPr>
              <w:t>Kvalitatīvie rādītāji (atskaites punktiem)</w:t>
            </w:r>
          </w:p>
        </w:tc>
        <w:tc>
          <w:tcPr>
            <w:tcW w:w="2613" w:type="dxa"/>
            <w:gridSpan w:val="3"/>
            <w:shd w:val="clear" w:color="auto" w:fill="BDD6EE"/>
            <w:vAlign w:val="center"/>
            <w:hideMark/>
          </w:tcPr>
          <w:p w14:paraId="2BC88CEE" w14:textId="77777777" w:rsidR="00776A1F" w:rsidRDefault="00D8574B">
            <w:pPr>
              <w:pStyle w:val="P68B1DB1-Normal6"/>
              <w:keepNext/>
              <w:spacing w:before="40" w:after="0" w:line="240" w:lineRule="auto"/>
              <w:jc w:val="center"/>
              <w:rPr>
                <w:rFonts w:eastAsia="Times New Roman" w:cs="Times New Roman"/>
                <w:noProof/>
              </w:rPr>
            </w:pPr>
            <w:r>
              <w:rPr>
                <w:noProof/>
              </w:rPr>
              <w:t>Kvantitatīvie rādītāji (mērķrādītājiem)</w:t>
            </w:r>
          </w:p>
        </w:tc>
        <w:tc>
          <w:tcPr>
            <w:tcW w:w="1238" w:type="dxa"/>
            <w:gridSpan w:val="2"/>
            <w:shd w:val="clear" w:color="auto" w:fill="BDD6EE"/>
            <w:vAlign w:val="center"/>
            <w:hideMark/>
          </w:tcPr>
          <w:p w14:paraId="47D3562F" w14:textId="77777777" w:rsidR="00776A1F" w:rsidRDefault="00D8574B">
            <w:pPr>
              <w:pStyle w:val="P68B1DB1-Normal6"/>
              <w:keepNext/>
              <w:spacing w:before="40" w:after="0" w:line="240" w:lineRule="auto"/>
              <w:jc w:val="center"/>
              <w:rPr>
                <w:rFonts w:eastAsia="Times New Roman" w:cs="Times New Roman"/>
                <w:noProof/>
              </w:rPr>
            </w:pPr>
            <w:r>
              <w:rPr>
                <w:noProof/>
              </w:rPr>
              <w:t>Orientējošs pabeigšanas termiņš</w:t>
            </w:r>
          </w:p>
        </w:tc>
        <w:tc>
          <w:tcPr>
            <w:tcW w:w="5223" w:type="dxa"/>
            <w:vMerge w:val="restart"/>
            <w:shd w:val="clear" w:color="auto" w:fill="BDD6EE"/>
            <w:vAlign w:val="center"/>
            <w:hideMark/>
          </w:tcPr>
          <w:p w14:paraId="119E2D1B" w14:textId="77777777" w:rsidR="00776A1F" w:rsidRDefault="00D8574B">
            <w:pPr>
              <w:pStyle w:val="P68B1DB1-Normal6"/>
              <w:keepNext/>
              <w:spacing w:before="40" w:after="0" w:line="240" w:lineRule="auto"/>
              <w:jc w:val="center"/>
              <w:rPr>
                <w:rFonts w:eastAsia="Times New Roman" w:cs="Times New Roman"/>
                <w:noProof/>
              </w:rPr>
            </w:pPr>
            <w:r>
              <w:rPr>
                <w:noProof/>
              </w:rPr>
              <w:t>Katra atskaites punkta un mērķrādītāja apraksts un skaidra definīcija</w:t>
            </w:r>
          </w:p>
        </w:tc>
      </w:tr>
      <w:tr w:rsidR="00776A1F" w14:paraId="12D4B3EB" w14:textId="77777777">
        <w:trPr>
          <w:trHeight w:val="470"/>
          <w:tblHeader/>
        </w:trPr>
        <w:tc>
          <w:tcPr>
            <w:tcW w:w="1101" w:type="dxa"/>
            <w:vMerge/>
            <w:vAlign w:val="center"/>
            <w:hideMark/>
          </w:tcPr>
          <w:p w14:paraId="1EC2F9BC"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38F355D3"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6A303FCA" w14:textId="77777777" w:rsidR="00776A1F" w:rsidRDefault="00776A1F">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580C14CE"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6286F64E"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6EA3F582" w14:textId="77777777" w:rsidR="00776A1F" w:rsidRDefault="00D8574B">
            <w:pPr>
              <w:pStyle w:val="P68B1DB1-Normal6"/>
              <w:keepNext/>
              <w:spacing w:before="40" w:after="0" w:line="240" w:lineRule="auto"/>
              <w:jc w:val="center"/>
              <w:rPr>
                <w:rFonts w:eastAsia="Times New Roman" w:cs="Times New Roman"/>
                <w:noProof/>
              </w:rPr>
            </w:pPr>
            <w:r>
              <w:rPr>
                <w:noProof/>
              </w:rPr>
              <w:t>Mēra vienība</w:t>
            </w:r>
          </w:p>
        </w:tc>
        <w:tc>
          <w:tcPr>
            <w:tcW w:w="961" w:type="dxa"/>
            <w:shd w:val="clear" w:color="auto" w:fill="BDD6EE"/>
            <w:vAlign w:val="center"/>
            <w:hideMark/>
          </w:tcPr>
          <w:p w14:paraId="230E8100" w14:textId="77777777" w:rsidR="00776A1F" w:rsidRDefault="00D8574B">
            <w:pPr>
              <w:pStyle w:val="P68B1DB1-Normal6"/>
              <w:keepNext/>
              <w:spacing w:before="40" w:after="0" w:line="240" w:lineRule="auto"/>
              <w:jc w:val="center"/>
              <w:rPr>
                <w:rFonts w:eastAsia="Times New Roman" w:cs="Times New Roman"/>
                <w:noProof/>
              </w:rPr>
            </w:pPr>
            <w:r>
              <w:rPr>
                <w:noProof/>
              </w:rPr>
              <w:t>Pamatscenārijs</w:t>
            </w:r>
          </w:p>
        </w:tc>
        <w:tc>
          <w:tcPr>
            <w:tcW w:w="690" w:type="dxa"/>
            <w:shd w:val="clear" w:color="auto" w:fill="BDD6EE"/>
            <w:vAlign w:val="center"/>
            <w:hideMark/>
          </w:tcPr>
          <w:p w14:paraId="7E77B1BE" w14:textId="77777777" w:rsidR="00776A1F" w:rsidRDefault="00D8574B">
            <w:pPr>
              <w:pStyle w:val="P68B1DB1-Normal6"/>
              <w:keepNext/>
              <w:spacing w:before="40" w:after="0" w:line="240" w:lineRule="auto"/>
              <w:jc w:val="center"/>
              <w:rPr>
                <w:rFonts w:eastAsia="Times New Roman" w:cs="Times New Roman"/>
                <w:noProof/>
              </w:rPr>
            </w:pPr>
            <w:r>
              <w:rPr>
                <w:noProof/>
              </w:rPr>
              <w:t>Mērķis</w:t>
            </w:r>
          </w:p>
        </w:tc>
        <w:tc>
          <w:tcPr>
            <w:tcW w:w="554" w:type="dxa"/>
            <w:shd w:val="clear" w:color="auto" w:fill="BDD6EE"/>
            <w:vAlign w:val="center"/>
            <w:hideMark/>
          </w:tcPr>
          <w:p w14:paraId="50EAB092" w14:textId="77777777" w:rsidR="00776A1F" w:rsidRDefault="00D8574B">
            <w:pPr>
              <w:pStyle w:val="P68B1DB1-Normal6"/>
              <w:keepNext/>
              <w:spacing w:before="40" w:after="0" w:line="240" w:lineRule="auto"/>
              <w:jc w:val="center"/>
              <w:rPr>
                <w:rFonts w:eastAsia="Times New Roman" w:cs="Times New Roman"/>
                <w:noProof/>
              </w:rPr>
            </w:pPr>
            <w:r>
              <w:rPr>
                <w:noProof/>
              </w:rPr>
              <w:t>Q</w:t>
            </w:r>
          </w:p>
        </w:tc>
        <w:tc>
          <w:tcPr>
            <w:tcW w:w="684" w:type="dxa"/>
            <w:shd w:val="clear" w:color="auto" w:fill="BDD6EE"/>
            <w:vAlign w:val="center"/>
            <w:hideMark/>
          </w:tcPr>
          <w:p w14:paraId="5684B644" w14:textId="77777777" w:rsidR="00776A1F" w:rsidRDefault="00D8574B">
            <w:pPr>
              <w:pStyle w:val="P68B1DB1-Normal6"/>
              <w:keepNext/>
              <w:spacing w:before="40" w:after="0" w:line="240" w:lineRule="auto"/>
              <w:jc w:val="center"/>
              <w:rPr>
                <w:rFonts w:eastAsia="Times New Roman" w:cs="Times New Roman"/>
                <w:noProof/>
              </w:rPr>
            </w:pPr>
            <w:r>
              <w:rPr>
                <w:noProof/>
              </w:rPr>
              <w:t>Gadā</w:t>
            </w:r>
          </w:p>
        </w:tc>
        <w:tc>
          <w:tcPr>
            <w:tcW w:w="5223" w:type="dxa"/>
            <w:vMerge/>
            <w:vAlign w:val="center"/>
            <w:hideMark/>
          </w:tcPr>
          <w:p w14:paraId="3C5137C1" w14:textId="77777777" w:rsidR="00776A1F" w:rsidRDefault="00776A1F">
            <w:pPr>
              <w:keepNext/>
              <w:spacing w:before="40" w:after="0" w:line="240" w:lineRule="auto"/>
              <w:jc w:val="both"/>
              <w:rPr>
                <w:rFonts w:ascii="Times New Roman" w:eastAsia="Times New Roman" w:hAnsi="Times New Roman" w:cs="Times New Roman"/>
                <w:b/>
                <w:noProof/>
                <w:sz w:val="18"/>
              </w:rPr>
            </w:pPr>
          </w:p>
        </w:tc>
      </w:tr>
      <w:tr w:rsidR="00776A1F" w14:paraId="52BD253E" w14:textId="77777777">
        <w:trPr>
          <w:trHeight w:val="61"/>
        </w:trPr>
        <w:tc>
          <w:tcPr>
            <w:tcW w:w="1101" w:type="dxa"/>
            <w:shd w:val="clear" w:color="auto" w:fill="C4EFCE"/>
            <w:vAlign w:val="center"/>
          </w:tcPr>
          <w:p w14:paraId="1F146FCF" w14:textId="4E6EEEBB" w:rsidR="00776A1F" w:rsidRDefault="00D8574B">
            <w:pPr>
              <w:pStyle w:val="P68B1DB1-Normal7"/>
              <w:keepNext/>
              <w:spacing w:before="40" w:after="0" w:line="240" w:lineRule="auto"/>
              <w:jc w:val="center"/>
              <w:rPr>
                <w:noProof/>
                <w:highlight w:val="magenta"/>
              </w:rPr>
            </w:pPr>
            <w:r>
              <w:rPr>
                <w:noProof/>
              </w:rPr>
              <w:t>10.5</w:t>
            </w:r>
          </w:p>
        </w:tc>
        <w:tc>
          <w:tcPr>
            <w:tcW w:w="1231" w:type="dxa"/>
            <w:shd w:val="clear" w:color="auto" w:fill="C4EFCE"/>
            <w:noWrap/>
            <w:vAlign w:val="center"/>
          </w:tcPr>
          <w:p w14:paraId="6E122812" w14:textId="10C964C3" w:rsidR="00776A1F" w:rsidRDefault="00D8574B">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49982C81" w14:textId="192B44BD" w:rsidR="00776A1F" w:rsidRDefault="00D8574B">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6DF03557" w14:textId="2BF8CD78" w:rsidR="00776A1F" w:rsidRDefault="00D8574B">
            <w:pPr>
              <w:pStyle w:val="P68B1DB1-Normal8"/>
              <w:keepNext/>
              <w:spacing w:before="40" w:after="0" w:line="240" w:lineRule="auto"/>
              <w:jc w:val="center"/>
              <w:rPr>
                <w:rFonts w:cstheme="minorHAnsi"/>
                <w:noProof/>
              </w:rPr>
            </w:pPr>
            <w:r>
              <w:rPr>
                <w:noProof/>
              </w:rPr>
              <w:t>“Daudzfunkcionālas jūras spēku platformas” un “Darbības centra” līguma parakstīšana</w:t>
            </w:r>
          </w:p>
        </w:tc>
        <w:tc>
          <w:tcPr>
            <w:tcW w:w="1231" w:type="dxa"/>
            <w:shd w:val="clear" w:color="auto" w:fill="C4EFCE"/>
            <w:noWrap/>
            <w:vAlign w:val="center"/>
          </w:tcPr>
          <w:p w14:paraId="333B3AB3" w14:textId="02EF4106" w:rsidR="00776A1F" w:rsidRDefault="00D8574B">
            <w:pPr>
              <w:pStyle w:val="P68B1DB1-Normal8"/>
              <w:keepNext/>
              <w:spacing w:before="40" w:after="0" w:line="240" w:lineRule="auto"/>
              <w:jc w:val="center"/>
              <w:rPr>
                <w:rFonts w:cstheme="minorHAnsi"/>
                <w:noProof/>
              </w:rPr>
            </w:pPr>
            <w:r>
              <w:rPr>
                <w:noProof/>
              </w:rPr>
              <w:t>“Daudzfunkcionālas jūras spēku platformas” un “Darbības centra” līguma parakstīšana</w:t>
            </w:r>
          </w:p>
        </w:tc>
        <w:tc>
          <w:tcPr>
            <w:tcW w:w="962" w:type="dxa"/>
            <w:shd w:val="clear" w:color="auto" w:fill="C4EFCE"/>
            <w:noWrap/>
            <w:vAlign w:val="center"/>
          </w:tcPr>
          <w:p w14:paraId="0247B4AE" w14:textId="2F9E4126" w:rsidR="00776A1F" w:rsidRDefault="00D8574B">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3EB2DE9" w14:textId="65360A99" w:rsidR="00776A1F" w:rsidRDefault="00D8574B">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404D0E0D" w14:textId="65417E79" w:rsidR="00776A1F" w:rsidRDefault="00D8574B">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6720E15C" w14:textId="1C9DE191" w:rsidR="00776A1F" w:rsidRDefault="00D8574B">
            <w:pPr>
              <w:pStyle w:val="P68B1DB1-Normal8"/>
              <w:keepNext/>
              <w:spacing w:before="40" w:after="0" w:line="240" w:lineRule="auto"/>
              <w:jc w:val="center"/>
              <w:rPr>
                <w:rFonts w:cstheme="minorHAnsi"/>
                <w:noProof/>
              </w:rPr>
            </w:pPr>
            <w:r>
              <w:rPr>
                <w:noProof/>
              </w:rPr>
              <w:t>3. CET.</w:t>
            </w:r>
          </w:p>
        </w:tc>
        <w:tc>
          <w:tcPr>
            <w:tcW w:w="684" w:type="dxa"/>
            <w:shd w:val="clear" w:color="auto" w:fill="C4EFCE"/>
            <w:noWrap/>
            <w:vAlign w:val="center"/>
          </w:tcPr>
          <w:p w14:paraId="7372820D" w14:textId="3637367A" w:rsidR="00776A1F" w:rsidRDefault="00D8574B">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30002EA5" w14:textId="77777777" w:rsidR="00776A1F" w:rsidRDefault="00D8574B">
            <w:pPr>
              <w:pStyle w:val="P68B1DB1-Normal8"/>
              <w:keepNext/>
              <w:spacing w:before="40" w:after="0" w:line="240" w:lineRule="auto"/>
              <w:jc w:val="both"/>
              <w:rPr>
                <w:rFonts w:eastAsia="Times New Roman" w:cs="Calibri"/>
                <w:noProof/>
              </w:rPr>
            </w:pPr>
            <w:r>
              <w:rPr>
                <w:noProof/>
              </w:rPr>
              <w:t xml:space="preserve">Būvniecības līguma parakstīšana pēc publiskā(-o) konkursa(-u) izsludināšanas — I un II pīlārs: </w:t>
            </w:r>
          </w:p>
          <w:p w14:paraId="120A48F6" w14:textId="77777777" w:rsidR="00776A1F" w:rsidRDefault="00D8574B">
            <w:pPr>
              <w:pStyle w:val="P68B1DB1-Normal8"/>
              <w:keepNext/>
              <w:spacing w:before="40" w:after="0" w:line="240" w:lineRule="auto"/>
              <w:jc w:val="both"/>
              <w:rPr>
                <w:rFonts w:eastAsia="Times New Roman" w:cs="Calibri"/>
                <w:noProof/>
              </w:rPr>
            </w:pPr>
            <w:r>
              <w:rPr>
                <w:noProof/>
              </w:rPr>
              <w:t xml:space="preserve">I pīlārs. Daudzfunkcionāla jūras spēku platforma, </w:t>
            </w:r>
          </w:p>
          <w:p w14:paraId="2F9DB0C1" w14:textId="77777777" w:rsidR="00776A1F" w:rsidRDefault="00D8574B">
            <w:pPr>
              <w:pStyle w:val="P68B1DB1-Normal8"/>
              <w:keepNext/>
              <w:spacing w:before="40" w:after="0" w:line="240" w:lineRule="auto"/>
              <w:jc w:val="both"/>
              <w:rPr>
                <w:rFonts w:eastAsia="Times New Roman" w:cs="Calibri"/>
                <w:noProof/>
              </w:rPr>
            </w:pPr>
            <w:r>
              <w:rPr>
                <w:noProof/>
              </w:rPr>
              <w:t>Tas ietver aptuveni 100 metrus garas daudzfunkcionālas jūras spēku platformas būvniecību ar dinamisku automātisku pozicionēšanu, integrētu platformu pārvaldības sistēmu, komandtiltiņu un operāciju centru, zemūdens akustisko pozicionēšanas sistēmu, sekciju zemūdeņu palaišanai un/vai autonomu sistēmu izkāpšanai, celtņus, helikopteru klāju u. c.),</w:t>
            </w:r>
          </w:p>
          <w:p w14:paraId="4F92961B" w14:textId="0FCD137D" w:rsidR="00776A1F" w:rsidRDefault="00D8574B">
            <w:pPr>
              <w:pStyle w:val="P68B1DB1-Normal8"/>
              <w:keepNext/>
              <w:spacing w:before="40" w:after="0" w:line="240" w:lineRule="auto"/>
              <w:jc w:val="both"/>
              <w:rPr>
                <w:rFonts w:eastAsia="Times New Roman" w:cs="Calibri"/>
                <w:noProof/>
              </w:rPr>
            </w:pPr>
            <w:r>
              <w:rPr>
                <w:noProof/>
              </w:rPr>
              <w:t>Ietver arī spēju ekspluatēt transportlīdzekļus, kuru dziļums nepārsniedz 6000 metrus, autonomu virszemes transportlīdzekļu novietošanu un papildu jūras spēkus (tostarp autonomus okeāna virszemes transportlīdzekļus, autonomus zemūdens transportlīdzekļus, autonomus gaisa transportlīdzekļus, dronus).</w:t>
            </w:r>
          </w:p>
          <w:p w14:paraId="45957A47" w14:textId="77777777" w:rsidR="00776A1F" w:rsidRDefault="00D8574B">
            <w:pPr>
              <w:pStyle w:val="P68B1DB1-Normal8"/>
              <w:keepNext/>
              <w:spacing w:before="40" w:after="0" w:line="240" w:lineRule="auto"/>
              <w:jc w:val="both"/>
              <w:rPr>
                <w:rFonts w:eastAsia="Times New Roman" w:cs="Calibri"/>
                <w:noProof/>
              </w:rPr>
            </w:pPr>
            <w:r>
              <w:rPr>
                <w:noProof/>
              </w:rPr>
              <w:t>II pīlārs — Operāciju centrs</w:t>
            </w:r>
          </w:p>
          <w:p w14:paraId="0AF421B0" w14:textId="49716D7D" w:rsidR="00776A1F" w:rsidRDefault="00D8574B">
            <w:pPr>
              <w:pStyle w:val="P68B1DB1-Bodytext1018"/>
              <w:spacing w:before="40" w:after="0" w:line="240" w:lineRule="auto"/>
              <w:jc w:val="both"/>
              <w:rPr>
                <w:rFonts w:asciiTheme="minorHAnsi" w:hAnsiTheme="minorHAnsi" w:cstheme="minorHAnsi"/>
                <w:noProof/>
              </w:rPr>
            </w:pPr>
            <w:r>
              <w:rPr>
                <w:noProof/>
              </w:rPr>
              <w:t>Tas ietver esošo ēku un būvju renovāciju, darbības centra un laboratorijas tīkla datorsistēmu un sakaru sistēmu, augstas veiktspējas datošanas un informācijas glabāšanas sistēmu, sakaru sistēmu (tostarp ļoti maza apjoma termināļa (VSAT) televisonu uztveršanas sistēmu (TVRO) atjaunošanu un sadarbspēju ar citām jūras spēku sistēmām, programmatūras izstrādi un iegremdējošām sistēmām.</w:t>
            </w:r>
          </w:p>
        </w:tc>
      </w:tr>
      <w:tr w:rsidR="00776A1F" w14:paraId="2CE6D5E1" w14:textId="77777777">
        <w:trPr>
          <w:trHeight w:val="61"/>
        </w:trPr>
        <w:tc>
          <w:tcPr>
            <w:tcW w:w="1101" w:type="dxa"/>
            <w:shd w:val="clear" w:color="auto" w:fill="C4EFCE"/>
            <w:vAlign w:val="center"/>
          </w:tcPr>
          <w:p w14:paraId="49ADFB31" w14:textId="33E084CF" w:rsidR="00776A1F" w:rsidRDefault="00D8574B">
            <w:pPr>
              <w:pStyle w:val="P68B1DB1-Normal7"/>
              <w:keepNext/>
              <w:spacing w:before="40" w:after="0" w:line="240" w:lineRule="auto"/>
              <w:jc w:val="center"/>
              <w:rPr>
                <w:noProof/>
                <w:highlight w:val="magenta"/>
              </w:rPr>
            </w:pPr>
            <w:r>
              <w:rPr>
                <w:noProof/>
              </w:rPr>
              <w:t>10.6</w:t>
            </w:r>
          </w:p>
        </w:tc>
        <w:tc>
          <w:tcPr>
            <w:tcW w:w="1231" w:type="dxa"/>
            <w:shd w:val="clear" w:color="auto" w:fill="C4EFCE"/>
            <w:noWrap/>
            <w:vAlign w:val="center"/>
          </w:tcPr>
          <w:p w14:paraId="328A6835" w14:textId="4753CB2C" w:rsidR="00776A1F" w:rsidRDefault="00D8574B">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02CC9831" w14:textId="74A625E2" w:rsidR="00776A1F" w:rsidRDefault="00D8574B">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7DF74898" w14:textId="25083335" w:rsidR="00776A1F" w:rsidRDefault="00D8574B">
            <w:pPr>
              <w:pStyle w:val="P68B1DB1-Normal8"/>
              <w:keepNext/>
              <w:spacing w:before="40" w:after="0" w:line="240" w:lineRule="auto"/>
              <w:jc w:val="center"/>
              <w:rPr>
                <w:rFonts w:cstheme="minorHAnsi"/>
                <w:noProof/>
              </w:rPr>
            </w:pPr>
            <w:r>
              <w:rPr>
                <w:noProof/>
              </w:rPr>
              <w:t>Alfeite Arsenal akadēmijas pabeigšana</w:t>
            </w:r>
          </w:p>
        </w:tc>
        <w:tc>
          <w:tcPr>
            <w:tcW w:w="1231" w:type="dxa"/>
            <w:shd w:val="clear" w:color="auto" w:fill="C4EFCE"/>
            <w:noWrap/>
            <w:vAlign w:val="center"/>
          </w:tcPr>
          <w:p w14:paraId="12A8E34A" w14:textId="46A14581" w:rsidR="00776A1F" w:rsidRDefault="00D8574B">
            <w:pPr>
              <w:pStyle w:val="P68B1DB1-Normal8"/>
              <w:keepNext/>
              <w:spacing w:before="40" w:after="0" w:line="240" w:lineRule="auto"/>
              <w:jc w:val="center"/>
              <w:rPr>
                <w:rFonts w:cstheme="minorHAnsi"/>
                <w:noProof/>
              </w:rPr>
            </w:pPr>
            <w:r>
              <w:rPr>
                <w:noProof/>
              </w:rPr>
              <w:t>Alfeite Arsenal akadēmijas pabeigšana </w:t>
            </w:r>
          </w:p>
        </w:tc>
        <w:tc>
          <w:tcPr>
            <w:tcW w:w="962" w:type="dxa"/>
            <w:shd w:val="clear" w:color="auto" w:fill="C4EFCE"/>
            <w:noWrap/>
            <w:vAlign w:val="center"/>
          </w:tcPr>
          <w:p w14:paraId="74243FDB" w14:textId="33F44A1E" w:rsidR="00776A1F" w:rsidRDefault="00D8574B">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2DB2BAAF" w14:textId="3DCC3C16" w:rsidR="00776A1F" w:rsidRDefault="00D8574B">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3CB08472" w14:textId="5F29F401" w:rsidR="00776A1F" w:rsidRDefault="00D8574B">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5AD5DE15" w14:textId="6782A64C" w:rsidR="00776A1F" w:rsidRDefault="00D8574B">
            <w:pPr>
              <w:pStyle w:val="P68B1DB1-Normal8"/>
              <w:keepNext/>
              <w:spacing w:before="40" w:after="0" w:line="240" w:lineRule="auto"/>
              <w:jc w:val="center"/>
              <w:rPr>
                <w:rFonts w:cstheme="minorHAnsi"/>
                <w:noProof/>
              </w:rPr>
            </w:pPr>
            <w:r>
              <w:rPr>
                <w:noProof/>
              </w:rPr>
              <w:t>4. CET.</w:t>
            </w:r>
          </w:p>
        </w:tc>
        <w:tc>
          <w:tcPr>
            <w:tcW w:w="684" w:type="dxa"/>
            <w:shd w:val="clear" w:color="auto" w:fill="C4EFCE"/>
            <w:noWrap/>
            <w:vAlign w:val="center"/>
          </w:tcPr>
          <w:p w14:paraId="59B5AF35" w14:textId="1A32ACF2" w:rsidR="00776A1F" w:rsidRDefault="00D8574B">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252172A4" w14:textId="77777777" w:rsidR="00776A1F" w:rsidRDefault="00D8574B">
            <w:pPr>
              <w:pStyle w:val="P68B1DB1-Normal8"/>
              <w:keepNext/>
              <w:spacing w:before="40" w:after="0" w:line="240" w:lineRule="auto"/>
              <w:jc w:val="both"/>
              <w:rPr>
                <w:rFonts w:eastAsia="Times New Roman" w:cs="Calibri"/>
                <w:noProof/>
              </w:rPr>
            </w:pPr>
            <w:r>
              <w:rPr>
                <w:noProof/>
              </w:rPr>
              <w:t xml:space="preserve">Alfeite Arsenal akadēmijas skolas pabeigšana </w:t>
            </w:r>
          </w:p>
          <w:p w14:paraId="2A0F6D74" w14:textId="0F37D64C" w:rsidR="00776A1F" w:rsidRDefault="00D8574B">
            <w:pPr>
              <w:pStyle w:val="P68B1DB1-Bodytext1018"/>
              <w:spacing w:before="40" w:after="0" w:line="240" w:lineRule="auto"/>
              <w:jc w:val="both"/>
              <w:rPr>
                <w:rFonts w:asciiTheme="minorHAnsi" w:hAnsiTheme="minorHAnsi" w:cstheme="minorHAnsi"/>
                <w:noProof/>
              </w:rPr>
            </w:pPr>
            <w:r>
              <w:rPr>
                <w:noProof/>
              </w:rPr>
              <w:t>(tostarp infrastruktūras modernizācija un aprīkojuma iegāde (datori; laboratorijas aprīkojums, tehnoloģiskā infrastruktūra, aprīkojums 4.0 rūpniecībai un digitālajai pārejai), apmācības vajadzību diagnoze, apmācības kursu izstrāde, pirmo mācību kursu nodrošināšana jau pirms skolas pabeigšanas)</w:t>
            </w:r>
          </w:p>
        </w:tc>
      </w:tr>
      <w:tr w:rsidR="00776A1F" w14:paraId="48A6F7E1" w14:textId="77777777">
        <w:trPr>
          <w:trHeight w:val="61"/>
        </w:trPr>
        <w:tc>
          <w:tcPr>
            <w:tcW w:w="1101" w:type="dxa"/>
            <w:shd w:val="clear" w:color="auto" w:fill="C4EFCE"/>
            <w:vAlign w:val="center"/>
          </w:tcPr>
          <w:p w14:paraId="6A6158B3" w14:textId="6C24D77B" w:rsidR="00776A1F" w:rsidRDefault="00D8574B">
            <w:pPr>
              <w:pStyle w:val="P68B1DB1-Normal7"/>
              <w:keepNext/>
              <w:spacing w:before="40" w:after="0" w:line="240" w:lineRule="auto"/>
              <w:jc w:val="center"/>
              <w:rPr>
                <w:noProof/>
                <w:highlight w:val="magenta"/>
              </w:rPr>
            </w:pPr>
            <w:r>
              <w:rPr>
                <w:noProof/>
              </w:rPr>
              <w:t>10.7</w:t>
            </w:r>
          </w:p>
        </w:tc>
        <w:tc>
          <w:tcPr>
            <w:tcW w:w="1231" w:type="dxa"/>
            <w:shd w:val="clear" w:color="auto" w:fill="C4EFCE"/>
            <w:noWrap/>
            <w:vAlign w:val="center"/>
          </w:tcPr>
          <w:p w14:paraId="3394B414" w14:textId="5C6B7A86" w:rsidR="00776A1F" w:rsidRDefault="00D8574B">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6ACD3011" w14:textId="224855CD" w:rsidR="00776A1F" w:rsidRDefault="00D8574B">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5CB9DCFB" w14:textId="4C105B42" w:rsidR="00776A1F" w:rsidRDefault="00D8574B">
            <w:pPr>
              <w:pStyle w:val="P68B1DB1-Normal8"/>
              <w:keepNext/>
              <w:spacing w:before="40" w:after="0" w:line="240" w:lineRule="auto"/>
              <w:jc w:val="center"/>
              <w:rPr>
                <w:rFonts w:cstheme="minorHAnsi"/>
                <w:noProof/>
              </w:rPr>
            </w:pPr>
            <w:r>
              <w:rPr>
                <w:noProof/>
              </w:rPr>
              <w:t>“Daudzfunkcionālas jūras spēku platformas” un “Operāciju centra” pieņemšana un pieņemšana</w:t>
            </w:r>
          </w:p>
        </w:tc>
        <w:tc>
          <w:tcPr>
            <w:tcW w:w="1231" w:type="dxa"/>
            <w:shd w:val="clear" w:color="auto" w:fill="C4EFCE"/>
            <w:noWrap/>
            <w:vAlign w:val="center"/>
          </w:tcPr>
          <w:p w14:paraId="615F7D19" w14:textId="2A89DF40" w:rsidR="00776A1F" w:rsidRDefault="00D8574B">
            <w:pPr>
              <w:pStyle w:val="P68B1DB1-Normal8"/>
              <w:keepNext/>
              <w:spacing w:before="40" w:after="0" w:line="240" w:lineRule="auto"/>
              <w:jc w:val="center"/>
              <w:rPr>
                <w:rFonts w:cstheme="minorHAnsi"/>
                <w:noProof/>
              </w:rPr>
            </w:pPr>
            <w:r>
              <w:rPr>
                <w:noProof/>
              </w:rPr>
              <w:t>“Daudzfunkcionālas jūras spēku platformas” un “Operāciju centra” pieņemšana un pieņemšana</w:t>
            </w:r>
          </w:p>
        </w:tc>
        <w:tc>
          <w:tcPr>
            <w:tcW w:w="962" w:type="dxa"/>
            <w:shd w:val="clear" w:color="auto" w:fill="C4EFCE"/>
            <w:noWrap/>
            <w:vAlign w:val="center"/>
          </w:tcPr>
          <w:p w14:paraId="274F01D9" w14:textId="06465FCA" w:rsidR="00776A1F" w:rsidRDefault="00D8574B">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D06AC8A" w14:textId="54D56B13" w:rsidR="00776A1F" w:rsidRDefault="00D8574B">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2415E148" w14:textId="1A799591" w:rsidR="00776A1F" w:rsidRDefault="00D8574B">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76705501" w14:textId="1F822E67" w:rsidR="00776A1F" w:rsidRDefault="00D8574B">
            <w:pPr>
              <w:pStyle w:val="P68B1DB1-Normal8"/>
              <w:keepNext/>
              <w:spacing w:before="40" w:after="0" w:line="240" w:lineRule="auto"/>
              <w:jc w:val="center"/>
              <w:rPr>
                <w:rFonts w:cstheme="minorHAnsi"/>
                <w:noProof/>
              </w:rPr>
            </w:pPr>
            <w:r>
              <w:rPr>
                <w:noProof/>
              </w:rPr>
              <w:t>2. CET.</w:t>
            </w:r>
          </w:p>
        </w:tc>
        <w:tc>
          <w:tcPr>
            <w:tcW w:w="684" w:type="dxa"/>
            <w:shd w:val="clear" w:color="auto" w:fill="C4EFCE"/>
            <w:noWrap/>
            <w:vAlign w:val="center"/>
          </w:tcPr>
          <w:p w14:paraId="4E79FD00" w14:textId="603ADEA9" w:rsidR="00776A1F" w:rsidRDefault="00D8574B">
            <w:pPr>
              <w:pStyle w:val="P68B1DB1-Normal8"/>
              <w:keepNext/>
              <w:spacing w:before="40" w:after="0" w:line="240" w:lineRule="auto"/>
              <w:jc w:val="center"/>
              <w:rPr>
                <w:rFonts w:cstheme="minorHAnsi"/>
                <w:noProof/>
              </w:rPr>
            </w:pPr>
            <w:r>
              <w:rPr>
                <w:noProof/>
              </w:rPr>
              <w:t>2026</w:t>
            </w:r>
          </w:p>
        </w:tc>
        <w:tc>
          <w:tcPr>
            <w:tcW w:w="5223" w:type="dxa"/>
            <w:shd w:val="clear" w:color="auto" w:fill="C4EFCE"/>
            <w:vAlign w:val="center"/>
          </w:tcPr>
          <w:p w14:paraId="38EBC9BC" w14:textId="6072BE21" w:rsidR="00776A1F" w:rsidRDefault="00D8574B">
            <w:pPr>
              <w:pStyle w:val="P68B1DB1-Bodytext1018"/>
              <w:spacing w:before="40" w:after="0" w:line="240" w:lineRule="auto"/>
              <w:jc w:val="both"/>
              <w:rPr>
                <w:rFonts w:asciiTheme="minorHAnsi" w:hAnsiTheme="minorHAnsi" w:cstheme="minorHAnsi"/>
                <w:noProof/>
              </w:rPr>
            </w:pPr>
            <w:r>
              <w:rPr>
                <w:noProof/>
              </w:rPr>
              <w:t>“Daudzfunkcionālas jūras spēku platformas” un “Operāciju centra” pieņemšana un pieņemšana</w:t>
            </w:r>
          </w:p>
        </w:tc>
      </w:tr>
      <w:tr w:rsidR="00776A1F" w14:paraId="027F039F" w14:textId="77777777">
        <w:trPr>
          <w:trHeight w:val="61"/>
        </w:trPr>
        <w:tc>
          <w:tcPr>
            <w:tcW w:w="1101" w:type="dxa"/>
            <w:shd w:val="clear" w:color="auto" w:fill="C4EFCE"/>
            <w:vAlign w:val="center"/>
          </w:tcPr>
          <w:p w14:paraId="34B47902" w14:textId="00559ADD" w:rsidR="00776A1F" w:rsidRDefault="00D8574B">
            <w:pPr>
              <w:pStyle w:val="P68B1DB1-Normal11"/>
              <w:keepNext/>
              <w:spacing w:before="40" w:after="0" w:line="240" w:lineRule="auto"/>
              <w:jc w:val="center"/>
              <w:rPr>
                <w:noProof/>
              </w:rPr>
            </w:pPr>
            <w:r>
              <w:rPr>
                <w:noProof/>
              </w:rPr>
              <w:t>10.17</w:t>
            </w:r>
          </w:p>
        </w:tc>
        <w:tc>
          <w:tcPr>
            <w:tcW w:w="1231" w:type="dxa"/>
            <w:shd w:val="clear" w:color="auto" w:fill="C4EFCE"/>
            <w:noWrap/>
            <w:vAlign w:val="center"/>
          </w:tcPr>
          <w:p w14:paraId="0A93137A" w14:textId="55F0B8D2" w:rsidR="00776A1F" w:rsidRDefault="00D8574B">
            <w:pPr>
              <w:pStyle w:val="P68B1DB1-Normal12"/>
              <w:keepNext/>
              <w:spacing w:before="40" w:after="0" w:line="240" w:lineRule="auto"/>
              <w:jc w:val="center"/>
              <w:rPr>
                <w:rFonts w:eastAsia="Times New Roman" w:cstheme="minorHAnsi"/>
                <w:noProof/>
              </w:rPr>
            </w:pPr>
            <w:r>
              <w:rPr>
                <w:noProof/>
              </w:rPr>
              <w:t>TC-C10-i07</w:t>
            </w:r>
          </w:p>
        </w:tc>
        <w:tc>
          <w:tcPr>
            <w:tcW w:w="1096" w:type="dxa"/>
            <w:shd w:val="clear" w:color="auto" w:fill="C4EFCE"/>
            <w:noWrap/>
            <w:vAlign w:val="center"/>
          </w:tcPr>
          <w:p w14:paraId="475EE951" w14:textId="77777777" w:rsidR="00776A1F" w:rsidRDefault="00D8574B">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1F299288" w14:textId="77777777" w:rsidR="00776A1F" w:rsidRDefault="00D8574B">
            <w:pPr>
              <w:pStyle w:val="P68B1DB1-Normal12"/>
              <w:keepNext/>
              <w:spacing w:before="40" w:after="0" w:line="240" w:lineRule="auto"/>
              <w:jc w:val="center"/>
              <w:rPr>
                <w:rFonts w:eastAsia="Times New Roman" w:cstheme="minorHAnsi"/>
                <w:noProof/>
              </w:rPr>
            </w:pPr>
            <w:r>
              <w:rPr>
                <w:noProof/>
              </w:rPr>
              <w:t>Izsludināts uzaicinājums iesniegt piedāvājumus par kuģu dekarbonizāciju</w:t>
            </w:r>
          </w:p>
        </w:tc>
        <w:tc>
          <w:tcPr>
            <w:tcW w:w="1231" w:type="dxa"/>
            <w:shd w:val="clear" w:color="auto" w:fill="C4EFCE"/>
            <w:noWrap/>
            <w:vAlign w:val="center"/>
          </w:tcPr>
          <w:p w14:paraId="18E73789" w14:textId="77777777" w:rsidR="00776A1F" w:rsidRDefault="00D8574B">
            <w:pPr>
              <w:pStyle w:val="P68B1DB1-Normal12"/>
              <w:keepNext/>
              <w:spacing w:before="40" w:after="0" w:line="240" w:lineRule="auto"/>
              <w:jc w:val="center"/>
              <w:rPr>
                <w:rFonts w:eastAsia="Times New Roman" w:cstheme="minorHAnsi"/>
                <w:noProof/>
              </w:rPr>
            </w:pPr>
            <w:r>
              <w:rPr>
                <w:noProof/>
              </w:rPr>
              <w:t>Izsludināts uzaicinājums iesniegt piedāvājumus par kuģu dekarbonizāciju</w:t>
            </w:r>
          </w:p>
        </w:tc>
        <w:tc>
          <w:tcPr>
            <w:tcW w:w="962" w:type="dxa"/>
            <w:shd w:val="clear" w:color="auto" w:fill="C4EFCE"/>
            <w:noWrap/>
            <w:vAlign w:val="center"/>
          </w:tcPr>
          <w:p w14:paraId="794A4B39" w14:textId="77777777" w:rsidR="00776A1F" w:rsidRDefault="00D8574B">
            <w:pPr>
              <w:pStyle w:val="P68B1DB1-Normal12"/>
              <w:keepNext/>
              <w:spacing w:before="40" w:after="0" w:line="240" w:lineRule="auto"/>
              <w:jc w:val="center"/>
              <w:rPr>
                <w:rFonts w:eastAsia="Times New Roman" w:cstheme="minorHAnsi"/>
                <w:noProof/>
              </w:rPr>
            </w:pPr>
            <w:r>
              <w:rPr>
                <w:noProof/>
              </w:rPr>
              <w:t xml:space="preserve"> </w:t>
            </w:r>
          </w:p>
        </w:tc>
        <w:tc>
          <w:tcPr>
            <w:tcW w:w="961" w:type="dxa"/>
            <w:shd w:val="clear" w:color="auto" w:fill="C4EFCE"/>
            <w:noWrap/>
            <w:vAlign w:val="center"/>
          </w:tcPr>
          <w:p w14:paraId="3234BC59" w14:textId="77777777" w:rsidR="00776A1F" w:rsidRDefault="00D8574B">
            <w:pPr>
              <w:pStyle w:val="P68B1DB1-Normal12"/>
              <w:keepNext/>
              <w:spacing w:before="40" w:after="0" w:line="240" w:lineRule="auto"/>
              <w:jc w:val="center"/>
              <w:rPr>
                <w:rFonts w:eastAsia="Times New Roman" w:cstheme="minorHAnsi"/>
                <w:noProof/>
              </w:rPr>
            </w:pPr>
            <w:r>
              <w:rPr>
                <w:noProof/>
              </w:rPr>
              <w:t xml:space="preserve"> </w:t>
            </w:r>
          </w:p>
        </w:tc>
        <w:tc>
          <w:tcPr>
            <w:tcW w:w="690" w:type="dxa"/>
            <w:shd w:val="clear" w:color="auto" w:fill="C4EFCE"/>
            <w:noWrap/>
            <w:vAlign w:val="center"/>
          </w:tcPr>
          <w:p w14:paraId="2C2A78E0" w14:textId="77777777" w:rsidR="00776A1F" w:rsidRDefault="00D8574B">
            <w:pPr>
              <w:pStyle w:val="P68B1DB1-Normal12"/>
              <w:keepNext/>
              <w:spacing w:before="40" w:after="0" w:line="240" w:lineRule="auto"/>
              <w:jc w:val="center"/>
              <w:rPr>
                <w:rFonts w:eastAsia="Times New Roman" w:cstheme="minorHAnsi"/>
                <w:noProof/>
              </w:rPr>
            </w:pPr>
            <w:r>
              <w:rPr>
                <w:noProof/>
              </w:rPr>
              <w:t xml:space="preserve"> </w:t>
            </w:r>
          </w:p>
        </w:tc>
        <w:tc>
          <w:tcPr>
            <w:tcW w:w="554" w:type="dxa"/>
            <w:shd w:val="clear" w:color="auto" w:fill="C4EFCE"/>
            <w:noWrap/>
            <w:vAlign w:val="center"/>
          </w:tcPr>
          <w:p w14:paraId="746BFB58" w14:textId="77777777" w:rsidR="00776A1F" w:rsidRDefault="00D8574B">
            <w:pPr>
              <w:pStyle w:val="P68B1DB1-Normal12"/>
              <w:keepNext/>
              <w:spacing w:before="40" w:after="0" w:line="240" w:lineRule="auto"/>
              <w:jc w:val="center"/>
              <w:rPr>
                <w:rFonts w:eastAsia="Times New Roman" w:cstheme="minorHAnsi"/>
                <w:noProof/>
              </w:rPr>
            </w:pPr>
            <w:r>
              <w:rPr>
                <w:noProof/>
              </w:rPr>
              <w:t>3. CET.</w:t>
            </w:r>
          </w:p>
        </w:tc>
        <w:tc>
          <w:tcPr>
            <w:tcW w:w="684" w:type="dxa"/>
            <w:shd w:val="clear" w:color="auto" w:fill="C4EFCE"/>
            <w:noWrap/>
            <w:vAlign w:val="center"/>
          </w:tcPr>
          <w:p w14:paraId="6D96543B" w14:textId="77777777" w:rsidR="00776A1F" w:rsidRDefault="00D8574B">
            <w:pPr>
              <w:pStyle w:val="P68B1DB1-Normal12"/>
              <w:keepNext/>
              <w:spacing w:before="40" w:after="0" w:line="240" w:lineRule="auto"/>
              <w:jc w:val="center"/>
              <w:rPr>
                <w:rFonts w:eastAsia="Times New Roman" w:cstheme="minorHAnsi"/>
                <w:noProof/>
              </w:rPr>
            </w:pPr>
            <w:r>
              <w:rPr>
                <w:noProof/>
              </w:rPr>
              <w:t>2023</w:t>
            </w:r>
          </w:p>
        </w:tc>
        <w:tc>
          <w:tcPr>
            <w:tcW w:w="5223" w:type="dxa"/>
            <w:shd w:val="clear" w:color="auto" w:fill="C4EFCE"/>
          </w:tcPr>
          <w:p w14:paraId="3B2A3F9D" w14:textId="4D7CF0E8" w:rsidR="00776A1F" w:rsidRDefault="00D8574B">
            <w:pPr>
              <w:pStyle w:val="P68B1DB1-Bodytext1013"/>
              <w:spacing w:before="40" w:after="0" w:line="240" w:lineRule="auto"/>
              <w:jc w:val="both"/>
              <w:rPr>
                <w:rFonts w:cstheme="minorHAnsi"/>
                <w:noProof/>
              </w:rPr>
            </w:pPr>
            <w:r>
              <w:rPr>
                <w:noProof/>
              </w:rPr>
              <w:t>Izsludināts uzaicinājums iesniegt piedāvājumus desmit jūras kravu un pasažieru transporta kuģu dekarbonizācijai, no kuriem vismaz 70 % kuģu pārsniedz 5000 bruto tilpību (GT).</w:t>
            </w:r>
          </w:p>
          <w:p w14:paraId="5ED73E54" w14:textId="18EEA591" w:rsidR="00776A1F" w:rsidRDefault="00D8574B">
            <w:pPr>
              <w:pStyle w:val="P68B1DB1-Bodytext1013"/>
              <w:spacing w:before="40" w:after="0" w:line="240" w:lineRule="auto"/>
              <w:jc w:val="both"/>
              <w:rPr>
                <w:rFonts w:eastAsia="@MS Mincho" w:cstheme="minorHAnsi"/>
                <w:noProof/>
              </w:rPr>
            </w:pPr>
            <w:r>
              <w:rPr>
                <w:noProof/>
              </w:rPr>
              <w:t>Darba uzdevumā iekļauj atbilstības kritērijus, kas nodrošina, ka atlasītie projekti atbilst Tehniskajiem norādījumiem “nenodari būtisku kaitējumu” (2021/C58/01) un veicina vismaz 10 % kuģa degvielas patēriņa samazinājumu, kas izteikts degvielas gramos uz kravnesības tonnu uz jūras jūdzi saskaņā ar pasākuma aprakstā izklāstītajām prasībām. Tajā iekļauj arī prasību ievērot ES un valstu tiesību aktus vides jomā.</w:t>
            </w:r>
          </w:p>
        </w:tc>
      </w:tr>
      <w:tr w:rsidR="00776A1F" w14:paraId="37D8A87F" w14:textId="77777777">
        <w:trPr>
          <w:trHeight w:val="61"/>
        </w:trPr>
        <w:tc>
          <w:tcPr>
            <w:tcW w:w="1101" w:type="dxa"/>
            <w:shd w:val="clear" w:color="auto" w:fill="C4EFCE"/>
            <w:vAlign w:val="center"/>
          </w:tcPr>
          <w:p w14:paraId="5DBA9BD7" w14:textId="1EF5F715" w:rsidR="00776A1F" w:rsidRDefault="00D8574B">
            <w:pPr>
              <w:pStyle w:val="P68B1DB1-Normal11"/>
              <w:keepNext/>
              <w:spacing w:after="0" w:line="240" w:lineRule="auto"/>
              <w:jc w:val="center"/>
              <w:rPr>
                <w:noProof/>
              </w:rPr>
            </w:pPr>
            <w:r>
              <w:rPr>
                <w:noProof/>
              </w:rPr>
              <w:t>10.18</w:t>
            </w:r>
          </w:p>
        </w:tc>
        <w:tc>
          <w:tcPr>
            <w:tcW w:w="1231" w:type="dxa"/>
            <w:shd w:val="clear" w:color="auto" w:fill="C4EFCE"/>
            <w:noWrap/>
            <w:vAlign w:val="center"/>
          </w:tcPr>
          <w:p w14:paraId="5AF95FF9" w14:textId="58BB736B" w:rsidR="00776A1F" w:rsidRDefault="00D8574B">
            <w:pPr>
              <w:pStyle w:val="P68B1DB1-Bodytext1013"/>
              <w:spacing w:after="0"/>
              <w:jc w:val="center"/>
              <w:rPr>
                <w:rFonts w:cstheme="minorHAnsi"/>
                <w:noProof/>
              </w:rPr>
            </w:pPr>
            <w:r>
              <w:rPr>
                <w:noProof/>
              </w:rPr>
              <w:t>TC-C10-i07</w:t>
            </w:r>
          </w:p>
        </w:tc>
        <w:tc>
          <w:tcPr>
            <w:tcW w:w="1096" w:type="dxa"/>
            <w:shd w:val="clear" w:color="auto" w:fill="C4EFCE"/>
            <w:noWrap/>
            <w:vAlign w:val="center"/>
          </w:tcPr>
          <w:p w14:paraId="2BE3AE46" w14:textId="77777777" w:rsidR="00776A1F" w:rsidRDefault="00D8574B">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58A16C99" w14:textId="77777777" w:rsidR="00776A1F" w:rsidRDefault="00D8574B">
            <w:pPr>
              <w:pStyle w:val="P68B1DB1-Normal12"/>
              <w:keepNext/>
              <w:spacing w:after="0" w:line="240" w:lineRule="auto"/>
              <w:jc w:val="center"/>
              <w:rPr>
                <w:rFonts w:eastAsia="Times New Roman" w:cstheme="minorHAnsi"/>
                <w:noProof/>
              </w:rPr>
            </w:pPr>
            <w:r>
              <w:rPr>
                <w:noProof/>
              </w:rPr>
              <w:t>Kuģu energoefektivitātes intervenču pabeigšana</w:t>
            </w:r>
          </w:p>
        </w:tc>
        <w:tc>
          <w:tcPr>
            <w:tcW w:w="1231" w:type="dxa"/>
            <w:shd w:val="clear" w:color="auto" w:fill="C4EFCE"/>
            <w:noWrap/>
            <w:vAlign w:val="center"/>
          </w:tcPr>
          <w:p w14:paraId="43D01A20" w14:textId="77777777" w:rsidR="00776A1F" w:rsidRDefault="00D8574B">
            <w:pPr>
              <w:pStyle w:val="P68B1DB1-Normal12"/>
              <w:keepNext/>
              <w:spacing w:after="0" w:line="240" w:lineRule="auto"/>
              <w:jc w:val="center"/>
              <w:rPr>
                <w:rFonts w:eastAsia="Times New Roman"/>
                <w:noProof/>
              </w:rPr>
            </w:pPr>
            <w:r>
              <w:rPr>
                <w:noProof/>
              </w:rPr>
              <w:t xml:space="preserve">Pierādījums par kuģu energoefektivitātes intervenču pabeigšanu </w:t>
            </w:r>
          </w:p>
        </w:tc>
        <w:tc>
          <w:tcPr>
            <w:tcW w:w="962" w:type="dxa"/>
            <w:shd w:val="clear" w:color="auto" w:fill="C4EFCE"/>
            <w:noWrap/>
            <w:vAlign w:val="center"/>
          </w:tcPr>
          <w:p w14:paraId="218710B9" w14:textId="77777777" w:rsidR="00776A1F" w:rsidRDefault="00D8574B">
            <w:pPr>
              <w:pStyle w:val="P68B1DB1-Normal12"/>
              <w:keepNext/>
              <w:spacing w:after="0" w:line="240" w:lineRule="auto"/>
              <w:jc w:val="center"/>
              <w:rPr>
                <w:rFonts w:eastAsia="Times New Roman" w:cstheme="minorHAnsi"/>
                <w:noProof/>
              </w:rPr>
            </w:pPr>
            <w:r>
              <w:rPr>
                <w:noProof/>
              </w:rPr>
              <w:t>Skaits</w:t>
            </w:r>
          </w:p>
        </w:tc>
        <w:tc>
          <w:tcPr>
            <w:tcW w:w="961" w:type="dxa"/>
            <w:shd w:val="clear" w:color="auto" w:fill="C4EFCE"/>
            <w:noWrap/>
            <w:vAlign w:val="center"/>
          </w:tcPr>
          <w:p w14:paraId="55994D8A" w14:textId="77777777" w:rsidR="00776A1F" w:rsidRDefault="00D8574B">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75409A25" w14:textId="77777777" w:rsidR="00776A1F" w:rsidRDefault="00D8574B">
            <w:pPr>
              <w:pStyle w:val="P68B1DB1-Normal12"/>
              <w:keepNext/>
              <w:spacing w:after="0" w:line="240" w:lineRule="auto"/>
              <w:jc w:val="center"/>
              <w:rPr>
                <w:rFonts w:eastAsia="Times New Roman" w:cstheme="minorHAnsi"/>
                <w:noProof/>
              </w:rPr>
            </w:pPr>
            <w:r>
              <w:rPr>
                <w:noProof/>
              </w:rPr>
              <w:t>10</w:t>
            </w:r>
          </w:p>
        </w:tc>
        <w:tc>
          <w:tcPr>
            <w:tcW w:w="554" w:type="dxa"/>
            <w:shd w:val="clear" w:color="auto" w:fill="C4EFCE"/>
            <w:noWrap/>
            <w:vAlign w:val="center"/>
          </w:tcPr>
          <w:p w14:paraId="4A6676AD" w14:textId="77777777" w:rsidR="00776A1F" w:rsidRDefault="00D8574B">
            <w:pPr>
              <w:pStyle w:val="P68B1DB1-Normal12"/>
              <w:keepNext/>
              <w:spacing w:after="0" w:line="240" w:lineRule="auto"/>
              <w:jc w:val="center"/>
              <w:rPr>
                <w:rFonts w:eastAsia="Times New Roman" w:cstheme="minorHAnsi"/>
                <w:noProof/>
              </w:rPr>
            </w:pPr>
            <w:r>
              <w:rPr>
                <w:noProof/>
              </w:rPr>
              <w:t>2. CET.</w:t>
            </w:r>
          </w:p>
        </w:tc>
        <w:tc>
          <w:tcPr>
            <w:tcW w:w="684" w:type="dxa"/>
            <w:shd w:val="clear" w:color="auto" w:fill="C4EFCE"/>
            <w:noWrap/>
            <w:vAlign w:val="center"/>
          </w:tcPr>
          <w:p w14:paraId="57E3A0CA" w14:textId="77777777" w:rsidR="00776A1F" w:rsidRDefault="00D8574B">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512948BF" w14:textId="2C383CAF" w:rsidR="00776A1F" w:rsidRDefault="00D8574B">
            <w:pPr>
              <w:pStyle w:val="P68B1DB1-Bodytext1013"/>
              <w:spacing w:before="40" w:after="0" w:line="240" w:lineRule="auto"/>
              <w:jc w:val="both"/>
              <w:rPr>
                <w:rFonts w:cstheme="minorBidi"/>
                <w:noProof/>
              </w:rPr>
            </w:pPr>
            <w:r>
              <w:rPr>
                <w:noProof/>
              </w:rPr>
              <w:t>Energoefektivitātes intervences pasākumu pabeigšana desmit kravas un pasažieru transporta kuģiem, no kuriem vismaz 70 % kuģu pārsniedz 5000 bruto tilpību (GT).</w:t>
            </w:r>
          </w:p>
        </w:tc>
      </w:tr>
    </w:tbl>
    <w:p w14:paraId="51500205" w14:textId="77777777" w:rsidR="00776A1F" w:rsidRDefault="00776A1F">
      <w:pPr>
        <w:rPr>
          <w:noProof/>
        </w:rPr>
      </w:pPr>
    </w:p>
    <w:p w14:paraId="52BB7A4E"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D5518">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60"/>
        </w:sectPr>
      </w:pPr>
    </w:p>
    <w:p w14:paraId="6761070D" w14:textId="3282687D"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K. 11. SASTĀVDAĻA: Rūpniecības dekarbonizācija</w:t>
      </w:r>
    </w:p>
    <w:p w14:paraId="1058769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Portugāles atveseļošanas un noturības plāna komponents risina problēmu, kas saistīta ar rūpniecības un rūpniecības procesu ieguldījumu oglekļneitralitātes mērķu sasniegšanā, kā noteikts Oglekļa neitralitātes ceļvedī 2050. gadam un nacionālajā enerģētikas un klimata plānā 2030. gadam. Tam nepieciešama strukturāla pārveide, kuras pamatā ir rūpnieciskās darbības pārveidošana, ražošanas procesu izmaiņas un resursu izmantošanas veids. </w:t>
      </w:r>
    </w:p>
    <w:p w14:paraId="2CCA0B72" w14:textId="77777777" w:rsidR="00776A1F" w:rsidRDefault="00D8574B">
      <w:pPr>
        <w:pStyle w:val="P68B1DB1-Normal4"/>
        <w:keepNext/>
        <w:spacing w:before="40" w:after="0" w:line="259" w:lineRule="auto"/>
        <w:jc w:val="both"/>
        <w:rPr>
          <w:rFonts w:eastAsiaTheme="minorEastAsia" w:cs="Times New Roman"/>
          <w:noProof/>
        </w:rPr>
      </w:pPr>
      <w:r>
        <w:rPr>
          <w:noProof/>
        </w:rPr>
        <w:t>Šā komponenta pasākuma mērķis ir veicināt dekarbonizāciju, energoefektivitāti un resursefektivitāti un alternatīvu enerģijas avotu izmantošanu rūpnieciskajos procesos. Atbalstāmie projekti ir saistīti arī ar jaunām tehnoloģijām, inovāciju un rūpniecības digitalizāciju, cenšoties panākt lielāku efektivitāti dažādos ražošanas un organizatoriskajos procesos.</w:t>
      </w:r>
    </w:p>
    <w:p w14:paraId="5E25DBAB" w14:textId="77777777" w:rsidR="00776A1F" w:rsidRDefault="00D8574B">
      <w:pPr>
        <w:pStyle w:val="P68B1DB1-Normal4"/>
        <w:keepNext/>
        <w:spacing w:before="40" w:after="0" w:line="259" w:lineRule="auto"/>
        <w:jc w:val="both"/>
        <w:rPr>
          <w:rFonts w:eastAsiaTheme="minorEastAsia" w:cs="Times New Roman"/>
          <w:noProof/>
        </w:rPr>
      </w:pPr>
      <w:r>
        <w:rPr>
          <w:noProof/>
        </w:rPr>
        <w:t>Komponents veicina Portugāles rūpniecības klimatisko pārkārtošanos un atbalsta tās konkurētspēju. Tas palīdz īstenot konkrētām valstīm adresētos ieteikumus par investīcijām zaļās pārkārtošanās procesā, jo īpaši par tīru un efektīvu enerģijas ražošanu un izmantošanu (valsts īpašais ieteikums Nr. 3 2020) un par investīcijām pētniecībā un inovācijā (valsts konkrētie ieteikumi Nr. 3 2019 un 2020).</w:t>
      </w:r>
    </w:p>
    <w:p w14:paraId="6D69255B"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5CB0606"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K.1. Neatmaksājamam finansiālajam atbalstam pieteikto reformu un investīciju apraksts</w:t>
      </w:r>
    </w:p>
    <w:p w14:paraId="08B2F8AA"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TC-C11-i01: Rūpniecības dekarbonizācija</w:t>
      </w:r>
    </w:p>
    <w:p w14:paraId="54FA3533"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Šīs investīcijas ietver inovācijas projektu veicināšanu un finansiālu atbalstu nozarēs četrās jomās: </w:t>
      </w:r>
    </w:p>
    <w:p w14:paraId="1DD7BC26" w14:textId="77777777" w:rsidR="00776A1F" w:rsidRDefault="00D8574B">
      <w:pPr>
        <w:pStyle w:val="P68B1DB1-Normal4"/>
        <w:keepNext/>
        <w:numPr>
          <w:ilvl w:val="0"/>
          <w:numId w:val="29"/>
        </w:numPr>
        <w:spacing w:before="40" w:after="160" w:line="259" w:lineRule="auto"/>
        <w:contextualSpacing/>
        <w:jc w:val="both"/>
        <w:rPr>
          <w:rFonts w:eastAsiaTheme="minorEastAsia" w:cs="Times New Roman"/>
          <w:noProof/>
        </w:rPr>
      </w:pPr>
      <w:r>
        <w:rPr>
          <w:noProof/>
        </w:rPr>
        <w:t>mazoglekļa procesi un tehnoloģijas: mērķis ir atbalstīt jaunu tehnoloģiju ieviešanu vai uzlabotus ražošanas procesus to dekarbonizācijai, piemēram, iekļaujot jaunas izejvielas un aprites ekonomikas pasākumus, inovācijas pasākumus, aprīkojuma aizstāšanu un/vai pielāgošanu, enerģijas galapatēriņa elektrifikācijas palielināšanu;</w:t>
      </w:r>
    </w:p>
    <w:p w14:paraId="7859B061" w14:textId="77777777" w:rsidR="00776A1F" w:rsidRDefault="00D8574B">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energoefektivitātes pasākumi: atbalstīto projektu mērķis ir samazināt enerģijas patēriņu un siltumnīcefekta gāzu emisijas, piemēram, optimizējot vai aizstājot dzinējus un aprīkojumu, optimizējot procesus, pieņemot monitoringa un patēriņa pārvaldības sistēmas; </w:t>
      </w:r>
    </w:p>
    <w:p w14:paraId="23D06A62" w14:textId="77777777" w:rsidR="00776A1F" w:rsidRDefault="00D8574B">
      <w:pPr>
        <w:pStyle w:val="P68B1DB1-Normal4"/>
        <w:keepNext/>
        <w:numPr>
          <w:ilvl w:val="0"/>
          <w:numId w:val="29"/>
        </w:numPr>
        <w:spacing w:before="40" w:after="120" w:line="240" w:lineRule="auto"/>
        <w:contextualSpacing/>
        <w:jc w:val="both"/>
        <w:rPr>
          <w:rFonts w:eastAsiaTheme="minorEastAsia" w:cs="Times New Roman"/>
          <w:noProof/>
        </w:rPr>
      </w:pPr>
      <w:r>
        <w:rPr>
          <w:noProof/>
        </w:rPr>
        <w:t xml:space="preserve">atjaunīgās enerģijas un uzkrāšanas iekļaušana, piemēram, uzstādot saules enerģijas sistēmas, atjaunojamā siltuma ražošanu, augstas efektivitātes koģenerāciju, atjaunīgā ūdeņraža un atjaunīgo gāzu ražošanu un izmantošanu, ja dekarbonizācijas tehnoloģiskās iespējas, tostarp ar elektrifikāciju, ir ierobežotākas; </w:t>
      </w:r>
    </w:p>
    <w:p w14:paraId="0D8DEFDF" w14:textId="77777777" w:rsidR="00776A1F" w:rsidRDefault="00D8574B">
      <w:pPr>
        <w:pStyle w:val="P68B1DB1-Normal4"/>
        <w:keepNext/>
        <w:numPr>
          <w:ilvl w:val="0"/>
          <w:numId w:val="29"/>
        </w:numPr>
        <w:spacing w:before="40" w:after="120" w:line="240" w:lineRule="auto"/>
        <w:contextualSpacing/>
        <w:jc w:val="both"/>
        <w:rPr>
          <w:rFonts w:eastAsiaTheme="minorEastAsia" w:cs="Times New Roman"/>
          <w:noProof/>
        </w:rPr>
      </w:pPr>
      <w:r>
        <w:rPr>
          <w:noProof/>
        </w:rPr>
        <w:t>dekarbonizācijas ceļvežu un spēju veidošanas iniciatīvu izstrāde, piemēram, apzinot un izplatot efektīvus tehnoloģiskos risinājumus, apmācības pasākumus, informācijas apmaiņas platformas.</w:t>
      </w:r>
    </w:p>
    <w:p w14:paraId="1937EF51" w14:textId="2F797FB0" w:rsidR="00776A1F" w:rsidRDefault="00D8574B">
      <w:pPr>
        <w:pStyle w:val="P68B1DB1-Normal4"/>
        <w:keepNext/>
        <w:spacing w:before="40" w:after="0" w:line="259" w:lineRule="auto"/>
        <w:jc w:val="both"/>
        <w:rPr>
          <w:rFonts w:eastAsiaTheme="minorEastAsia" w:cs="Times New Roman"/>
          <w:noProof/>
        </w:rPr>
      </w:pPr>
      <w:r>
        <w:rPr>
          <w:noProof/>
        </w:rPr>
        <w:t xml:space="preserve">Atbalstu piešķir, izmantojot konkursa procedūras (2021–2024), gan maziem un vidējiem uzņēmumiem, gan lieliem uzņēmumiem rūpniecības un enerģijas ražošanas jomā, tostarp rūpniecības apgabala pārvaldības struktūrām, enerģijas pārvades un sadales sistēmu operatoriem, rūpniecības un enerģētikas uzņēmumu apvienībām un citiem subjektiem. Investīciju mērķis ir atbalstīt vismaz 310 dažāda lieluma projektus: mazs (vidēji EUR 1000000), vidējs (vidēji EUR 5000000) un liels (vidēji EUR 10000000). Konkurss ir vērsts uz nozarēm ar vislielāko SEG intensitāti, bet tas ir atvērts visai rūpniecības nozarei, aptverot gan ETS, gan ETS neaptvertās iekārtas. Projekti, kas atlasīti 024ter intervences jomā, nodrošina SEG emisiju samazinājumu attiecīgajās rūpnieciskajās iekārtās vismaz par 30 %, tādējādi veicinot Portugāles klimata mērķu sasniegšanu nacionālā enerģētikas un klimata plāna īstenošanas ietvaros. </w:t>
      </w:r>
    </w:p>
    <w:p w14:paraId="11E4BDD6" w14:textId="77777777" w:rsidR="00776A1F" w:rsidRDefault="00D8574B">
      <w:pPr>
        <w:pStyle w:val="P68B1DB1-Normal4"/>
        <w:keepNext/>
        <w:spacing w:before="40" w:after="0" w:line="259" w:lineRule="auto"/>
        <w:jc w:val="both"/>
        <w:rPr>
          <w:rFonts w:eastAsiaTheme="minorEastAsia" w:cs="Times New Roman"/>
          <w:noProof/>
        </w:rPr>
      </w:pPr>
      <w:r>
        <w:rPr>
          <w:noProof/>
        </w:rPr>
        <w:t>Lai nodrošinātu, ka pasākums atbilst Tehniskajām vadlīnijām “Nenodari būtisku kaitējumu” (2021/C58/01), atbilstības kritērijos, kas ietverti darba uzdevumā turpmākajiem uzaicinājumiem iesniegt projektus, izslēdz šādu darbību sarakstu: darbības, kas saistītas ar fosilajiem kurināmajiem, tostarp pakārtota izmantošana</w:t>
      </w:r>
      <w:r>
        <w:rPr>
          <w:noProof/>
        </w:rPr>
        <w:footnoteReference w:id="44"/>
      </w:r>
      <w:r>
        <w:rPr>
          <w:noProof/>
        </w:rPr>
        <w:t>; darbības ES emisijas kvotu tirdzniecības sistēmas (ETS) ietvaros, lai sasniegtu prognozētās siltumnīcefekta gāzu emisijas, kas nav zemākas par attiecīgajām līmeņatzīmēm</w:t>
      </w:r>
      <w:r>
        <w:rPr>
          <w:noProof/>
        </w:rPr>
        <w:footnoteReference w:id="45"/>
      </w:r>
      <w:r>
        <w:rPr>
          <w:noProof/>
        </w:rPr>
        <w:t>; III) darbības, kas saistītas ar atkritumu poligoniem, atkritumu sadedzināšanas iekārtām</w:t>
      </w:r>
      <w:r>
        <w:rPr>
          <w:noProof/>
        </w:rPr>
        <w:footnoteReference w:id="46"/>
      </w:r>
      <w:r>
        <w:rPr>
          <w:noProof/>
        </w:rPr>
        <w:t xml:space="preserve"> un mehāniski bioloģiskās apstrādes iekārtām</w:t>
      </w:r>
      <w:r>
        <w:rPr>
          <w:noProof/>
        </w:rPr>
        <w:footnoteReference w:id="47"/>
      </w:r>
      <w:r>
        <w:rPr>
          <w:noProof/>
        </w:rPr>
        <w:t>; un iv) darbības, kurās atkritumu ilgtermiņa apglabāšana var radīt kaitējumu videi. Darba uzdevumā papildus nosaka, ka var atlasīt tikai tās darbības, kas atbilst attiecīgajiem ES un valsts tiesību aktiem vides jomā.</w:t>
      </w:r>
    </w:p>
    <w:p w14:paraId="371668F9"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54B8E0F2"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60"/>
        </w:sectPr>
      </w:pPr>
    </w:p>
    <w:p w14:paraId="539A7A4E"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 xml:space="preserve">K.2. </w:t>
      </w:r>
      <w:r>
        <w:rPr>
          <w:noProof/>
        </w:rPr>
        <w:tab/>
        <w:t>Atskaites punkti, mērķrādītāji, citi rādītāji un neatmaksājamā finansiālā atbalsta uzraudzības un īstenošanas grafiks</w:t>
      </w:r>
    </w:p>
    <w:p w14:paraId="6852ECBB"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pPr w:leftFromText="180" w:rightFromText="180" w:vertAnchor="text" w:tblpX="-176"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55"/>
        <w:gridCol w:w="720"/>
        <w:gridCol w:w="3969"/>
      </w:tblGrid>
      <w:tr w:rsidR="00776A1F" w14:paraId="62BD13B6" w14:textId="77777777">
        <w:trPr>
          <w:trHeight w:val="910"/>
          <w:tblHeader/>
        </w:trPr>
        <w:tc>
          <w:tcPr>
            <w:tcW w:w="1135" w:type="dxa"/>
            <w:vMerge w:val="restart"/>
            <w:shd w:val="clear" w:color="auto" w:fill="BDD6EE"/>
            <w:vAlign w:val="center"/>
            <w:hideMark/>
          </w:tcPr>
          <w:p w14:paraId="5050BF70"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44CD0F0B"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shd w:val="clear" w:color="auto" w:fill="BDD6EE"/>
            <w:vAlign w:val="center"/>
            <w:hideMark/>
          </w:tcPr>
          <w:p w14:paraId="09C6ED4B" w14:textId="77777777" w:rsidR="00776A1F" w:rsidRDefault="00D8574B">
            <w:pPr>
              <w:pStyle w:val="P68B1DB1-Normal6"/>
              <w:spacing w:after="0" w:line="240" w:lineRule="auto"/>
              <w:jc w:val="center"/>
              <w:rPr>
                <w:rFonts w:eastAsia="Times New Roman" w:cs="Times New Roman"/>
                <w:noProof/>
                <w:sz w:val="14"/>
              </w:rPr>
            </w:pPr>
            <w:r>
              <w:rPr>
                <w:noProof/>
              </w:rPr>
              <w:t>Stūrakmens/</w:t>
            </w:r>
          </w:p>
        </w:tc>
        <w:tc>
          <w:tcPr>
            <w:tcW w:w="1701" w:type="dxa"/>
            <w:vMerge w:val="restart"/>
            <w:shd w:val="clear" w:color="auto" w:fill="BDD6EE"/>
            <w:vAlign w:val="center"/>
            <w:hideMark/>
          </w:tcPr>
          <w:p w14:paraId="2F8A16FC"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5FA098FD"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vAlign w:val="center"/>
            <w:hideMark/>
          </w:tcPr>
          <w:p w14:paraId="2F19FAC7"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12B6681B"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7AC4960B"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521639A7" w14:textId="77777777">
        <w:trPr>
          <w:trHeight w:val="470"/>
          <w:tblHeader/>
        </w:trPr>
        <w:tc>
          <w:tcPr>
            <w:tcW w:w="1135" w:type="dxa"/>
            <w:vMerge/>
            <w:vAlign w:val="center"/>
            <w:hideMark/>
          </w:tcPr>
          <w:p w14:paraId="0AAA26BB"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3C9C7FD8" w14:textId="77777777" w:rsidR="00776A1F" w:rsidRDefault="00776A1F">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5AE145E1" w14:textId="77777777" w:rsidR="00776A1F" w:rsidRDefault="00D8574B">
            <w:pPr>
              <w:pStyle w:val="P68B1DB1-Normal6"/>
              <w:spacing w:after="0" w:line="240" w:lineRule="auto"/>
              <w:jc w:val="center"/>
              <w:rPr>
                <w:rFonts w:eastAsia="Times New Roman" w:cs="Times New Roman"/>
                <w:noProof/>
                <w:sz w:val="14"/>
              </w:rPr>
            </w:pPr>
            <w:r>
              <w:rPr>
                <w:noProof/>
              </w:rPr>
              <w:t>Mērķa</w:t>
            </w:r>
          </w:p>
        </w:tc>
        <w:tc>
          <w:tcPr>
            <w:tcW w:w="1701" w:type="dxa"/>
            <w:vMerge/>
            <w:vAlign w:val="center"/>
            <w:hideMark/>
          </w:tcPr>
          <w:p w14:paraId="0F429C5D"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0975442D"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72C52226"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0FBC07AA"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vAlign w:val="center"/>
            <w:hideMark/>
          </w:tcPr>
          <w:p w14:paraId="3B7EC1FA"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55" w:type="dxa"/>
            <w:shd w:val="clear" w:color="auto" w:fill="BDD6EE"/>
            <w:vAlign w:val="center"/>
            <w:hideMark/>
          </w:tcPr>
          <w:p w14:paraId="08E456A9" w14:textId="77777777" w:rsidR="00776A1F" w:rsidRDefault="00D8574B">
            <w:pPr>
              <w:pStyle w:val="P68B1DB1-Normal6"/>
              <w:spacing w:after="0" w:line="240" w:lineRule="auto"/>
              <w:jc w:val="center"/>
              <w:rPr>
                <w:rFonts w:eastAsia="Times New Roman" w:cs="Times New Roman"/>
                <w:noProof/>
              </w:rPr>
            </w:pPr>
            <w:r>
              <w:rPr>
                <w:noProof/>
              </w:rPr>
              <w:t>Q</w:t>
            </w:r>
          </w:p>
        </w:tc>
        <w:tc>
          <w:tcPr>
            <w:tcW w:w="720" w:type="dxa"/>
            <w:shd w:val="clear" w:color="auto" w:fill="BDD6EE"/>
            <w:vAlign w:val="center"/>
            <w:hideMark/>
          </w:tcPr>
          <w:p w14:paraId="3ADD45C5"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55CA6F21" w14:textId="77777777" w:rsidR="00776A1F" w:rsidRDefault="00776A1F">
            <w:pPr>
              <w:spacing w:after="0" w:line="240" w:lineRule="auto"/>
              <w:rPr>
                <w:rFonts w:ascii="Times New Roman" w:eastAsia="Times New Roman" w:hAnsi="Times New Roman" w:cs="Times New Roman"/>
                <w:b/>
                <w:noProof/>
                <w:sz w:val="18"/>
              </w:rPr>
            </w:pPr>
          </w:p>
        </w:tc>
      </w:tr>
      <w:tr w:rsidR="00776A1F" w14:paraId="528553E7" w14:textId="77777777">
        <w:trPr>
          <w:trHeight w:val="630"/>
        </w:trPr>
        <w:tc>
          <w:tcPr>
            <w:tcW w:w="1135" w:type="dxa"/>
            <w:shd w:val="clear" w:color="auto" w:fill="C4EFCE"/>
            <w:vAlign w:val="center"/>
            <w:hideMark/>
          </w:tcPr>
          <w:p w14:paraId="39AE8E64" w14:textId="77777777" w:rsidR="00776A1F" w:rsidRDefault="00D8574B">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78995A2E" w14:textId="77777777" w:rsidR="00776A1F" w:rsidRDefault="00D8574B">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2E259E55"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37F406" w14:textId="77777777" w:rsidR="00776A1F" w:rsidRDefault="00D8574B">
            <w:pPr>
              <w:pStyle w:val="P68B1DB1-Normal8"/>
              <w:spacing w:after="0" w:line="240" w:lineRule="auto"/>
              <w:jc w:val="center"/>
              <w:rPr>
                <w:rFonts w:eastAsia="Times New Roman" w:cs="Calibri"/>
                <w:noProof/>
              </w:rPr>
            </w:pPr>
            <w:r>
              <w:rPr>
                <w:noProof/>
              </w:rPr>
              <w:t xml:space="preserve">Pirmais uzaicinājums iesniegt piedāvājumus par rūpniecības dekarbonizācijas projektiem </w:t>
            </w:r>
          </w:p>
        </w:tc>
        <w:tc>
          <w:tcPr>
            <w:tcW w:w="1275" w:type="dxa"/>
            <w:shd w:val="clear" w:color="auto" w:fill="C4EFCE"/>
            <w:noWrap/>
            <w:vAlign w:val="center"/>
            <w:hideMark/>
          </w:tcPr>
          <w:p w14:paraId="21997F85" w14:textId="77777777" w:rsidR="00776A1F" w:rsidRDefault="00D8574B">
            <w:pPr>
              <w:pStyle w:val="P68B1DB1-Normal8"/>
              <w:spacing w:after="0" w:line="240" w:lineRule="auto"/>
              <w:jc w:val="center"/>
              <w:rPr>
                <w:rFonts w:eastAsia="Times New Roman" w:cs="Calibri"/>
                <w:noProof/>
              </w:rPr>
            </w:pPr>
            <w:r>
              <w:rPr>
                <w:noProof/>
              </w:rPr>
              <w:t>Izsludināts pirmais uzaicinājums uz konkursu</w:t>
            </w:r>
          </w:p>
        </w:tc>
        <w:tc>
          <w:tcPr>
            <w:tcW w:w="993" w:type="dxa"/>
            <w:shd w:val="clear" w:color="auto" w:fill="C4EFCE"/>
            <w:noWrap/>
            <w:vAlign w:val="center"/>
            <w:hideMark/>
          </w:tcPr>
          <w:p w14:paraId="18BDD62E"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5CE536A"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762E5E6" w14:textId="77777777" w:rsidR="00776A1F" w:rsidRDefault="00D8574B">
            <w:pPr>
              <w:pStyle w:val="P68B1DB1-Normal8"/>
              <w:spacing w:after="0" w:line="240" w:lineRule="auto"/>
              <w:jc w:val="center"/>
              <w:rPr>
                <w:rFonts w:eastAsia="Times New Roman" w:cs="Calibri"/>
                <w:noProof/>
              </w:rPr>
            </w:pPr>
            <w:r>
              <w:rPr>
                <w:noProof/>
              </w:rPr>
              <w:t> </w:t>
            </w:r>
          </w:p>
        </w:tc>
        <w:tc>
          <w:tcPr>
            <w:tcW w:w="555" w:type="dxa"/>
            <w:shd w:val="clear" w:color="auto" w:fill="C4EFCE"/>
            <w:noWrap/>
            <w:vAlign w:val="center"/>
            <w:hideMark/>
          </w:tcPr>
          <w:p w14:paraId="481A5A9B" w14:textId="77777777" w:rsidR="00776A1F" w:rsidRDefault="00D8574B">
            <w:pPr>
              <w:pStyle w:val="P68B1DB1-Normal8"/>
              <w:spacing w:after="0" w:line="240" w:lineRule="auto"/>
              <w:jc w:val="center"/>
              <w:rPr>
                <w:rFonts w:eastAsia="Times New Roman" w:cs="Calibri"/>
                <w:noProof/>
              </w:rPr>
            </w:pPr>
            <w:r>
              <w:rPr>
                <w:noProof/>
              </w:rPr>
              <w:t>4. CET.</w:t>
            </w:r>
          </w:p>
        </w:tc>
        <w:tc>
          <w:tcPr>
            <w:tcW w:w="720" w:type="dxa"/>
            <w:shd w:val="clear" w:color="auto" w:fill="C4EFCE"/>
            <w:noWrap/>
            <w:vAlign w:val="center"/>
            <w:hideMark/>
          </w:tcPr>
          <w:p w14:paraId="3612D309"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9006C92" w14:textId="77777777" w:rsidR="00776A1F" w:rsidRDefault="00D8574B">
            <w:pPr>
              <w:pStyle w:val="P68B1DB1-Normal8"/>
              <w:spacing w:after="0" w:line="240" w:lineRule="auto"/>
              <w:jc w:val="both"/>
              <w:rPr>
                <w:rFonts w:eastAsia="Times New Roman" w:cs="Calibri"/>
                <w:noProof/>
              </w:rPr>
            </w:pPr>
            <w:r>
              <w:rPr>
                <w:noProof/>
              </w:rPr>
              <w:t xml:space="preserve">Tiek izsludināts pirmais uzaicinājums iesniegt priekšlikumus rūpniecības dekarbonizācijas projektiem, kas attiecas vismaz uz vienu no šādām jomām: mazoglekļa procesi un tehnoloģijas; energoefektivitātes pasākumu pieņemšana; atjaunojamo energoresursu enerģijas iekļaušana un enerģijas uzkrāšana; un uzņēmējdarbības iespēju palielināšana. </w:t>
            </w:r>
          </w:p>
          <w:p w14:paraId="730294B7" w14:textId="77777777" w:rsidR="00776A1F" w:rsidRDefault="00D8574B">
            <w:pPr>
              <w:pStyle w:val="P68B1DB1-Normal8"/>
              <w:spacing w:after="0" w:line="240" w:lineRule="auto"/>
              <w:jc w:val="both"/>
              <w:rPr>
                <w:rFonts w:eastAsia="Times New Roman" w:cs="Calibri"/>
                <w:noProof/>
              </w:rPr>
            </w:pPr>
            <w:r>
              <w:rPr>
                <w:noProof/>
              </w:rPr>
              <w:t xml:space="preserve">Darba uzdevumā iekļauj atbilstības kritērijus, kas nodrošina, ka atlasītie projekti atbilst tehniskajiem norādījumiem “Nenodari būtisku kaitējumu” (2021/C58/01), izmantojot izslēgšanas sarakstu un prasību par atbilstību attiecīgajiem ES un valsts tiesību aktiem vides jomā. </w:t>
            </w:r>
          </w:p>
          <w:p w14:paraId="0B36DB3C" w14:textId="349C80B6" w:rsidR="00776A1F" w:rsidRDefault="00D8574B">
            <w:pPr>
              <w:pStyle w:val="P68B1DB1-Normal8"/>
              <w:spacing w:after="0" w:line="240" w:lineRule="auto"/>
              <w:jc w:val="both"/>
              <w:rPr>
                <w:rFonts w:eastAsia="Times New Roman" w:cs="Calibri"/>
                <w:noProof/>
              </w:rPr>
            </w:pPr>
            <w:r>
              <w:rPr>
                <w:noProof/>
              </w:rPr>
              <w:t>Šis uzaicinājums iesniegt piedāvājumus nodrošina vidējo tiešo un netiešo SEG emisiju samazinājumu par 30 % rūpnieciskajām iekārtām, kuras saņem atbalstu projektiem, kas atbilst intervences jomai 024ter. Prioritārā kārtā atbalsta projektus ar visaugstāko dekarbonizācijas efektivitāti.</w:t>
            </w:r>
          </w:p>
        </w:tc>
      </w:tr>
      <w:tr w:rsidR="00776A1F" w14:paraId="04058E6B" w14:textId="77777777">
        <w:trPr>
          <w:trHeight w:val="630"/>
        </w:trPr>
        <w:tc>
          <w:tcPr>
            <w:tcW w:w="1135" w:type="dxa"/>
            <w:shd w:val="clear" w:color="auto" w:fill="C4EFCE"/>
            <w:vAlign w:val="center"/>
            <w:hideMark/>
          </w:tcPr>
          <w:p w14:paraId="2517AFD7" w14:textId="77777777" w:rsidR="00776A1F" w:rsidRDefault="00D8574B">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18C1A1E0" w14:textId="77777777" w:rsidR="00776A1F" w:rsidRDefault="00D8574B">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576BCEE3"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DECC35D" w14:textId="77777777" w:rsidR="00776A1F" w:rsidRDefault="00D8574B">
            <w:pPr>
              <w:pStyle w:val="P68B1DB1-Normal8"/>
              <w:spacing w:after="0" w:line="240" w:lineRule="auto"/>
              <w:jc w:val="center"/>
              <w:rPr>
                <w:rFonts w:eastAsia="Times New Roman" w:cs="Calibri"/>
                <w:noProof/>
              </w:rPr>
            </w:pPr>
            <w:r>
              <w:rPr>
                <w:noProof/>
              </w:rPr>
              <w:t>Līgumu par finansiālā atbalsta piešķiršanu parakstīšana</w:t>
            </w:r>
          </w:p>
        </w:tc>
        <w:tc>
          <w:tcPr>
            <w:tcW w:w="1275" w:type="dxa"/>
            <w:shd w:val="clear" w:color="auto" w:fill="C4EFCE"/>
            <w:noWrap/>
            <w:vAlign w:val="center"/>
            <w:hideMark/>
          </w:tcPr>
          <w:p w14:paraId="5F0FAC03" w14:textId="77777777" w:rsidR="00776A1F" w:rsidRDefault="00D8574B">
            <w:pPr>
              <w:pStyle w:val="P68B1DB1-Normal8"/>
              <w:spacing w:after="0" w:line="240" w:lineRule="auto"/>
              <w:jc w:val="center"/>
              <w:rPr>
                <w:rFonts w:eastAsia="Times New Roman" w:cs="Calibri"/>
                <w:noProof/>
              </w:rPr>
            </w:pPr>
            <w:r>
              <w:rPr>
                <w:noProof/>
              </w:rPr>
              <w:t>Līgumu par finansiālā atbalsta piešķiršanu parakstīšana</w:t>
            </w:r>
          </w:p>
        </w:tc>
        <w:tc>
          <w:tcPr>
            <w:tcW w:w="993" w:type="dxa"/>
            <w:shd w:val="clear" w:color="auto" w:fill="C4EFCE"/>
            <w:noWrap/>
            <w:vAlign w:val="center"/>
            <w:hideMark/>
          </w:tcPr>
          <w:p w14:paraId="7746D823"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DEA9E0"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027FD9F" w14:textId="77777777" w:rsidR="00776A1F" w:rsidRDefault="00D8574B">
            <w:pPr>
              <w:pStyle w:val="P68B1DB1-Normal8"/>
              <w:spacing w:after="0" w:line="240" w:lineRule="auto"/>
              <w:rPr>
                <w:rFonts w:eastAsia="Times New Roman" w:cs="Calibri"/>
                <w:noProof/>
              </w:rPr>
            </w:pPr>
            <w:r>
              <w:rPr>
                <w:noProof/>
              </w:rPr>
              <w:t> </w:t>
            </w:r>
          </w:p>
        </w:tc>
        <w:tc>
          <w:tcPr>
            <w:tcW w:w="555" w:type="dxa"/>
            <w:shd w:val="clear" w:color="auto" w:fill="C4EFCE"/>
            <w:noWrap/>
            <w:vAlign w:val="center"/>
            <w:hideMark/>
          </w:tcPr>
          <w:p w14:paraId="5939915B" w14:textId="77777777" w:rsidR="00776A1F" w:rsidRDefault="00D8574B">
            <w:pPr>
              <w:pStyle w:val="P68B1DB1-Normal8"/>
              <w:spacing w:after="0" w:line="240" w:lineRule="auto"/>
              <w:jc w:val="center"/>
              <w:rPr>
                <w:rFonts w:eastAsia="Times New Roman" w:cs="Calibri"/>
                <w:noProof/>
              </w:rPr>
            </w:pPr>
            <w:r>
              <w:rPr>
                <w:noProof/>
              </w:rPr>
              <w:t>4. CET.</w:t>
            </w:r>
          </w:p>
        </w:tc>
        <w:tc>
          <w:tcPr>
            <w:tcW w:w="720" w:type="dxa"/>
            <w:shd w:val="clear" w:color="auto" w:fill="C4EFCE"/>
            <w:noWrap/>
            <w:vAlign w:val="center"/>
            <w:hideMark/>
          </w:tcPr>
          <w:p w14:paraId="108A2CAC" w14:textId="77777777" w:rsidR="00776A1F" w:rsidRDefault="00D8574B">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EF1A53F" w14:textId="77777777" w:rsidR="00776A1F" w:rsidRDefault="00D8574B">
            <w:pPr>
              <w:pStyle w:val="P68B1DB1-Normal8"/>
              <w:spacing w:after="0" w:line="240" w:lineRule="auto"/>
              <w:jc w:val="both"/>
              <w:rPr>
                <w:rFonts w:eastAsia="Times New Roman" w:cs="Calibri"/>
                <w:noProof/>
              </w:rPr>
            </w:pPr>
            <w:r>
              <w:rPr>
                <w:noProof/>
              </w:rPr>
              <w:t xml:space="preserve">Vismaz 383 000 000 EUR piešķirti rūpniecības dekarbonizācijas projektu projektiem, kas attiecas uz vismaz vienu no šādām jomām: mazoglekļa procesi un tehnoloģijas; energoefektivitātes pasākumu pieņemšana; atjaunojamo energoresursu enerģijas iekļaušana un enerģijas uzkrāšana; un uzņēmējdarbības iespēju palielināšana. </w:t>
            </w:r>
          </w:p>
          <w:p w14:paraId="1FE08972" w14:textId="2AB1B821" w:rsidR="00776A1F" w:rsidRDefault="00D8574B">
            <w:pPr>
              <w:pStyle w:val="P68B1DB1-Normal8"/>
              <w:spacing w:after="0" w:line="240" w:lineRule="auto"/>
              <w:jc w:val="both"/>
              <w:rPr>
                <w:rFonts w:eastAsia="Times New Roman" w:cs="Calibri"/>
                <w:noProof/>
              </w:rPr>
            </w:pPr>
            <w:r>
              <w:rPr>
                <w:noProof/>
              </w:rPr>
              <w:t>Līgumslēgšanas tiesību piešķiršana projektiem, kas atlasīti saskaņā ar iepriekš minētajā starpposma mērķrādītājā minētajiem uzaicinājumiem iesniegt priekšlikumus, nodrošina atbilstību Tehniskajiem norādījumiem “nenodari būtisku kaitējumu” (2021/C58/01), izmantojot izslēgšanas sarakstu un prasību par atbilstību attiecīgajiem ES un valstu tiesību aktiem vides jomā.</w:t>
            </w:r>
          </w:p>
        </w:tc>
      </w:tr>
      <w:tr w:rsidR="00776A1F" w14:paraId="73B08E92" w14:textId="77777777">
        <w:trPr>
          <w:trHeight w:val="1690"/>
        </w:trPr>
        <w:tc>
          <w:tcPr>
            <w:tcW w:w="1135" w:type="dxa"/>
            <w:shd w:val="clear" w:color="auto" w:fill="C4EFCE"/>
            <w:vAlign w:val="center"/>
            <w:hideMark/>
          </w:tcPr>
          <w:p w14:paraId="06C03D7F" w14:textId="77777777" w:rsidR="00776A1F" w:rsidRDefault="00D8574B">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1803E8D0" w14:textId="77777777" w:rsidR="00776A1F" w:rsidRDefault="00D8574B">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69072576"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351F05" w14:textId="77777777" w:rsidR="00776A1F" w:rsidRDefault="00D8574B">
            <w:pPr>
              <w:pStyle w:val="P68B1DB1-Normal8"/>
              <w:spacing w:after="0" w:line="240" w:lineRule="auto"/>
              <w:jc w:val="center"/>
              <w:rPr>
                <w:rFonts w:eastAsia="Times New Roman" w:cs="Calibri"/>
                <w:noProof/>
              </w:rPr>
            </w:pPr>
            <w:r>
              <w:rPr>
                <w:noProof/>
              </w:rPr>
              <w:t>Finansiāls atbalsts rūpniecības dekarbonizācijas projektiem</w:t>
            </w:r>
          </w:p>
        </w:tc>
        <w:tc>
          <w:tcPr>
            <w:tcW w:w="1275" w:type="dxa"/>
            <w:shd w:val="clear" w:color="auto" w:fill="C4EFCE"/>
            <w:noWrap/>
            <w:vAlign w:val="center"/>
            <w:hideMark/>
          </w:tcPr>
          <w:p w14:paraId="5AF3E605"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9CC3A89"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0AEE891E"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C0EF439" w14:textId="63244C11" w:rsidR="00776A1F" w:rsidRDefault="00D8574B">
            <w:pPr>
              <w:pStyle w:val="P68B1DB1-Normal8"/>
              <w:spacing w:after="0" w:line="240" w:lineRule="auto"/>
              <w:jc w:val="center"/>
              <w:rPr>
                <w:rFonts w:eastAsia="Times New Roman" w:cs="Calibri"/>
                <w:noProof/>
              </w:rPr>
            </w:pPr>
            <w:r>
              <w:rPr>
                <w:noProof/>
              </w:rPr>
              <w:t>310</w:t>
            </w:r>
          </w:p>
        </w:tc>
        <w:tc>
          <w:tcPr>
            <w:tcW w:w="555" w:type="dxa"/>
            <w:shd w:val="clear" w:color="auto" w:fill="C4EFCE"/>
            <w:noWrap/>
            <w:vAlign w:val="center"/>
            <w:hideMark/>
          </w:tcPr>
          <w:p w14:paraId="64BC34FA" w14:textId="77777777" w:rsidR="00776A1F" w:rsidRDefault="00D8574B">
            <w:pPr>
              <w:pStyle w:val="P68B1DB1-Normal8"/>
              <w:spacing w:after="0" w:line="240" w:lineRule="auto"/>
              <w:jc w:val="center"/>
              <w:rPr>
                <w:rFonts w:eastAsia="Times New Roman" w:cs="Calibri"/>
                <w:noProof/>
              </w:rPr>
            </w:pPr>
            <w:r>
              <w:rPr>
                <w:noProof/>
              </w:rPr>
              <w:t>4. CET.</w:t>
            </w:r>
          </w:p>
        </w:tc>
        <w:tc>
          <w:tcPr>
            <w:tcW w:w="720" w:type="dxa"/>
            <w:shd w:val="clear" w:color="auto" w:fill="C4EFCE"/>
            <w:noWrap/>
            <w:vAlign w:val="center"/>
            <w:hideMark/>
          </w:tcPr>
          <w:p w14:paraId="234947D8"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D55E7F5" w14:textId="77777777" w:rsidR="00776A1F" w:rsidRDefault="00D8574B">
            <w:pPr>
              <w:pStyle w:val="P68B1DB1-Normal8"/>
              <w:spacing w:after="0" w:line="240" w:lineRule="auto"/>
              <w:jc w:val="both"/>
              <w:rPr>
                <w:rFonts w:eastAsia="Times New Roman" w:cs="Calibri"/>
                <w:noProof/>
              </w:rPr>
            </w:pPr>
            <w:r>
              <w:rPr>
                <w:noProof/>
              </w:rPr>
              <w:t xml:space="preserve">To projektu skaits, kuri saņēmuši finansiālu atbalstu rūpniecības dekarbonizācijai un kuri attiecas uz vismaz vienu no šādām jomām: mazoglekļa procesi un tehnoloģijas; energoefektivitātes pasākumu pieņemšana; un atjaunojamās enerģijas un enerģijas uzkrāšanas iekļaušana. Attiecībā uz atbalstītajām rūpnieciskajām iekārtām nodrošina tiešo un netiešo SEG emisiju samazinājumu vidēji par 30 % projektiem, kas atbilst intervences jomai 024ter, un atbilstību NBK tehniskajiem norādījumiem (2021/C58/01), tostarp attiecībā uz iekārtām, uz kurām attiecas ES emisijas kvotu tirdzniecības sistēma, lai nodrošinātu, ka atbalstītās iekārtas sasniedz prognozētās SEG emisijas, kas ir mazākas par Komisijas Īstenošanas regulā (ES) 2021/447 noteikto bezmaksas kvotu iedalei noteikto līmeņatzīmi. </w:t>
            </w:r>
          </w:p>
        </w:tc>
      </w:tr>
    </w:tbl>
    <w:p w14:paraId="575A7ECF"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63D1B59A" w14:textId="77777777" w:rsidR="00776A1F" w:rsidRDefault="00776A1F">
      <w:pPr>
        <w:keepNext/>
        <w:spacing w:before="40" w:after="0" w:line="259" w:lineRule="auto"/>
        <w:jc w:val="both"/>
        <w:outlineLvl w:val="1"/>
        <w:rPr>
          <w:rFonts w:ascii="Times New Roman" w:eastAsiaTheme="minorEastAsia" w:hAnsi="Times New Roman" w:cs="Times New Roman"/>
          <w:noProof/>
          <w:sz w:val="24"/>
          <w:u w:val="single"/>
        </w:rPr>
        <w:sectPr w:rsidR="00776A1F" w:rsidSect="00E00EDD">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60"/>
        </w:sectPr>
      </w:pPr>
    </w:p>
    <w:p w14:paraId="7F30AF75"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L. 12. SASTĀVDAĻA: Bioekonomikā</w:t>
      </w:r>
    </w:p>
    <w:p w14:paraId="09C80588" w14:textId="77777777" w:rsidR="00776A1F" w:rsidRDefault="00D8574B">
      <w:pPr>
        <w:pStyle w:val="P68B1DB1-Normal4"/>
        <w:spacing w:before="40" w:after="0" w:line="259" w:lineRule="auto"/>
        <w:jc w:val="both"/>
        <w:rPr>
          <w:rFonts w:eastAsiaTheme="minorEastAsia" w:cs="Times New Roman"/>
          <w:noProof/>
        </w:rPr>
      </w:pPr>
      <w:r>
        <w:rPr>
          <w:noProof/>
        </w:rPr>
        <w:t xml:space="preserve">Šis komponents risina problēmas saistībā ar dzīvotspējīgas, ilgtspējīgas, aprites un konkurētspējīgas bioekonomikas attīstību. Paredzams, ka šāda pārkārtošanās atbalstīs rūpniecības modernizāciju un konsolidāciju, radot jaunas vērtības ķēdes un zaļākus rūpnieciskos procesus. </w:t>
      </w:r>
    </w:p>
    <w:p w14:paraId="5988E6C8" w14:textId="77777777" w:rsidR="00776A1F" w:rsidRDefault="00D8574B">
      <w:pPr>
        <w:pStyle w:val="P68B1DB1-Normal4"/>
        <w:spacing w:before="40" w:after="0" w:line="259" w:lineRule="auto"/>
        <w:jc w:val="both"/>
        <w:rPr>
          <w:rFonts w:eastAsiaTheme="minorEastAsia" w:cs="Times New Roman"/>
          <w:noProof/>
        </w:rPr>
      </w:pPr>
      <w:r>
        <w:rPr>
          <w:noProof/>
        </w:rPr>
        <w:t xml:space="preserve">Šā komponenta mērķis ir veicināt un paātrināt no bioloģiskajiem resursiem iegūtu produktu ar augstu pievienoto vērtību izstrādi kā alternatīvu fosilajiem materiāliem.  </w:t>
      </w:r>
    </w:p>
    <w:p w14:paraId="740A5F38" w14:textId="1AE9A646" w:rsidR="00776A1F" w:rsidRDefault="00D8574B">
      <w:pPr>
        <w:pStyle w:val="P68B1DB1-Normal4"/>
        <w:spacing w:before="40" w:after="0" w:line="259" w:lineRule="auto"/>
        <w:jc w:val="both"/>
        <w:rPr>
          <w:rFonts w:eastAsiaTheme="minorEastAsia" w:cs="Times New Roman"/>
          <w:noProof/>
        </w:rPr>
      </w:pPr>
      <w:r>
        <w:rPr>
          <w:noProof/>
        </w:rPr>
        <w:t xml:space="preserve">Šā komponenta pasākumu mērķis ir atbalstīt strukturālās pārmaiņas, kas saistītas ar šo pārkārtošanos, un tie palīdzēs risināt pašreizējās globālās un vietējās problēmas, tostarp klimata pārmaiņas, atkarības no fosilajiem resursiem samazināšanu un ilgtspējīgu attīstību. Īpaši jāatbalsta trīs nozares (tekstilizstrādājumi un apģērbs, apavi un dabiskie sveķi), lai attīstītu bioproduktus un uzlabotu resursu izmantošanas efektivitāti. Komponents atbalsta to, ka tiek īstenoti konkrētām valstīm adresētie ieteikumi par investīcijām zaļās pārkārtošanās procesā, jo īpaši tīrā un efektīvā enerģijas ražošanā un izmantošanā (valsts īpašais ieteikums Nr. 3 2020), investīcijas pētniecībā un inovācijā (konkrētie ieteikumi Nr. 3 2019. un 2020. gads) un pārejā uz aprites ekonomiku, jo īpaši palielinot atkritumu rašanās novēršanu, reciklēšanu un atkārtotu izmantošanu, lai novirzītu atkritumus no atkritumu poligoniem un sadedzināšanas iekārtām (valsts īpašais ieteikums Nr. 3, 2022. un 2023. gads). </w:t>
      </w:r>
    </w:p>
    <w:p w14:paraId="4CF3DC02" w14:textId="77777777" w:rsidR="00776A1F" w:rsidRDefault="00D8574B">
      <w:pPr>
        <w:pStyle w:val="P68B1DB1-Normal4"/>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424C0B86" w14:textId="77777777" w:rsidR="00776A1F" w:rsidRDefault="00776A1F">
      <w:pPr>
        <w:spacing w:before="40" w:after="0" w:line="259" w:lineRule="auto"/>
        <w:jc w:val="both"/>
        <w:rPr>
          <w:rFonts w:ascii="Times New Roman" w:eastAsiaTheme="minorEastAsia" w:hAnsi="Times New Roman" w:cs="Times New Roman"/>
          <w:noProof/>
          <w:sz w:val="24"/>
        </w:rPr>
      </w:pPr>
    </w:p>
    <w:p w14:paraId="7A62E280"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L.1. Neatmaksājamam finansiālajam atbalstam pieteikto reformu un investīciju apraksts</w:t>
      </w:r>
    </w:p>
    <w:p w14:paraId="3E984C00"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TC-r25 reforma: Ilgtspējīga bioekonomika</w:t>
      </w:r>
    </w:p>
    <w:p w14:paraId="73A86D72" w14:textId="77777777" w:rsidR="00776A1F" w:rsidRDefault="00D8574B">
      <w:pPr>
        <w:pStyle w:val="P68B1DB1-Normal4"/>
        <w:spacing w:before="40" w:after="0" w:line="259" w:lineRule="auto"/>
        <w:jc w:val="both"/>
        <w:rPr>
          <w:rFonts w:eastAsiaTheme="minorEastAsia" w:cs="Times New Roman"/>
          <w:noProof/>
        </w:rPr>
      </w:pPr>
      <w:r>
        <w:rPr>
          <w:noProof/>
        </w:rPr>
        <w:t>Reformas mērķis ir veicināt un stimulēt bioloģisko resursu saglabāšanu un efektīvu izmantošanu. Reforma atbilst Portugāles Ilgtspējīgas bioekonomikas rīcības plānam, par kuru notiks sabiedriskā apspriešana un kura darbojas kā valsts ilgtspējīgas attīstības stratēģisks satvars. Cenšoties veicināt bioekonomiku, Portugāle novērtē arī fiskālos stimulus, kas varētu uzlabot neatjaunojamo dabas resursu aizstāšanu ar citiem bioresursiem.</w:t>
      </w:r>
    </w:p>
    <w:p w14:paraId="1F7B9944" w14:textId="77777777" w:rsidR="00776A1F" w:rsidRDefault="00D8574B">
      <w:pPr>
        <w:pStyle w:val="P68B1DB1-Normal4"/>
        <w:spacing w:before="40" w:after="0" w:line="259" w:lineRule="auto"/>
        <w:jc w:val="both"/>
        <w:rPr>
          <w:rFonts w:eastAsiaTheme="minorEastAsia" w:cs="Times New Roman"/>
          <w:noProof/>
        </w:rPr>
      </w:pPr>
      <w:r>
        <w:rPr>
          <w:noProof/>
        </w:rPr>
        <w:t xml:space="preserve">Reformu veido jauna vispārējā atkritumu apsaimniekošanas sistēma (RGGR) un ilgtspējīgu bioproduktu iegādes kritēriju iekļaušana valsts zaļā publiskā iepirkuma stratēģijas pārskatīšanā. Šīs reformas mērķis ir novērst galvenos šķēršļus un ierobežojumus, kas konstatēti bioloģisko resursu valorizācijā ilgtspējīgas un apritīgas biorūpniecības attīstībai, ievērojot kaskādes principu. </w:t>
      </w:r>
    </w:p>
    <w:p w14:paraId="63B37A13" w14:textId="77777777" w:rsidR="00776A1F" w:rsidRDefault="00D8574B">
      <w:pPr>
        <w:pStyle w:val="P68B1DB1-Normal4"/>
        <w:spacing w:before="40" w:after="0" w:line="259" w:lineRule="auto"/>
        <w:jc w:val="both"/>
        <w:rPr>
          <w:rFonts w:eastAsiaTheme="minorEastAsia" w:cs="Times New Roman"/>
          <w:noProof/>
        </w:rPr>
      </w:pPr>
      <w:r>
        <w:rPr>
          <w:noProof/>
        </w:rPr>
        <w:t>Īstenojot jauno vispārējo atkritumu apsaimniekošanas shēmu, tiek novērsti vismaz ierobežojumi attiecībā uz blakusproduktu vai atkritumu izmantošanu jauniem produktiem, vienkāršojot procedūras vielu vai priekšmetu klasificēšanai par blakusproduktiem, tostarp no citām ES valstīm. Jaunā vispārējā atkritumu apsaimniekošanas shēma tika pieņemta 2020. gada decembrī.</w:t>
      </w:r>
    </w:p>
    <w:p w14:paraId="775F29D4" w14:textId="53DA06AD" w:rsidR="00776A1F" w:rsidRDefault="00D8574B">
      <w:pPr>
        <w:pStyle w:val="P68B1DB1-Normal4"/>
        <w:spacing w:before="40" w:after="0" w:line="259" w:lineRule="auto"/>
        <w:jc w:val="both"/>
        <w:rPr>
          <w:rFonts w:eastAsiaTheme="minorEastAsia" w:cs="Times New Roman"/>
          <w:noProof/>
        </w:rPr>
      </w:pPr>
      <w:r>
        <w:rPr>
          <w:noProof/>
        </w:rPr>
        <w:t xml:space="preserve">Valsts zaļā publiskā iepirkuma stratēģiju pārskata, lai tajā iekļautu vismaz obligātus ekoloģiskos kritērijus, kas saistīti ar pakalpojumu un produktu iepirkumu (jo īpaši būvniecības jomā), integrējot ilgtspējīgus bioproduktus. </w:t>
      </w:r>
    </w:p>
    <w:p w14:paraId="18D49EAF"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2022. gada 30. septembrim.</w:t>
      </w:r>
    </w:p>
    <w:p w14:paraId="2FD84C02"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TC12-i01: Bioekonomikā</w:t>
      </w:r>
    </w:p>
    <w:p w14:paraId="17E8B78E"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Ieguldījuma mērķis ir atbalstīt biomateriālu iekļaušanu ražošanas procesos trīs nozarēs: tekstilizstrādājumi un apģērbi, apavi un dabiskie sveķi. </w:t>
      </w:r>
    </w:p>
    <w:p w14:paraId="55D6795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Galvenais instruments ir finansiāls atbalsts, ko piešķir, izmantojot programmu līgumus ar konsorcijiem, kas ietver pētniecības un inovācijas iestādes, uzņēmumus un galalietotājus, un ko atlasa konkursa procedūrā. Atbalstītie pasākumi ietver pētniecības, izstrādes un produktīvus inovācijas projektus, digitalizācijas projektus un progresīvas ražošanas tehnoloģijas, īpašas apmācības un iespēju nodrošināšanas programmas, vietējo dabisko sveķu ražošanu un izpratnes veicināšanas pasākumus ilgtspējīgai ražošanai un patēriņam. Atlasītie projekti veicina vismaz aprites ekonomikas attīstību un emisiju samazināšanas mērķu sasniegšanu Portugālē. Projektiem ir šādi mērķi: </w:t>
      </w:r>
    </w:p>
    <w:p w14:paraId="1FFA8FCC" w14:textId="77777777" w:rsidR="00776A1F" w:rsidRDefault="00D8574B">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jaunu ražošanas procesu izstrāde, lai radītu produktus ar augstāku pievienoto vērtību, kas ietver un izmanto bioloģiskos resursus (meža biomasu, lauksaimniecības un agrorūpniecības atlikumus un blakusproduktus); </w:t>
      </w:r>
    </w:p>
    <w:p w14:paraId="6A6B42A0" w14:textId="77777777" w:rsidR="00776A1F" w:rsidRDefault="00D8574B">
      <w:pPr>
        <w:pStyle w:val="P68B1DB1-Normal4"/>
        <w:keepNext/>
        <w:numPr>
          <w:ilvl w:val="0"/>
          <w:numId w:val="29"/>
        </w:numPr>
        <w:spacing w:before="40" w:after="160" w:line="259" w:lineRule="auto"/>
        <w:contextualSpacing/>
        <w:jc w:val="both"/>
        <w:rPr>
          <w:rFonts w:eastAsiaTheme="minorEastAsia" w:cs="Times New Roman"/>
          <w:noProof/>
        </w:rPr>
      </w:pPr>
      <w:r>
        <w:rPr>
          <w:noProof/>
        </w:rPr>
        <w:t>tehnoloģisko procesu izstrāde, lai uzlabotu tekstilizstrādājumu un apģērbu, apavu un sveķu apstrādes nozaru apritīgumu; un</w:t>
      </w:r>
    </w:p>
    <w:p w14:paraId="2FE7D2D6" w14:textId="77777777" w:rsidR="00776A1F" w:rsidRDefault="00D8574B">
      <w:pPr>
        <w:pStyle w:val="P68B1DB1-Normal4"/>
        <w:keepNext/>
        <w:numPr>
          <w:ilvl w:val="0"/>
          <w:numId w:val="29"/>
        </w:numPr>
        <w:spacing w:before="40" w:after="160" w:line="259" w:lineRule="auto"/>
        <w:contextualSpacing/>
        <w:jc w:val="both"/>
        <w:rPr>
          <w:rFonts w:eastAsiaTheme="minorEastAsia" w:cs="Times New Roman"/>
          <w:noProof/>
        </w:rPr>
      </w:pPr>
      <w:r>
        <w:rPr>
          <w:noProof/>
        </w:rPr>
        <w:t>veicināt atkritumu apsaimniekošanu šajās nozarēs.</w:t>
      </w:r>
    </w:p>
    <w:p w14:paraId="6B9025FE" w14:textId="77777777" w:rsidR="00776A1F" w:rsidRDefault="00D8574B">
      <w:pPr>
        <w:pStyle w:val="P68B1DB1-Normal4"/>
        <w:keepNext/>
        <w:spacing w:before="40" w:after="0" w:line="259" w:lineRule="auto"/>
        <w:jc w:val="both"/>
        <w:rPr>
          <w:rFonts w:eastAsiaTheme="minorEastAsia" w:cs="Times New Roman"/>
          <w:noProof/>
        </w:rPr>
      </w:pPr>
      <w:r>
        <w:rPr>
          <w:noProof/>
        </w:rPr>
        <w:t>Pētniecības, izstrādes un inovācijas projektus atbalsta ar mērķi izstrādāt jaunus ražošanas procesus, lai radītu produktus ar augstāku pievienoto vērtību, kas ietver un izmanto bioloģiskos resursus (meža biomasu, lauksaimniecības un agrorūpniecības atlikumus un blakusproduktus), tehnoloģiskus procesus, lai uzlabotu tekstilizstrādājumu un apģērbu, apavu un sveķu pārstrādes nozaru apritīgumu un veicinātu atkritumu apsaimniekošanu šajās nozarēs. Atlasītie projekti palīdz samazināt SEG emisijas.</w:t>
      </w:r>
    </w:p>
    <w:p w14:paraId="140E81B4" w14:textId="77777777" w:rsidR="00776A1F" w:rsidRDefault="00D8574B">
      <w:pPr>
        <w:pStyle w:val="P68B1DB1-Normal4"/>
        <w:keepNext/>
        <w:spacing w:before="40" w:after="0" w:line="259" w:lineRule="auto"/>
        <w:jc w:val="both"/>
        <w:rPr>
          <w:rFonts w:eastAsiaTheme="minorEastAsia" w:cs="Times New Roman"/>
          <w:noProof/>
        </w:rPr>
      </w:pPr>
      <w:r>
        <w:rPr>
          <w:noProof/>
        </w:rPr>
        <w:t>Šos pasākumus papildina ar īpašiem un papildu konkursiem par meža apsaimniekošanas un dabisko sveķu ražošanas darbībām. Tas ietver atbalstu ugunsgrēku novēršanas darbībām, ko veic sveķu ražošanas speciālisti, Dabas un meža aizsardzības institūta (ICNF) veiktu iekārtu un aprīkojuma iegādi, kā arī jūras priežu mežu aizsardzības un rehabilitācijas pasākumus. Veicinot meža zemes apsaimniekošanu, šie ieguldījumi palīdz novērst un mazināt lauku ugunsgrēku sekas, palīdzot samazināt piesārņotāju emisiju atmosfērā.</w:t>
      </w:r>
    </w:p>
    <w:p w14:paraId="0B9296C2" w14:textId="77777777" w:rsidR="00776A1F" w:rsidRDefault="00D8574B">
      <w:pPr>
        <w:keepNext/>
        <w:spacing w:before="40" w:after="0" w:line="259" w:lineRule="auto"/>
        <w:jc w:val="both"/>
        <w:rPr>
          <w:rFonts w:ascii="Times New Roman" w:eastAsiaTheme="minorEastAsia" w:hAnsi="Times New Roman" w:cs="Times New Roman"/>
          <w:noProof/>
          <w:sz w:val="24"/>
        </w:rPr>
      </w:pPr>
      <w:r>
        <w:rPr>
          <w:rFonts w:ascii="Times New Roman" w:hAnsi="Times New Roman"/>
          <w:noProof/>
          <w:sz w:val="24"/>
        </w:rPr>
        <w:t>Paredzams, ka šis pasākums neradīs būtisku kaitējumu vides mērķiem Regulas (ES) 2020/852 17. panta nozīmē, ņemot vērā pasākuma aprakstu un atveseļošanas un noturības plānā izklāstītos riska mazināšanas pasākumus saskaņā ar DNSH tehniskajiem norādījumiem (2021/C58/01). Jo īpaši, lai nodrošinātu atbilstību NBK tehniskajiem norādījumiem (2021/C58/01), Dabas un meža aizsardzības institūta (ICNF) transportlīdzekļi, mehānismi un aprīkojums ir bezemisiju transportlīdzekļi, mehānismi un aprīkojums. Ja nav bezemisiju alternatīvu, iegādājamie transportlīdzekļi, mašīnas un aprīkojums ir labākais pieejamais vidiskā snieguma līmenis nozarē. Turklāt no atbilstības kritērijiem, kas iekļauti turpmākajos uzaicinājumos iesniegt projektus, neiekļauj šādu darbību sarakstu: darbības, kas saistītas ar fosilajiem kurināmajiem, tostarp pakārtota izmantošana</w:t>
      </w:r>
      <w:r>
        <w:rPr>
          <w:rStyle w:val="FootnoteReference"/>
          <w:rFonts w:ascii="Times New Roman" w:hAnsi="Times New Roman" w:cs="Times New Roman"/>
          <w:noProof/>
          <w:sz w:val="24"/>
        </w:rPr>
        <w:footnoteReference w:id="48"/>
      </w:r>
      <w:r>
        <w:rPr>
          <w:rFonts w:ascii="Times New Roman" w:hAnsi="Times New Roman"/>
          <w:noProof/>
          <w:sz w:val="24"/>
        </w:rPr>
        <w:t>; darbības ES emisijas kvotu tirdzniecības sistēmas (ETS) ietvaros, lai sasniegtu prognozētās siltumnīcefekta gāzu emisijas, kas nav zemākas par attiecīgajām līmeņatzīmēm</w:t>
      </w:r>
      <w:r>
        <w:rPr>
          <w:rStyle w:val="FootnoteReference"/>
          <w:rFonts w:ascii="Times New Roman" w:hAnsi="Times New Roman" w:cs="Times New Roman"/>
          <w:noProof/>
          <w:sz w:val="24"/>
        </w:rPr>
        <w:footnoteReference w:id="49"/>
      </w:r>
      <w:r>
        <w:rPr>
          <w:rFonts w:ascii="Times New Roman" w:hAnsi="Times New Roman"/>
          <w:noProof/>
          <w:sz w:val="24"/>
        </w:rPr>
        <w:t>; III) darbības, kas saistītas ar atkritumu poligoniem, atkritumu sadedzināšanas iekārtām</w:t>
      </w:r>
      <w:r>
        <w:rPr>
          <w:rStyle w:val="FootnoteReference"/>
          <w:rFonts w:ascii="Times New Roman" w:hAnsi="Times New Roman" w:cs="Times New Roman"/>
          <w:noProof/>
          <w:sz w:val="24"/>
        </w:rPr>
        <w:footnoteReference w:id="50"/>
      </w:r>
      <w:r>
        <w:rPr>
          <w:rFonts w:ascii="Times New Roman" w:hAnsi="Times New Roman"/>
          <w:noProof/>
          <w:sz w:val="24"/>
        </w:rPr>
        <w:t xml:space="preserve"> un mehāniski bioloģiskās apstrādes iekārtām</w:t>
      </w:r>
      <w:r>
        <w:rPr>
          <w:rStyle w:val="FootnoteReference"/>
          <w:rFonts w:ascii="Times New Roman" w:hAnsi="Times New Roman" w:cs="Times New Roman"/>
          <w:noProof/>
          <w:sz w:val="24"/>
        </w:rPr>
        <w:footnoteReference w:id="51"/>
      </w:r>
      <w:r>
        <w:rPr>
          <w:rFonts w:ascii="Times New Roman" w:hAnsi="Times New Roman"/>
          <w:noProof/>
          <w:sz w:val="24"/>
        </w:rPr>
        <w:t>; un iv) darbības, kurās atkritumu ilgtermiņa apglabāšana var radīt kaitējumu videi. Darba uzdevumā papildus nosaka, ka var atlasīt tikai tās darbības, kas atbilst attiecīgajiem ES un valsts tiesību aktiem vides jomā.</w:t>
      </w:r>
    </w:p>
    <w:p w14:paraId="68DD936F"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433D486B" w14:textId="2448C9F9" w:rsidR="00776A1F" w:rsidRDefault="00D8574B">
      <w:pPr>
        <w:pStyle w:val="P68B1DB1-Normal5"/>
        <w:keepNext/>
        <w:spacing w:before="240" w:after="0" w:line="259" w:lineRule="auto"/>
        <w:ind w:left="851"/>
        <w:jc w:val="both"/>
        <w:outlineLvl w:val="2"/>
        <w:rPr>
          <w:rFonts w:eastAsiaTheme="minorEastAsia" w:cs="Times New Roman"/>
          <w:noProof/>
        </w:rPr>
      </w:pPr>
      <w:bookmarkStart w:id="27" w:name="_Toc137472461"/>
      <w:r>
        <w:rPr>
          <w:noProof/>
        </w:rPr>
        <w:t>TC-C12-r39 reforma: Aprites ekonomikas un efektīvākas atkritumu apsaimniekošanas veicināšana</w:t>
      </w:r>
      <w:bookmarkEnd w:id="27"/>
    </w:p>
    <w:p w14:paraId="210FFEF3" w14:textId="794927BC" w:rsidR="00776A1F" w:rsidRDefault="00D8574B">
      <w:pPr>
        <w:pStyle w:val="P68B1DB1-Normal4"/>
        <w:spacing w:beforeLines="40" w:before="96" w:after="0" w:line="22" w:lineRule="atLeast"/>
        <w:jc w:val="both"/>
        <w:rPr>
          <w:rFonts w:cs="Times New Roman"/>
          <w:noProof/>
        </w:rPr>
      </w:pPr>
      <w:r>
        <w:rPr>
          <w:noProof/>
        </w:rPr>
        <w:t>Reformas mērķis ir uzlabot atkritumu rašanās novēršanu, sagatavošanu atkārtotai izmantošanai, pārstrādi, reģenerāciju un atkritumu novirzīšanu un veicināt aprites ekonomiku.</w:t>
      </w:r>
    </w:p>
    <w:p w14:paraId="7DB46E17" w14:textId="77777777" w:rsidR="00776A1F" w:rsidRDefault="00D8574B">
      <w:pPr>
        <w:pStyle w:val="P68B1DB1-Normal4"/>
        <w:spacing w:beforeLines="40" w:before="96" w:after="0" w:line="22" w:lineRule="atLeast"/>
        <w:rPr>
          <w:rFonts w:cs="Times New Roman"/>
          <w:noProof/>
        </w:rPr>
      </w:pPr>
      <w:r>
        <w:rPr>
          <w:noProof/>
        </w:rPr>
        <w:t xml:space="preserve">Reforma: </w:t>
      </w:r>
    </w:p>
    <w:p w14:paraId="0DF062F1" w14:textId="109C99E2" w:rsidR="00776A1F" w:rsidRDefault="00D8574B">
      <w:pPr>
        <w:pStyle w:val="ListParagraph"/>
        <w:keepNext w:val="0"/>
        <w:numPr>
          <w:ilvl w:val="0"/>
          <w:numId w:val="81"/>
        </w:numPr>
        <w:spacing w:beforeLines="40" w:before="96" w:after="0" w:line="22" w:lineRule="atLeast"/>
        <w:rPr>
          <w:noProof/>
        </w:rPr>
      </w:pPr>
      <w:r>
        <w:rPr>
          <w:noProof/>
        </w:rPr>
        <w:t>Veicināt turpmāku ekodizainu rūpniecības precēs, saskaņojot kritērijus ekomodulācijai, kas jāizmanto ražotājiem. Šos kritērijus nosaka par obligātiem vadošajām struktūrām (apvienībām, kas pārstāv produktu ražotājus, iepakotājus un iepakojuma pakalpojumu sniedzējus), lai ieviestu integrētās sistēmas, uz kurām attiecas ražotāja paplašinātā atbildība. Kritēriji nodrošina, ka Dekrētlikuma Nr. 152/D/2017 15. panta 3. un 4. punktā paredzētie finanšu modeļi atspoguļo produkta ietekmi uz vidi un faktiskās atkritumu apsaimniekošanas izmaksas un rada finansiālus stimulus izturīgākiem, remontējamākiem un reciklējamiem produktiem, modulējot maksas, kas jāmaksā ražotājiem.</w:t>
      </w:r>
    </w:p>
    <w:p w14:paraId="5A107152" w14:textId="3322BFE2" w:rsidR="00776A1F" w:rsidRDefault="00D8574B">
      <w:pPr>
        <w:pStyle w:val="ListParagraph"/>
        <w:keepNext w:val="0"/>
        <w:numPr>
          <w:ilvl w:val="0"/>
          <w:numId w:val="81"/>
        </w:numPr>
        <w:spacing w:beforeLines="40" w:before="96" w:after="0" w:line="22" w:lineRule="atLeast"/>
        <w:rPr>
          <w:noProof/>
        </w:rPr>
      </w:pPr>
      <w:r>
        <w:rPr>
          <w:noProof/>
        </w:rPr>
        <w:t>Ieviest atgūšanas stimulu shēmu (noguldīšanas un kompensācijas sistēmu) attiecībā uz atkārtoti neizmantojamām plastmasas, melno metālu un alumīnija pudelēm.</w:t>
      </w:r>
    </w:p>
    <w:p w14:paraId="43D8325A" w14:textId="4B66E22A" w:rsidR="00776A1F" w:rsidRDefault="00D8574B">
      <w:pPr>
        <w:pStyle w:val="ListParagraph"/>
        <w:keepNext w:val="0"/>
        <w:numPr>
          <w:ilvl w:val="0"/>
          <w:numId w:val="81"/>
        </w:numPr>
        <w:spacing w:beforeLines="40" w:before="96" w:after="0" w:line="22" w:lineRule="atLeast"/>
        <w:rPr>
          <w:noProof/>
        </w:rPr>
      </w:pPr>
      <w:r>
        <w:rPr>
          <w:noProof/>
        </w:rPr>
        <w:t xml:space="preserve">Pēc priekšizpētes ieviest stimulu sistēmu elektrisko un elektronisko iekārtu atkritumu dažādu kategoriju atpakaļpieņemšanai. </w:t>
      </w:r>
    </w:p>
    <w:p w14:paraId="58107F2F" w14:textId="6A75DFA4" w:rsidR="00776A1F" w:rsidRDefault="00D8574B">
      <w:pPr>
        <w:pStyle w:val="P68B1DB1-Normal4"/>
        <w:spacing w:beforeLines="40" w:before="96" w:after="0" w:line="22" w:lineRule="atLeast"/>
        <w:rPr>
          <w:rFonts w:cs="Times New Roman"/>
          <w:noProof/>
        </w:rPr>
      </w:pPr>
      <w:r>
        <w:rPr>
          <w:noProof/>
        </w:rPr>
        <w:t>Reformas īstenošanu pabeidz līdz 2025. gada 31. decembrim.</w:t>
      </w:r>
    </w:p>
    <w:p w14:paraId="55469554"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19F8386"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246"/>
          <w:headerReference w:type="default" r:id="rId247"/>
          <w:footerReference w:type="even" r:id="rId248"/>
          <w:footerReference w:type="default" r:id="rId249"/>
          <w:headerReference w:type="first" r:id="rId250"/>
          <w:footerReference w:type="first" r:id="rId251"/>
          <w:pgSz w:w="11907" w:h="16839"/>
          <w:pgMar w:top="1134" w:right="1134" w:bottom="1134" w:left="1134" w:header="567" w:footer="567" w:gutter="0"/>
          <w:cols w:space="720"/>
          <w:docGrid w:linePitch="360"/>
        </w:sectPr>
      </w:pPr>
    </w:p>
    <w:p w14:paraId="0F85B075"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 xml:space="preserve">L.2. </w:t>
      </w:r>
      <w:r>
        <w:rPr>
          <w:noProof/>
        </w:rPr>
        <w:tab/>
        <w:t>Atskaites punkti, mērķrādītāji, citi rādītāji un neatmaksājamā finansiālā atbalsta uzraudzības un īstenošanas grafiks</w:t>
      </w:r>
    </w:p>
    <w:p w14:paraId="16CF26E3"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100A85E9" w14:textId="77777777">
        <w:trPr>
          <w:trHeight w:val="910"/>
          <w:tblHeader/>
        </w:trPr>
        <w:tc>
          <w:tcPr>
            <w:tcW w:w="1135" w:type="dxa"/>
            <w:vMerge w:val="restart"/>
            <w:shd w:val="clear" w:color="auto" w:fill="BDD6EE"/>
            <w:vAlign w:val="center"/>
            <w:hideMark/>
          </w:tcPr>
          <w:p w14:paraId="241396A7" w14:textId="77777777" w:rsidR="00776A1F" w:rsidRDefault="00D8574B">
            <w:pPr>
              <w:pStyle w:val="P68B1DB1-Normal6"/>
              <w:keepNext/>
              <w:spacing w:before="40"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1E874363" w14:textId="77777777" w:rsidR="00776A1F" w:rsidRDefault="00D8574B">
            <w:pPr>
              <w:pStyle w:val="P68B1DB1-Normal6"/>
              <w:keepNext/>
              <w:spacing w:before="40"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4630E1B7" w14:textId="031A1B2C" w:rsidR="00776A1F" w:rsidRDefault="00D8574B">
            <w:pPr>
              <w:pStyle w:val="P68B1DB1-Normal6"/>
              <w:keepNext/>
              <w:spacing w:before="40" w:after="0" w:line="240" w:lineRule="auto"/>
              <w:jc w:val="center"/>
              <w:rPr>
                <w:rFonts w:eastAsia="Times New Roman" w:cs="Times New Roman"/>
                <w:noProof/>
              </w:rPr>
            </w:pPr>
            <w:r>
              <w:rPr>
                <w:noProof/>
              </w:rPr>
              <w:t>Stūrakmens — Mērķis</w:t>
            </w:r>
          </w:p>
        </w:tc>
        <w:tc>
          <w:tcPr>
            <w:tcW w:w="1701" w:type="dxa"/>
            <w:vMerge w:val="restart"/>
            <w:shd w:val="clear" w:color="auto" w:fill="BDD6EE"/>
            <w:vAlign w:val="center"/>
            <w:hideMark/>
          </w:tcPr>
          <w:p w14:paraId="5C4FFE86" w14:textId="77777777" w:rsidR="00776A1F" w:rsidRDefault="00D8574B">
            <w:pPr>
              <w:pStyle w:val="P68B1DB1-Normal6"/>
              <w:keepNext/>
              <w:spacing w:before="40"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03E43ABE" w14:textId="77777777" w:rsidR="00776A1F" w:rsidRDefault="00D8574B">
            <w:pPr>
              <w:pStyle w:val="P68B1DB1-Normal6"/>
              <w:keepNext/>
              <w:spacing w:before="40" w:after="0" w:line="240" w:lineRule="auto"/>
              <w:jc w:val="center"/>
              <w:rPr>
                <w:rFonts w:eastAsia="Times New Roman" w:cs="Times New Roman"/>
                <w:noProof/>
              </w:rPr>
            </w:pPr>
            <w:r>
              <w:rPr>
                <w:noProof/>
              </w:rPr>
              <w:t>Kvalitatīvie rādītāji (atskaites punktiem)</w:t>
            </w:r>
          </w:p>
        </w:tc>
        <w:tc>
          <w:tcPr>
            <w:tcW w:w="2694" w:type="dxa"/>
            <w:gridSpan w:val="3"/>
            <w:shd w:val="clear" w:color="auto" w:fill="BDD6EE"/>
            <w:vAlign w:val="center"/>
            <w:hideMark/>
          </w:tcPr>
          <w:p w14:paraId="65AE3941" w14:textId="77777777" w:rsidR="00776A1F" w:rsidRDefault="00D8574B">
            <w:pPr>
              <w:pStyle w:val="P68B1DB1-Normal6"/>
              <w:keepNext/>
              <w:spacing w:before="40"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67D74F39" w14:textId="77777777" w:rsidR="00776A1F" w:rsidRDefault="00D8574B">
            <w:pPr>
              <w:pStyle w:val="P68B1DB1-Normal6"/>
              <w:keepNext/>
              <w:spacing w:before="40"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4A072B07" w14:textId="77777777" w:rsidR="00776A1F" w:rsidRDefault="00D8574B">
            <w:pPr>
              <w:pStyle w:val="P68B1DB1-Normal6"/>
              <w:keepNext/>
              <w:spacing w:before="40" w:after="0" w:line="240" w:lineRule="auto"/>
              <w:jc w:val="center"/>
              <w:rPr>
                <w:rFonts w:eastAsia="Times New Roman" w:cs="Times New Roman"/>
                <w:noProof/>
              </w:rPr>
            </w:pPr>
            <w:r>
              <w:rPr>
                <w:noProof/>
              </w:rPr>
              <w:t>Katra atskaites punkta un mērķrādītāja apraksts un skaidra definīcija</w:t>
            </w:r>
          </w:p>
        </w:tc>
      </w:tr>
      <w:tr w:rsidR="00776A1F" w14:paraId="3776A702" w14:textId="77777777">
        <w:trPr>
          <w:trHeight w:val="470"/>
          <w:tblHeader/>
        </w:trPr>
        <w:tc>
          <w:tcPr>
            <w:tcW w:w="1135" w:type="dxa"/>
            <w:vMerge/>
            <w:vAlign w:val="center"/>
            <w:hideMark/>
          </w:tcPr>
          <w:p w14:paraId="7EBFF15D"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276" w:type="dxa"/>
            <w:vMerge/>
            <w:vAlign w:val="center"/>
            <w:hideMark/>
          </w:tcPr>
          <w:p w14:paraId="249B860E"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134" w:type="dxa"/>
            <w:vMerge/>
            <w:shd w:val="clear" w:color="auto" w:fill="BDD6EE"/>
            <w:vAlign w:val="center"/>
            <w:hideMark/>
          </w:tcPr>
          <w:p w14:paraId="7D7297EE" w14:textId="160E856C" w:rsidR="00776A1F" w:rsidRDefault="00776A1F">
            <w:pPr>
              <w:keepNext/>
              <w:spacing w:before="40" w:after="0" w:line="240" w:lineRule="auto"/>
              <w:jc w:val="center"/>
              <w:rPr>
                <w:rFonts w:ascii="Times New Roman" w:eastAsia="Times New Roman" w:hAnsi="Times New Roman" w:cs="Times New Roman"/>
                <w:b/>
                <w:noProof/>
                <w:sz w:val="14"/>
              </w:rPr>
            </w:pPr>
          </w:p>
        </w:tc>
        <w:tc>
          <w:tcPr>
            <w:tcW w:w="1701" w:type="dxa"/>
            <w:vMerge/>
            <w:vAlign w:val="center"/>
            <w:hideMark/>
          </w:tcPr>
          <w:p w14:paraId="303B854A"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1275" w:type="dxa"/>
            <w:vMerge/>
            <w:vAlign w:val="center"/>
            <w:hideMark/>
          </w:tcPr>
          <w:p w14:paraId="76753D39" w14:textId="77777777" w:rsidR="00776A1F" w:rsidRDefault="00776A1F">
            <w:pPr>
              <w:keepNext/>
              <w:spacing w:before="40" w:after="0" w:line="240" w:lineRule="auto"/>
              <w:jc w:val="both"/>
              <w:rPr>
                <w:rFonts w:ascii="Times New Roman" w:eastAsia="Times New Roman" w:hAnsi="Times New Roman" w:cs="Times New Roman"/>
                <w:b/>
                <w:noProof/>
                <w:sz w:val="18"/>
              </w:rPr>
            </w:pPr>
          </w:p>
        </w:tc>
        <w:tc>
          <w:tcPr>
            <w:tcW w:w="993" w:type="dxa"/>
            <w:shd w:val="clear" w:color="auto" w:fill="BDD6EE"/>
            <w:vAlign w:val="center"/>
            <w:hideMark/>
          </w:tcPr>
          <w:p w14:paraId="0ABAAFA4" w14:textId="77777777" w:rsidR="00776A1F" w:rsidRDefault="00D8574B">
            <w:pPr>
              <w:pStyle w:val="P68B1DB1-Normal6"/>
              <w:keepNext/>
              <w:spacing w:before="40"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36F0EAD7" w14:textId="77777777" w:rsidR="00776A1F" w:rsidRDefault="00D8574B">
            <w:pPr>
              <w:pStyle w:val="P68B1DB1-Normal6"/>
              <w:keepNext/>
              <w:spacing w:before="40" w:after="0" w:line="240" w:lineRule="auto"/>
              <w:jc w:val="center"/>
              <w:rPr>
                <w:rFonts w:eastAsia="Times New Roman" w:cs="Times New Roman"/>
                <w:noProof/>
              </w:rPr>
            </w:pPr>
            <w:r>
              <w:rPr>
                <w:noProof/>
              </w:rPr>
              <w:t>Pamatscenārijs</w:t>
            </w:r>
          </w:p>
        </w:tc>
        <w:tc>
          <w:tcPr>
            <w:tcW w:w="709" w:type="dxa"/>
            <w:shd w:val="clear" w:color="auto" w:fill="BDD6EE"/>
            <w:vAlign w:val="center"/>
            <w:hideMark/>
          </w:tcPr>
          <w:p w14:paraId="536DFFCA" w14:textId="77777777" w:rsidR="00776A1F" w:rsidRDefault="00D8574B">
            <w:pPr>
              <w:pStyle w:val="P68B1DB1-Normal6"/>
              <w:keepNext/>
              <w:spacing w:before="40"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3DFABF60" w14:textId="77777777" w:rsidR="00776A1F" w:rsidRDefault="00D8574B">
            <w:pPr>
              <w:pStyle w:val="P68B1DB1-Normal6"/>
              <w:keepNext/>
              <w:spacing w:before="40" w:after="0" w:line="240" w:lineRule="auto"/>
              <w:jc w:val="center"/>
              <w:rPr>
                <w:rFonts w:eastAsia="Times New Roman" w:cs="Times New Roman"/>
                <w:noProof/>
              </w:rPr>
            </w:pPr>
            <w:r>
              <w:rPr>
                <w:noProof/>
              </w:rPr>
              <w:t>Q</w:t>
            </w:r>
          </w:p>
        </w:tc>
        <w:tc>
          <w:tcPr>
            <w:tcW w:w="708" w:type="dxa"/>
            <w:shd w:val="clear" w:color="auto" w:fill="BDD6EE"/>
            <w:vAlign w:val="center"/>
            <w:hideMark/>
          </w:tcPr>
          <w:p w14:paraId="578C9B4B" w14:textId="77777777" w:rsidR="00776A1F" w:rsidRDefault="00D8574B">
            <w:pPr>
              <w:pStyle w:val="P68B1DB1-Normal6"/>
              <w:keepNext/>
              <w:spacing w:before="40" w:after="0" w:line="240" w:lineRule="auto"/>
              <w:jc w:val="center"/>
              <w:rPr>
                <w:rFonts w:eastAsia="Times New Roman" w:cs="Times New Roman"/>
                <w:noProof/>
              </w:rPr>
            </w:pPr>
            <w:r>
              <w:rPr>
                <w:noProof/>
              </w:rPr>
              <w:t>Gadā</w:t>
            </w:r>
          </w:p>
        </w:tc>
        <w:tc>
          <w:tcPr>
            <w:tcW w:w="3969" w:type="dxa"/>
            <w:vMerge/>
            <w:vAlign w:val="center"/>
            <w:hideMark/>
          </w:tcPr>
          <w:p w14:paraId="482E68C8" w14:textId="77777777" w:rsidR="00776A1F" w:rsidRDefault="00776A1F">
            <w:pPr>
              <w:keepNext/>
              <w:spacing w:before="40" w:after="0" w:line="240" w:lineRule="auto"/>
              <w:jc w:val="both"/>
              <w:rPr>
                <w:rFonts w:ascii="Times New Roman" w:eastAsia="Times New Roman" w:hAnsi="Times New Roman" w:cs="Times New Roman"/>
                <w:b/>
                <w:noProof/>
                <w:sz w:val="18"/>
              </w:rPr>
            </w:pPr>
          </w:p>
        </w:tc>
      </w:tr>
      <w:tr w:rsidR="00776A1F" w14:paraId="635E01FA" w14:textId="77777777">
        <w:trPr>
          <w:trHeight w:val="509"/>
        </w:trPr>
        <w:tc>
          <w:tcPr>
            <w:tcW w:w="1135" w:type="dxa"/>
            <w:vMerge w:val="restart"/>
            <w:shd w:val="clear" w:color="auto" w:fill="C4EFCE"/>
            <w:vAlign w:val="center"/>
            <w:hideMark/>
          </w:tcPr>
          <w:p w14:paraId="5DF1D636" w14:textId="77777777" w:rsidR="00776A1F" w:rsidRDefault="00D8574B">
            <w:pPr>
              <w:pStyle w:val="P68B1DB1-Normal7"/>
              <w:keepNext/>
              <w:spacing w:before="40" w:after="0" w:line="240" w:lineRule="auto"/>
              <w:jc w:val="center"/>
              <w:rPr>
                <w:rFonts w:eastAsia="Times New Roman" w:cs="Calibri"/>
                <w:noProof/>
              </w:rPr>
            </w:pPr>
            <w:r>
              <w:rPr>
                <w:noProof/>
              </w:rPr>
              <w:t>12.1</w:t>
            </w:r>
          </w:p>
        </w:tc>
        <w:tc>
          <w:tcPr>
            <w:tcW w:w="1276" w:type="dxa"/>
            <w:vMerge w:val="restart"/>
            <w:shd w:val="clear" w:color="auto" w:fill="C4EFCE"/>
            <w:noWrap/>
            <w:vAlign w:val="center"/>
            <w:hideMark/>
          </w:tcPr>
          <w:p w14:paraId="21B3B155" w14:textId="77777777" w:rsidR="00776A1F" w:rsidRDefault="00D8574B">
            <w:pPr>
              <w:pStyle w:val="P68B1DB1-Normal8"/>
              <w:keepNext/>
              <w:spacing w:before="40" w:after="0" w:line="240" w:lineRule="auto"/>
              <w:jc w:val="center"/>
              <w:rPr>
                <w:rFonts w:eastAsia="Times New Roman" w:cs="Calibri"/>
                <w:noProof/>
              </w:rPr>
            </w:pPr>
            <w:r>
              <w:rPr>
                <w:noProof/>
              </w:rPr>
              <w:t>TC-C12-i01</w:t>
            </w:r>
          </w:p>
        </w:tc>
        <w:tc>
          <w:tcPr>
            <w:tcW w:w="1134" w:type="dxa"/>
            <w:vMerge w:val="restart"/>
            <w:shd w:val="clear" w:color="auto" w:fill="C4EFCE"/>
            <w:noWrap/>
            <w:vAlign w:val="center"/>
            <w:hideMark/>
          </w:tcPr>
          <w:p w14:paraId="05A6C9F2" w14:textId="77777777" w:rsidR="00776A1F" w:rsidRDefault="00D8574B">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A9E0800" w14:textId="77777777" w:rsidR="00776A1F" w:rsidRDefault="00D8574B">
            <w:pPr>
              <w:pStyle w:val="P68B1DB1-Normal8"/>
              <w:keepNext/>
              <w:spacing w:before="40" w:after="0" w:line="240" w:lineRule="auto"/>
              <w:jc w:val="center"/>
              <w:rPr>
                <w:rFonts w:eastAsia="Times New Roman" w:cs="Calibri"/>
                <w:noProof/>
              </w:rPr>
            </w:pPr>
            <w:r>
              <w:rPr>
                <w:noProof/>
              </w:rPr>
              <w:t xml:space="preserve">Programmas “Resineiros Vigilantes” 2021. gada protokola parakstīšana </w:t>
            </w:r>
          </w:p>
        </w:tc>
        <w:tc>
          <w:tcPr>
            <w:tcW w:w="1275" w:type="dxa"/>
            <w:vMerge w:val="restart"/>
            <w:shd w:val="clear" w:color="auto" w:fill="C4EFCE"/>
            <w:noWrap/>
            <w:vAlign w:val="center"/>
            <w:hideMark/>
          </w:tcPr>
          <w:p w14:paraId="4BA5E5F4" w14:textId="77777777" w:rsidR="00776A1F" w:rsidRDefault="00D8574B">
            <w:pPr>
              <w:pStyle w:val="P68B1DB1-Normal8"/>
              <w:keepNext/>
              <w:spacing w:before="40" w:after="0" w:line="240" w:lineRule="auto"/>
              <w:jc w:val="center"/>
              <w:rPr>
                <w:rFonts w:eastAsia="Times New Roman" w:cs="Calibri"/>
                <w:noProof/>
              </w:rPr>
            </w:pPr>
            <w:r>
              <w:rPr>
                <w:noProof/>
              </w:rPr>
              <w:t xml:space="preserve"> Programmas “Resineiros Vigilantes” 2021. gada protokola parakstīšana</w:t>
            </w:r>
          </w:p>
        </w:tc>
        <w:tc>
          <w:tcPr>
            <w:tcW w:w="993" w:type="dxa"/>
            <w:vMerge w:val="restart"/>
            <w:shd w:val="clear" w:color="auto" w:fill="C4EFCE"/>
            <w:noWrap/>
            <w:vAlign w:val="center"/>
            <w:hideMark/>
          </w:tcPr>
          <w:p w14:paraId="3673A871"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0E11D8FC"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5DBDFE88"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5CDA9014" w14:textId="77777777" w:rsidR="00776A1F" w:rsidRDefault="00D8574B">
            <w:pPr>
              <w:pStyle w:val="P68B1DB1-Normal8"/>
              <w:keepNext/>
              <w:spacing w:before="40" w:after="0" w:line="240" w:lineRule="auto"/>
              <w:jc w:val="center"/>
              <w:rPr>
                <w:rFonts w:eastAsia="Times New Roman" w:cs="Calibri"/>
                <w:noProof/>
              </w:rPr>
            </w:pPr>
            <w:r>
              <w:rPr>
                <w:noProof/>
              </w:rPr>
              <w:t>3. CET.</w:t>
            </w:r>
          </w:p>
        </w:tc>
        <w:tc>
          <w:tcPr>
            <w:tcW w:w="708" w:type="dxa"/>
            <w:vMerge w:val="restart"/>
            <w:shd w:val="clear" w:color="auto" w:fill="C4EFCE"/>
            <w:noWrap/>
            <w:vAlign w:val="center"/>
            <w:hideMark/>
          </w:tcPr>
          <w:p w14:paraId="47D645F4" w14:textId="77777777" w:rsidR="00776A1F" w:rsidRDefault="00D8574B">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024670B2" w14:textId="77777777" w:rsidR="00776A1F" w:rsidRDefault="00D8574B">
            <w:pPr>
              <w:pStyle w:val="P68B1DB1-Normal8"/>
              <w:keepNext/>
              <w:spacing w:before="40" w:after="0" w:line="240" w:lineRule="auto"/>
              <w:jc w:val="both"/>
              <w:rPr>
                <w:rFonts w:eastAsia="Times New Roman" w:cs="Calibri"/>
                <w:noProof/>
              </w:rPr>
            </w:pPr>
            <w:r>
              <w:rPr>
                <w:noProof/>
              </w:rPr>
              <w:t>Protokola noslēgšana starp Dabas un meža aizsardzības institūtu (I.P.) un valsts sveķu ražotāju profesionālo asociāciju (Resipinus) lauku ugunsgrēku uzraudzībai un atklāšanai.</w:t>
            </w:r>
          </w:p>
        </w:tc>
      </w:tr>
      <w:tr w:rsidR="00776A1F" w14:paraId="5DB127A4" w14:textId="77777777">
        <w:trPr>
          <w:trHeight w:val="509"/>
        </w:trPr>
        <w:tc>
          <w:tcPr>
            <w:tcW w:w="1135" w:type="dxa"/>
            <w:vMerge/>
            <w:vAlign w:val="center"/>
            <w:hideMark/>
          </w:tcPr>
          <w:p w14:paraId="287EBF32" w14:textId="77777777" w:rsidR="00776A1F" w:rsidRDefault="00776A1F">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2179B6CF" w14:textId="77777777" w:rsidR="00776A1F" w:rsidRDefault="00776A1F">
            <w:pPr>
              <w:keepNext/>
              <w:spacing w:before="40" w:after="0" w:line="240" w:lineRule="auto"/>
              <w:jc w:val="both"/>
              <w:rPr>
                <w:rFonts w:ascii="Calibri" w:eastAsia="Times New Roman" w:hAnsi="Calibri" w:cs="Calibri"/>
                <w:noProof/>
                <w:sz w:val="16"/>
              </w:rPr>
            </w:pPr>
          </w:p>
        </w:tc>
        <w:tc>
          <w:tcPr>
            <w:tcW w:w="1134" w:type="dxa"/>
            <w:vMerge/>
            <w:vAlign w:val="center"/>
            <w:hideMark/>
          </w:tcPr>
          <w:p w14:paraId="5566EE47" w14:textId="77777777" w:rsidR="00776A1F" w:rsidRDefault="00776A1F">
            <w:pPr>
              <w:keepNext/>
              <w:spacing w:before="40" w:after="0" w:line="240" w:lineRule="auto"/>
              <w:jc w:val="both"/>
              <w:rPr>
                <w:rFonts w:ascii="Calibri" w:eastAsia="Times New Roman" w:hAnsi="Calibri" w:cs="Calibri"/>
                <w:noProof/>
                <w:sz w:val="16"/>
              </w:rPr>
            </w:pPr>
          </w:p>
        </w:tc>
        <w:tc>
          <w:tcPr>
            <w:tcW w:w="1701" w:type="dxa"/>
            <w:vMerge/>
            <w:vAlign w:val="center"/>
            <w:hideMark/>
          </w:tcPr>
          <w:p w14:paraId="68CFF3C8" w14:textId="77777777" w:rsidR="00776A1F" w:rsidRDefault="00776A1F">
            <w:pPr>
              <w:keepNext/>
              <w:spacing w:before="40" w:after="0" w:line="240" w:lineRule="auto"/>
              <w:jc w:val="both"/>
              <w:rPr>
                <w:rFonts w:ascii="Calibri" w:eastAsia="Times New Roman" w:hAnsi="Calibri" w:cs="Calibri"/>
                <w:noProof/>
                <w:sz w:val="16"/>
              </w:rPr>
            </w:pPr>
          </w:p>
        </w:tc>
        <w:tc>
          <w:tcPr>
            <w:tcW w:w="1275" w:type="dxa"/>
            <w:vMerge/>
            <w:vAlign w:val="center"/>
            <w:hideMark/>
          </w:tcPr>
          <w:p w14:paraId="0CC81F45" w14:textId="77777777" w:rsidR="00776A1F" w:rsidRDefault="00776A1F">
            <w:pPr>
              <w:keepNext/>
              <w:spacing w:before="40" w:after="0" w:line="240" w:lineRule="auto"/>
              <w:jc w:val="both"/>
              <w:rPr>
                <w:rFonts w:ascii="Calibri" w:eastAsia="Times New Roman" w:hAnsi="Calibri" w:cs="Calibri"/>
                <w:noProof/>
                <w:sz w:val="16"/>
              </w:rPr>
            </w:pPr>
          </w:p>
        </w:tc>
        <w:tc>
          <w:tcPr>
            <w:tcW w:w="993" w:type="dxa"/>
            <w:vMerge/>
            <w:vAlign w:val="center"/>
            <w:hideMark/>
          </w:tcPr>
          <w:p w14:paraId="746444D9" w14:textId="77777777" w:rsidR="00776A1F" w:rsidRDefault="00776A1F">
            <w:pPr>
              <w:keepNext/>
              <w:spacing w:before="40" w:after="0" w:line="240" w:lineRule="auto"/>
              <w:jc w:val="both"/>
              <w:rPr>
                <w:rFonts w:ascii="Calibri" w:eastAsia="Times New Roman" w:hAnsi="Calibri" w:cs="Calibri"/>
                <w:noProof/>
                <w:sz w:val="16"/>
              </w:rPr>
            </w:pPr>
          </w:p>
        </w:tc>
        <w:tc>
          <w:tcPr>
            <w:tcW w:w="992" w:type="dxa"/>
            <w:vMerge/>
            <w:vAlign w:val="center"/>
            <w:hideMark/>
          </w:tcPr>
          <w:p w14:paraId="45B22E2B" w14:textId="77777777" w:rsidR="00776A1F" w:rsidRDefault="00776A1F">
            <w:pPr>
              <w:keepNext/>
              <w:spacing w:before="40" w:after="0" w:line="240" w:lineRule="auto"/>
              <w:jc w:val="both"/>
              <w:rPr>
                <w:rFonts w:ascii="Calibri" w:eastAsia="Times New Roman" w:hAnsi="Calibri" w:cs="Calibri"/>
                <w:noProof/>
                <w:sz w:val="16"/>
              </w:rPr>
            </w:pPr>
          </w:p>
        </w:tc>
        <w:tc>
          <w:tcPr>
            <w:tcW w:w="709" w:type="dxa"/>
            <w:vMerge/>
            <w:vAlign w:val="center"/>
            <w:hideMark/>
          </w:tcPr>
          <w:p w14:paraId="5FA212D8" w14:textId="77777777" w:rsidR="00776A1F" w:rsidRDefault="00776A1F">
            <w:pPr>
              <w:keepNext/>
              <w:spacing w:before="40" w:after="0" w:line="240" w:lineRule="auto"/>
              <w:jc w:val="both"/>
              <w:rPr>
                <w:rFonts w:ascii="Calibri" w:eastAsia="Times New Roman" w:hAnsi="Calibri" w:cs="Calibri"/>
                <w:noProof/>
                <w:sz w:val="16"/>
              </w:rPr>
            </w:pPr>
          </w:p>
        </w:tc>
        <w:tc>
          <w:tcPr>
            <w:tcW w:w="567" w:type="dxa"/>
            <w:vMerge/>
            <w:vAlign w:val="center"/>
            <w:hideMark/>
          </w:tcPr>
          <w:p w14:paraId="67B9BF89" w14:textId="77777777" w:rsidR="00776A1F" w:rsidRDefault="00776A1F">
            <w:pPr>
              <w:keepNext/>
              <w:spacing w:before="40" w:after="0" w:line="240" w:lineRule="auto"/>
              <w:jc w:val="both"/>
              <w:rPr>
                <w:rFonts w:ascii="Calibri" w:eastAsia="Times New Roman" w:hAnsi="Calibri" w:cs="Calibri"/>
                <w:noProof/>
                <w:sz w:val="16"/>
              </w:rPr>
            </w:pPr>
          </w:p>
        </w:tc>
        <w:tc>
          <w:tcPr>
            <w:tcW w:w="708" w:type="dxa"/>
            <w:vMerge/>
            <w:vAlign w:val="center"/>
            <w:hideMark/>
          </w:tcPr>
          <w:p w14:paraId="5BF5C728" w14:textId="77777777" w:rsidR="00776A1F" w:rsidRDefault="00776A1F">
            <w:pPr>
              <w:keepNext/>
              <w:spacing w:before="40" w:after="0" w:line="240" w:lineRule="auto"/>
              <w:jc w:val="both"/>
              <w:rPr>
                <w:rFonts w:ascii="Calibri" w:eastAsia="Times New Roman" w:hAnsi="Calibri" w:cs="Calibri"/>
                <w:noProof/>
                <w:sz w:val="16"/>
              </w:rPr>
            </w:pPr>
          </w:p>
        </w:tc>
        <w:tc>
          <w:tcPr>
            <w:tcW w:w="3969" w:type="dxa"/>
            <w:vMerge/>
            <w:vAlign w:val="center"/>
            <w:hideMark/>
          </w:tcPr>
          <w:p w14:paraId="7EE621F1" w14:textId="77777777" w:rsidR="00776A1F" w:rsidRDefault="00776A1F">
            <w:pPr>
              <w:keepNext/>
              <w:spacing w:before="40" w:after="0" w:line="240" w:lineRule="auto"/>
              <w:jc w:val="both"/>
              <w:rPr>
                <w:rFonts w:ascii="Calibri" w:eastAsia="Times New Roman" w:hAnsi="Calibri" w:cs="Calibri"/>
                <w:noProof/>
                <w:sz w:val="16"/>
              </w:rPr>
            </w:pPr>
          </w:p>
        </w:tc>
      </w:tr>
      <w:tr w:rsidR="00776A1F" w14:paraId="67ABFFD7" w14:textId="77777777">
        <w:trPr>
          <w:trHeight w:val="630"/>
        </w:trPr>
        <w:tc>
          <w:tcPr>
            <w:tcW w:w="1135" w:type="dxa"/>
            <w:shd w:val="clear" w:color="auto" w:fill="C4EFCE"/>
            <w:vAlign w:val="center"/>
            <w:hideMark/>
          </w:tcPr>
          <w:p w14:paraId="704A999D" w14:textId="77777777" w:rsidR="00776A1F" w:rsidRDefault="00D8574B">
            <w:pPr>
              <w:pStyle w:val="P68B1DB1-Normal7"/>
              <w:keepNext/>
              <w:spacing w:before="40" w:after="0" w:line="240" w:lineRule="auto"/>
              <w:jc w:val="center"/>
              <w:rPr>
                <w:rFonts w:eastAsia="Times New Roman" w:cs="Calibri"/>
                <w:noProof/>
              </w:rPr>
            </w:pPr>
            <w:r>
              <w:rPr>
                <w:noProof/>
              </w:rPr>
              <w:t>12.2</w:t>
            </w:r>
          </w:p>
        </w:tc>
        <w:tc>
          <w:tcPr>
            <w:tcW w:w="1276" w:type="dxa"/>
            <w:shd w:val="clear" w:color="auto" w:fill="C4EFCE"/>
            <w:noWrap/>
            <w:vAlign w:val="center"/>
            <w:hideMark/>
          </w:tcPr>
          <w:p w14:paraId="78F41078" w14:textId="77777777" w:rsidR="00776A1F" w:rsidRDefault="00D8574B">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4628D649" w14:textId="77777777" w:rsidR="00776A1F" w:rsidRDefault="00D8574B">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27B190C1" w14:textId="77777777" w:rsidR="00776A1F" w:rsidRDefault="00D8574B">
            <w:pPr>
              <w:pStyle w:val="P68B1DB1-Normal8"/>
              <w:keepNext/>
              <w:spacing w:before="40" w:after="0" w:line="240" w:lineRule="auto"/>
              <w:jc w:val="center"/>
              <w:rPr>
                <w:rFonts w:eastAsia="Times New Roman" w:cs="Calibri"/>
                <w:noProof/>
              </w:rPr>
            </w:pPr>
            <w:r>
              <w:rPr>
                <w:noProof/>
              </w:rPr>
              <w:t>Konsorciju iesniegto projektu apstiprināšana jaunu bioekonomikas produktu, tehnoloģiju un procesu izstrādei tekstilizstrādājumu un apģērbu, apavu un dabisko sveķu nozarē</w:t>
            </w:r>
          </w:p>
        </w:tc>
        <w:tc>
          <w:tcPr>
            <w:tcW w:w="1275" w:type="dxa"/>
            <w:shd w:val="clear" w:color="auto" w:fill="C4EFCE"/>
            <w:noWrap/>
            <w:vAlign w:val="center"/>
            <w:hideMark/>
          </w:tcPr>
          <w:p w14:paraId="620AF49C" w14:textId="77777777" w:rsidR="00776A1F" w:rsidRDefault="00D8574B">
            <w:pPr>
              <w:pStyle w:val="P68B1DB1-Normal8"/>
              <w:keepNext/>
              <w:spacing w:before="40" w:after="0" w:line="240" w:lineRule="auto"/>
              <w:jc w:val="center"/>
              <w:rPr>
                <w:rFonts w:eastAsia="Times New Roman" w:cs="Calibri"/>
                <w:noProof/>
              </w:rPr>
            </w:pPr>
            <w:r>
              <w:rPr>
                <w:noProof/>
              </w:rPr>
              <w:t>Jaunu bioekonomikas produktu, tehnoloģiju un procesu izstrādes projektu apstiprināšana</w:t>
            </w:r>
          </w:p>
        </w:tc>
        <w:tc>
          <w:tcPr>
            <w:tcW w:w="993" w:type="dxa"/>
            <w:shd w:val="clear" w:color="auto" w:fill="C4EFCE"/>
            <w:noWrap/>
            <w:vAlign w:val="center"/>
            <w:hideMark/>
          </w:tcPr>
          <w:p w14:paraId="5956DCDC"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7463DC1B"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35FFDF23"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342007C6" w14:textId="77777777" w:rsidR="00776A1F" w:rsidRDefault="00D8574B">
            <w:pPr>
              <w:pStyle w:val="P68B1DB1-Normal8"/>
              <w:keepNext/>
              <w:spacing w:before="40"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4BD70A66" w14:textId="77777777" w:rsidR="00776A1F" w:rsidRDefault="00D8574B">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0EDAFC67" w14:textId="77777777" w:rsidR="00776A1F" w:rsidRDefault="00D8574B">
            <w:pPr>
              <w:pStyle w:val="P68B1DB1-Normal8"/>
              <w:keepNext/>
              <w:spacing w:before="40" w:after="0" w:line="240" w:lineRule="auto"/>
              <w:jc w:val="both"/>
              <w:rPr>
                <w:rFonts w:eastAsia="Times New Roman" w:cs="Calibri"/>
                <w:noProof/>
              </w:rPr>
            </w:pPr>
            <w:r>
              <w:rPr>
                <w:noProof/>
              </w:rPr>
              <w:t xml:space="preserve">Konsorciju iesniegto projektu apstiprināšana atlases komitejā jaunu bioekonomikas produktu, tehnoloģiju un procesu izstrādei tekstilizstrādājumu, apģērbu, apavu un dabisko sveķu nozarē. </w:t>
            </w:r>
          </w:p>
          <w:p w14:paraId="7E2CA1C9" w14:textId="77777777" w:rsidR="00776A1F" w:rsidRDefault="00D8574B">
            <w:pPr>
              <w:pStyle w:val="P68B1DB1-Normal8"/>
              <w:keepNext/>
              <w:spacing w:before="40" w:after="0" w:line="240" w:lineRule="auto"/>
              <w:jc w:val="both"/>
              <w:rPr>
                <w:rFonts w:eastAsia="Times New Roman" w:cs="Calibri"/>
                <w:noProof/>
              </w:rPr>
            </w:pPr>
            <w:r>
              <w:rPr>
                <w:noProof/>
              </w:rPr>
              <w:t xml:space="preserve">Uz Konsorciju atbalsta saņemšanai iesniegtajiem projektiem attiecas viena no šādām programmām: “Ilgtspējīgas un apritīgas bioekonomikas veicināšana tekstilrūpniecībā un apģērbā”, “Ilgtspējīgas un apritīgas bioekonomikas veicināšana apavu ražošanas nozarē” un “Dabas atjaunošanas un valorizācijas veicināšana”. </w:t>
            </w:r>
          </w:p>
          <w:p w14:paraId="373315BC" w14:textId="57EEC5F1" w:rsidR="00776A1F" w:rsidRDefault="00D8574B">
            <w:pPr>
              <w:pStyle w:val="P68B1DB1-Normal8"/>
              <w:keepNext/>
              <w:spacing w:before="40" w:after="0" w:line="240" w:lineRule="auto"/>
              <w:jc w:val="both"/>
              <w:rPr>
                <w:rFonts w:eastAsia="Times New Roman" w:cs="Calibri"/>
                <w:noProof/>
              </w:rPr>
            </w:pPr>
            <w:r>
              <w:rPr>
                <w:noProof/>
              </w:rPr>
              <w:t xml:space="preserve">Tās koncentrējas uz ekonomiku ar zemu oglekļa dioksīda emisiju līmeni, noturību un pielāgošanos klimata pārmaiņām, izmantojot tīrus tehnoloģiju risinājumus, mazietekmes alternatīvas un labāko pieejamo tehnisko paņēmienu izmantošanu. Projektu atlases kritēriji paredz, ka visiem atbalstītajiem pētniecības un inovācijas projektiem jānodrošina tiešo un netiešo oglekļa emisiju samazināšana. </w:t>
            </w:r>
          </w:p>
          <w:p w14:paraId="13B6D23C" w14:textId="3DD59F32" w:rsidR="00776A1F" w:rsidRDefault="00D8574B">
            <w:pPr>
              <w:pStyle w:val="P68B1DB1-Normal8"/>
              <w:keepNext/>
              <w:spacing w:before="40" w:after="0" w:line="240" w:lineRule="auto"/>
              <w:jc w:val="both"/>
              <w:rPr>
                <w:rFonts w:eastAsia="Times New Roman" w:cs="Calibri"/>
                <w:noProof/>
              </w:rPr>
            </w:pPr>
            <w:r>
              <w:rPr>
                <w:noProof/>
              </w:rPr>
              <w:t>Atlasītie projekti atbilst Tehniskajiem norādījumiem “nenodari būtisku kaitējumu” (2021/C58/01), izmantojot izslēgšanas sarakstu un prasību par atbilstību attiecīgajiem ES un valsts tiesību aktiem vides jomā.</w:t>
            </w:r>
          </w:p>
        </w:tc>
      </w:tr>
      <w:tr w:rsidR="00776A1F" w14:paraId="1F72AFA7" w14:textId="77777777">
        <w:trPr>
          <w:trHeight w:val="640"/>
        </w:trPr>
        <w:tc>
          <w:tcPr>
            <w:tcW w:w="1135" w:type="dxa"/>
            <w:shd w:val="clear" w:color="auto" w:fill="C4EFCE"/>
            <w:vAlign w:val="center"/>
            <w:hideMark/>
          </w:tcPr>
          <w:p w14:paraId="79604885" w14:textId="77777777" w:rsidR="00776A1F" w:rsidRDefault="00D8574B">
            <w:pPr>
              <w:pStyle w:val="P68B1DB1-Normal7"/>
              <w:keepNext/>
              <w:spacing w:before="40"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DCAFD0A" w14:textId="77777777" w:rsidR="00776A1F" w:rsidRDefault="00D8574B">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F5A6A08" w14:textId="77777777" w:rsidR="00776A1F" w:rsidRDefault="00D8574B">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7AA2A96B" w14:textId="77777777" w:rsidR="00776A1F" w:rsidRDefault="00D8574B">
            <w:pPr>
              <w:pStyle w:val="P68B1DB1-Normal8"/>
              <w:keepNext/>
              <w:spacing w:before="40" w:after="0" w:line="240" w:lineRule="auto"/>
              <w:jc w:val="center"/>
              <w:rPr>
                <w:rFonts w:eastAsia="Times New Roman" w:cs="Calibri"/>
                <w:noProof/>
              </w:rPr>
            </w:pPr>
            <w:r>
              <w:rPr>
                <w:noProof/>
              </w:rPr>
              <w:t xml:space="preserve">Jauni produkti, tehnoloģijas un izmēģinājuma procesi, kuros integrēti bioresursi </w:t>
            </w:r>
          </w:p>
        </w:tc>
        <w:tc>
          <w:tcPr>
            <w:tcW w:w="1275" w:type="dxa"/>
            <w:shd w:val="clear" w:color="auto" w:fill="C4EFCE"/>
            <w:noWrap/>
            <w:vAlign w:val="center"/>
            <w:hideMark/>
          </w:tcPr>
          <w:p w14:paraId="4D4A5918"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3848C4DC" w14:textId="77777777" w:rsidR="00776A1F" w:rsidRDefault="00D8574B">
            <w:pPr>
              <w:pStyle w:val="P68B1DB1-Normal8"/>
              <w:keepNext/>
              <w:spacing w:before="40" w:after="0" w:line="240" w:lineRule="auto"/>
              <w:jc w:val="center"/>
              <w:rPr>
                <w:rFonts w:eastAsia="Times New Roman" w:cs="Calibri"/>
                <w:noProof/>
              </w:rPr>
            </w:pPr>
            <w:r>
              <w:rPr>
                <w:noProof/>
              </w:rPr>
              <w:t> Skaits</w:t>
            </w:r>
          </w:p>
        </w:tc>
        <w:tc>
          <w:tcPr>
            <w:tcW w:w="992" w:type="dxa"/>
            <w:shd w:val="clear" w:color="auto" w:fill="C4EFCE"/>
            <w:noWrap/>
            <w:vAlign w:val="center"/>
            <w:hideMark/>
          </w:tcPr>
          <w:p w14:paraId="5AB50F47" w14:textId="77777777" w:rsidR="00776A1F" w:rsidRDefault="00D8574B">
            <w:pPr>
              <w:pStyle w:val="P68B1DB1-Normal8"/>
              <w:keepNext/>
              <w:spacing w:before="40" w:after="0" w:line="240" w:lineRule="auto"/>
              <w:jc w:val="center"/>
              <w:rPr>
                <w:rFonts w:eastAsia="Times New Roman" w:cs="Calibri"/>
                <w:noProof/>
              </w:rPr>
            </w:pPr>
            <w:r>
              <w:rPr>
                <w:noProof/>
              </w:rPr>
              <w:t> 0</w:t>
            </w:r>
          </w:p>
        </w:tc>
        <w:tc>
          <w:tcPr>
            <w:tcW w:w="709" w:type="dxa"/>
            <w:shd w:val="clear" w:color="auto" w:fill="C4EFCE"/>
            <w:noWrap/>
            <w:vAlign w:val="center"/>
            <w:hideMark/>
          </w:tcPr>
          <w:p w14:paraId="6F17EB16" w14:textId="77777777" w:rsidR="00776A1F" w:rsidRDefault="00D8574B">
            <w:pPr>
              <w:pStyle w:val="P68B1DB1-Normal8"/>
              <w:keepNext/>
              <w:spacing w:before="40" w:after="0" w:line="240" w:lineRule="auto"/>
              <w:jc w:val="center"/>
              <w:rPr>
                <w:rFonts w:eastAsia="Times New Roman" w:cs="Calibri"/>
                <w:noProof/>
              </w:rPr>
            </w:pPr>
            <w:r>
              <w:rPr>
                <w:noProof/>
              </w:rPr>
              <w:t> 15</w:t>
            </w:r>
          </w:p>
        </w:tc>
        <w:tc>
          <w:tcPr>
            <w:tcW w:w="567" w:type="dxa"/>
            <w:shd w:val="clear" w:color="auto" w:fill="C4EFCE"/>
            <w:noWrap/>
            <w:vAlign w:val="center"/>
            <w:hideMark/>
          </w:tcPr>
          <w:p w14:paraId="03A29219"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0ECB7A2A" w14:textId="77777777" w:rsidR="00776A1F" w:rsidRDefault="00D8574B">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2F1A4FC3" w14:textId="77777777" w:rsidR="00776A1F" w:rsidRDefault="00D8574B">
            <w:pPr>
              <w:pStyle w:val="P68B1DB1-Normal8"/>
              <w:keepNext/>
              <w:spacing w:before="40" w:after="0" w:line="240" w:lineRule="auto"/>
              <w:jc w:val="both"/>
              <w:rPr>
                <w:rFonts w:eastAsia="Times New Roman" w:cs="Calibri"/>
                <w:noProof/>
              </w:rPr>
            </w:pPr>
            <w:r>
              <w:rPr>
                <w:noProof/>
              </w:rPr>
              <w:t>Jauni produkti, tehnoloģijas un izmēģinājuma procesi, kuros integrēti bioresursi. Tas ietver vismaz 10 jaunus produktus vai tehnoloģijas (6.–7. tehnoloģiju gatavības līmenis) un vismaz piecus rūpnieciskos izmēģinājuma procesus ((Tehnoloģiju gatavības līmenis, 7.–9. līmenis) šādās nozarēs: tekstilizstrādājumu, apavu, sveķu ražošana.</w:t>
            </w:r>
          </w:p>
        </w:tc>
      </w:tr>
      <w:tr w:rsidR="00776A1F" w14:paraId="029AA38F" w14:textId="77777777">
        <w:trPr>
          <w:trHeight w:val="430"/>
        </w:trPr>
        <w:tc>
          <w:tcPr>
            <w:tcW w:w="1135" w:type="dxa"/>
            <w:shd w:val="clear" w:color="auto" w:fill="C4EFCE"/>
            <w:vAlign w:val="center"/>
            <w:hideMark/>
          </w:tcPr>
          <w:p w14:paraId="0DC95BE8" w14:textId="77777777" w:rsidR="00776A1F" w:rsidRDefault="00D8574B">
            <w:pPr>
              <w:pStyle w:val="P68B1DB1-Normal7"/>
              <w:keepNext/>
              <w:spacing w:before="40" w:after="0" w:line="240" w:lineRule="auto"/>
              <w:jc w:val="center"/>
              <w:rPr>
                <w:rFonts w:eastAsia="Times New Roman" w:cs="Calibri"/>
                <w:noProof/>
              </w:rPr>
            </w:pPr>
            <w:r>
              <w:rPr>
                <w:noProof/>
              </w:rPr>
              <w:t>12.4</w:t>
            </w:r>
          </w:p>
        </w:tc>
        <w:tc>
          <w:tcPr>
            <w:tcW w:w="1276" w:type="dxa"/>
            <w:shd w:val="clear" w:color="auto" w:fill="C4EFCE"/>
            <w:noWrap/>
            <w:vAlign w:val="center"/>
            <w:hideMark/>
          </w:tcPr>
          <w:p w14:paraId="00D79CA4" w14:textId="77777777" w:rsidR="00776A1F" w:rsidRDefault="00D8574B">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AA0EC62" w14:textId="77777777" w:rsidR="00776A1F" w:rsidRDefault="00D8574B">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3A995D45" w14:textId="77777777" w:rsidR="00776A1F" w:rsidRDefault="00D8574B">
            <w:pPr>
              <w:pStyle w:val="P68B1DB1-Normal8"/>
              <w:keepNext/>
              <w:spacing w:before="40" w:after="0" w:line="240" w:lineRule="auto"/>
              <w:jc w:val="center"/>
              <w:rPr>
                <w:rFonts w:eastAsia="Times New Roman" w:cs="Calibri"/>
                <w:noProof/>
              </w:rPr>
            </w:pPr>
            <w:r>
              <w:rPr>
                <w:noProof/>
              </w:rPr>
              <w:t>Jūras priežu mežu attīstība ar sveķu ražošanas potenciālu</w:t>
            </w:r>
          </w:p>
        </w:tc>
        <w:tc>
          <w:tcPr>
            <w:tcW w:w="1275" w:type="dxa"/>
            <w:shd w:val="clear" w:color="auto" w:fill="C4EFCE"/>
            <w:noWrap/>
            <w:vAlign w:val="center"/>
            <w:hideMark/>
          </w:tcPr>
          <w:p w14:paraId="289BF410"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01EED50B" w14:textId="77777777" w:rsidR="00776A1F" w:rsidRDefault="00D8574B">
            <w:pPr>
              <w:pStyle w:val="P68B1DB1-Normal8"/>
              <w:keepNext/>
              <w:spacing w:before="40" w:after="0" w:line="240" w:lineRule="auto"/>
              <w:jc w:val="center"/>
              <w:rPr>
                <w:rFonts w:eastAsia="Times New Roman" w:cs="Calibri"/>
                <w:noProof/>
              </w:rPr>
            </w:pPr>
            <w:r>
              <w:rPr>
                <w:noProof/>
              </w:rPr>
              <w:t>ha</w:t>
            </w:r>
          </w:p>
        </w:tc>
        <w:tc>
          <w:tcPr>
            <w:tcW w:w="992" w:type="dxa"/>
            <w:shd w:val="clear" w:color="auto" w:fill="C4EFCE"/>
            <w:noWrap/>
            <w:vAlign w:val="center"/>
            <w:hideMark/>
          </w:tcPr>
          <w:p w14:paraId="426FC88F" w14:textId="77777777" w:rsidR="00776A1F" w:rsidRDefault="00D8574B">
            <w:pPr>
              <w:pStyle w:val="P68B1DB1-Normal8"/>
              <w:keepNext/>
              <w:spacing w:before="40" w:after="0" w:line="240" w:lineRule="auto"/>
              <w:jc w:val="center"/>
              <w:rPr>
                <w:rFonts w:eastAsia="Times New Roman" w:cs="Calibri"/>
                <w:noProof/>
              </w:rPr>
            </w:pPr>
            <w:r>
              <w:rPr>
                <w:noProof/>
              </w:rPr>
              <w:t>0</w:t>
            </w:r>
          </w:p>
        </w:tc>
        <w:tc>
          <w:tcPr>
            <w:tcW w:w="709" w:type="dxa"/>
            <w:shd w:val="clear" w:color="auto" w:fill="C4EFCE"/>
            <w:noWrap/>
            <w:vAlign w:val="center"/>
            <w:hideMark/>
          </w:tcPr>
          <w:p w14:paraId="556DED51" w14:textId="77777777" w:rsidR="00776A1F" w:rsidRDefault="00D8574B">
            <w:pPr>
              <w:pStyle w:val="P68B1DB1-Normal8"/>
              <w:keepNext/>
              <w:spacing w:before="40" w:after="0" w:line="240" w:lineRule="auto"/>
              <w:jc w:val="center"/>
              <w:rPr>
                <w:rFonts w:eastAsia="Times New Roman" w:cs="Calibri"/>
                <w:noProof/>
              </w:rPr>
            </w:pPr>
            <w:r>
              <w:rPr>
                <w:noProof/>
              </w:rPr>
              <w:t>8500</w:t>
            </w:r>
          </w:p>
        </w:tc>
        <w:tc>
          <w:tcPr>
            <w:tcW w:w="567" w:type="dxa"/>
            <w:shd w:val="clear" w:color="auto" w:fill="C4EFCE"/>
            <w:noWrap/>
            <w:vAlign w:val="center"/>
            <w:hideMark/>
          </w:tcPr>
          <w:p w14:paraId="75362553" w14:textId="77777777" w:rsidR="00776A1F" w:rsidRDefault="00D8574B">
            <w:pPr>
              <w:pStyle w:val="P68B1DB1-Normal8"/>
              <w:keepNext/>
              <w:spacing w:before="40"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3942C662" w14:textId="77777777" w:rsidR="00776A1F" w:rsidRDefault="00D8574B">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51C1605D" w14:textId="77777777" w:rsidR="00776A1F" w:rsidRDefault="00D8574B">
            <w:pPr>
              <w:pStyle w:val="P68B1DB1-Normal8"/>
              <w:keepNext/>
              <w:spacing w:before="40" w:after="0" w:line="240" w:lineRule="auto"/>
              <w:jc w:val="both"/>
              <w:rPr>
                <w:rFonts w:eastAsia="Times New Roman" w:cs="Calibri"/>
                <w:noProof/>
              </w:rPr>
            </w:pPr>
            <w:r>
              <w:rPr>
                <w:noProof/>
              </w:rPr>
              <w:t>Jūras priežu mežu platība, kas attīstījusies, izmantojot dabiskās reģenerācijas metodes un sveķu zaru apgriešanu.</w:t>
            </w:r>
          </w:p>
        </w:tc>
      </w:tr>
      <w:tr w:rsidR="00776A1F" w14:paraId="06448507" w14:textId="77777777">
        <w:trPr>
          <w:trHeight w:val="509"/>
        </w:trPr>
        <w:tc>
          <w:tcPr>
            <w:tcW w:w="1135" w:type="dxa"/>
            <w:vMerge w:val="restart"/>
            <w:shd w:val="clear" w:color="auto" w:fill="C4EFCE"/>
            <w:vAlign w:val="center"/>
            <w:hideMark/>
          </w:tcPr>
          <w:p w14:paraId="01815B47" w14:textId="77777777" w:rsidR="00776A1F" w:rsidRDefault="00D8574B">
            <w:pPr>
              <w:pStyle w:val="P68B1DB1-Normal7"/>
              <w:keepNext/>
              <w:spacing w:before="40" w:after="0" w:line="240" w:lineRule="auto"/>
              <w:jc w:val="center"/>
              <w:rPr>
                <w:rFonts w:eastAsia="Times New Roman" w:cs="Calibri"/>
                <w:noProof/>
              </w:rPr>
            </w:pPr>
            <w:r>
              <w:rPr>
                <w:noProof/>
              </w:rPr>
              <w:t>12.5</w:t>
            </w:r>
          </w:p>
        </w:tc>
        <w:tc>
          <w:tcPr>
            <w:tcW w:w="1276" w:type="dxa"/>
            <w:vMerge w:val="restart"/>
            <w:shd w:val="clear" w:color="auto" w:fill="C4EFCE"/>
            <w:noWrap/>
            <w:vAlign w:val="center"/>
            <w:hideMark/>
          </w:tcPr>
          <w:p w14:paraId="5A975A5B" w14:textId="77777777" w:rsidR="00776A1F" w:rsidRDefault="00D8574B">
            <w:pPr>
              <w:pStyle w:val="P68B1DB1-Normal8"/>
              <w:keepNext/>
              <w:spacing w:before="40" w:after="0" w:line="240" w:lineRule="auto"/>
              <w:jc w:val="center"/>
              <w:rPr>
                <w:rFonts w:eastAsia="Times New Roman" w:cs="Calibri"/>
                <w:noProof/>
              </w:rPr>
            </w:pPr>
            <w:r>
              <w:rPr>
                <w:noProof/>
              </w:rPr>
              <w:t>TC-C12-r25</w:t>
            </w:r>
          </w:p>
        </w:tc>
        <w:tc>
          <w:tcPr>
            <w:tcW w:w="1134" w:type="dxa"/>
            <w:vMerge w:val="restart"/>
            <w:shd w:val="clear" w:color="auto" w:fill="C4EFCE"/>
            <w:noWrap/>
            <w:vAlign w:val="center"/>
            <w:hideMark/>
          </w:tcPr>
          <w:p w14:paraId="7B72424B" w14:textId="77777777" w:rsidR="00776A1F" w:rsidRDefault="00D8574B">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9664442" w14:textId="77777777" w:rsidR="00776A1F" w:rsidRDefault="00D8574B">
            <w:pPr>
              <w:pStyle w:val="P68B1DB1-Normal8"/>
              <w:keepNext/>
              <w:spacing w:before="40" w:after="0" w:line="240" w:lineRule="auto"/>
              <w:jc w:val="center"/>
              <w:rPr>
                <w:rFonts w:eastAsia="Times New Roman" w:cs="Calibri"/>
                <w:noProof/>
              </w:rPr>
            </w:pPr>
            <w:r>
              <w:rPr>
                <w:noProof/>
              </w:rPr>
              <w:t>Jaunā vispārējā atkritumu apsaimniekošanas režīma stāšanās spēkā</w:t>
            </w:r>
          </w:p>
        </w:tc>
        <w:tc>
          <w:tcPr>
            <w:tcW w:w="1275" w:type="dxa"/>
            <w:vMerge w:val="restart"/>
            <w:shd w:val="clear" w:color="auto" w:fill="C4EFCE"/>
            <w:noWrap/>
            <w:vAlign w:val="center"/>
            <w:hideMark/>
          </w:tcPr>
          <w:p w14:paraId="1355927D" w14:textId="77777777" w:rsidR="00776A1F" w:rsidRDefault="00D8574B">
            <w:pPr>
              <w:pStyle w:val="P68B1DB1-Normal8"/>
              <w:keepNext/>
              <w:spacing w:before="40" w:after="0" w:line="240" w:lineRule="auto"/>
              <w:jc w:val="center"/>
              <w:rPr>
                <w:rFonts w:eastAsia="Times New Roman" w:cs="Calibri"/>
                <w:noProof/>
              </w:rPr>
            </w:pPr>
            <w:r>
              <w:rPr>
                <w:noProof/>
              </w:rPr>
              <w:t>Jaunā vispārējā atkritumu apsaimniekošanas režīma stāšanās spēkā</w:t>
            </w:r>
          </w:p>
        </w:tc>
        <w:tc>
          <w:tcPr>
            <w:tcW w:w="993" w:type="dxa"/>
            <w:vMerge w:val="restart"/>
            <w:shd w:val="clear" w:color="auto" w:fill="C4EFCE"/>
            <w:noWrap/>
            <w:vAlign w:val="center"/>
            <w:hideMark/>
          </w:tcPr>
          <w:p w14:paraId="54E17836"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68CD8F4C"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30FF5517"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4E701E35" w14:textId="77777777" w:rsidR="00776A1F" w:rsidRDefault="00D8574B">
            <w:pPr>
              <w:pStyle w:val="P68B1DB1-Normal8"/>
              <w:keepNext/>
              <w:spacing w:before="40" w:after="0" w:line="240" w:lineRule="auto"/>
              <w:jc w:val="center"/>
              <w:rPr>
                <w:rFonts w:eastAsia="Times New Roman" w:cs="Calibri"/>
                <w:noProof/>
              </w:rPr>
            </w:pPr>
            <w:r>
              <w:rPr>
                <w:noProof/>
              </w:rPr>
              <w:t>3. CET.</w:t>
            </w:r>
          </w:p>
        </w:tc>
        <w:tc>
          <w:tcPr>
            <w:tcW w:w="708" w:type="dxa"/>
            <w:vMerge w:val="restart"/>
            <w:shd w:val="clear" w:color="auto" w:fill="C4EFCE"/>
            <w:noWrap/>
            <w:vAlign w:val="center"/>
            <w:hideMark/>
          </w:tcPr>
          <w:p w14:paraId="3E43C2B4" w14:textId="77777777" w:rsidR="00776A1F" w:rsidRDefault="00D8574B">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48913900" w14:textId="77777777" w:rsidR="00776A1F" w:rsidRDefault="00D8574B">
            <w:pPr>
              <w:pStyle w:val="P68B1DB1-Normal8"/>
              <w:keepNext/>
              <w:spacing w:before="40" w:after="0" w:line="240" w:lineRule="auto"/>
              <w:jc w:val="both"/>
              <w:rPr>
                <w:rFonts w:eastAsia="Times New Roman" w:cs="Calibri"/>
                <w:noProof/>
              </w:rPr>
            </w:pPr>
            <w:r>
              <w:rPr>
                <w:noProof/>
              </w:rPr>
              <w:t>Stājas spēkā jaunā vispārējā atkritumu apsaimniekošanas sistēma (RGGR), kas vienkāršo administratīvo procesu un samazina ar blakusproduktu izmantošanu saistītās izmaksas.</w:t>
            </w:r>
          </w:p>
        </w:tc>
      </w:tr>
      <w:tr w:rsidR="00776A1F" w14:paraId="586A7CD8" w14:textId="77777777">
        <w:trPr>
          <w:trHeight w:val="509"/>
        </w:trPr>
        <w:tc>
          <w:tcPr>
            <w:tcW w:w="1135" w:type="dxa"/>
            <w:vMerge/>
            <w:vAlign w:val="center"/>
            <w:hideMark/>
          </w:tcPr>
          <w:p w14:paraId="0DB010B9" w14:textId="77777777" w:rsidR="00776A1F" w:rsidRDefault="00776A1F">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367E3F02" w14:textId="77777777" w:rsidR="00776A1F" w:rsidRDefault="00776A1F">
            <w:pPr>
              <w:keepNext/>
              <w:spacing w:before="40" w:after="0" w:line="240" w:lineRule="auto"/>
              <w:jc w:val="both"/>
              <w:rPr>
                <w:rFonts w:ascii="Calibri" w:eastAsia="Times New Roman" w:hAnsi="Calibri" w:cs="Calibri"/>
                <w:noProof/>
                <w:sz w:val="16"/>
              </w:rPr>
            </w:pPr>
          </w:p>
        </w:tc>
        <w:tc>
          <w:tcPr>
            <w:tcW w:w="1134" w:type="dxa"/>
            <w:vMerge/>
            <w:vAlign w:val="center"/>
            <w:hideMark/>
          </w:tcPr>
          <w:p w14:paraId="2443F33D" w14:textId="77777777" w:rsidR="00776A1F" w:rsidRDefault="00776A1F">
            <w:pPr>
              <w:keepNext/>
              <w:spacing w:before="40" w:after="0" w:line="240" w:lineRule="auto"/>
              <w:jc w:val="both"/>
              <w:rPr>
                <w:rFonts w:ascii="Calibri" w:eastAsia="Times New Roman" w:hAnsi="Calibri" w:cs="Calibri"/>
                <w:noProof/>
                <w:sz w:val="16"/>
              </w:rPr>
            </w:pPr>
          </w:p>
        </w:tc>
        <w:tc>
          <w:tcPr>
            <w:tcW w:w="1701" w:type="dxa"/>
            <w:vMerge/>
            <w:vAlign w:val="center"/>
            <w:hideMark/>
          </w:tcPr>
          <w:p w14:paraId="5DD737E3" w14:textId="77777777" w:rsidR="00776A1F" w:rsidRDefault="00776A1F">
            <w:pPr>
              <w:keepNext/>
              <w:spacing w:before="40" w:after="0" w:line="240" w:lineRule="auto"/>
              <w:jc w:val="both"/>
              <w:rPr>
                <w:rFonts w:ascii="Calibri" w:eastAsia="Times New Roman" w:hAnsi="Calibri" w:cs="Calibri"/>
                <w:noProof/>
                <w:sz w:val="16"/>
              </w:rPr>
            </w:pPr>
          </w:p>
        </w:tc>
        <w:tc>
          <w:tcPr>
            <w:tcW w:w="1275" w:type="dxa"/>
            <w:vMerge/>
            <w:vAlign w:val="center"/>
            <w:hideMark/>
          </w:tcPr>
          <w:p w14:paraId="2487D94E" w14:textId="77777777" w:rsidR="00776A1F" w:rsidRDefault="00776A1F">
            <w:pPr>
              <w:keepNext/>
              <w:spacing w:before="40" w:after="0" w:line="240" w:lineRule="auto"/>
              <w:jc w:val="both"/>
              <w:rPr>
                <w:rFonts w:ascii="Calibri" w:eastAsia="Times New Roman" w:hAnsi="Calibri" w:cs="Calibri"/>
                <w:noProof/>
                <w:sz w:val="16"/>
              </w:rPr>
            </w:pPr>
          </w:p>
        </w:tc>
        <w:tc>
          <w:tcPr>
            <w:tcW w:w="993" w:type="dxa"/>
            <w:vMerge/>
            <w:vAlign w:val="center"/>
            <w:hideMark/>
          </w:tcPr>
          <w:p w14:paraId="0AA85703" w14:textId="77777777" w:rsidR="00776A1F" w:rsidRDefault="00776A1F">
            <w:pPr>
              <w:keepNext/>
              <w:spacing w:before="40" w:after="0" w:line="240" w:lineRule="auto"/>
              <w:jc w:val="both"/>
              <w:rPr>
                <w:rFonts w:ascii="Calibri" w:eastAsia="Times New Roman" w:hAnsi="Calibri" w:cs="Calibri"/>
                <w:noProof/>
                <w:sz w:val="16"/>
              </w:rPr>
            </w:pPr>
          </w:p>
        </w:tc>
        <w:tc>
          <w:tcPr>
            <w:tcW w:w="992" w:type="dxa"/>
            <w:vMerge/>
            <w:vAlign w:val="center"/>
            <w:hideMark/>
          </w:tcPr>
          <w:p w14:paraId="771EC11D" w14:textId="77777777" w:rsidR="00776A1F" w:rsidRDefault="00776A1F">
            <w:pPr>
              <w:keepNext/>
              <w:spacing w:before="40" w:after="0" w:line="240" w:lineRule="auto"/>
              <w:jc w:val="both"/>
              <w:rPr>
                <w:rFonts w:ascii="Calibri" w:eastAsia="Times New Roman" w:hAnsi="Calibri" w:cs="Calibri"/>
                <w:noProof/>
                <w:sz w:val="16"/>
              </w:rPr>
            </w:pPr>
          </w:p>
        </w:tc>
        <w:tc>
          <w:tcPr>
            <w:tcW w:w="709" w:type="dxa"/>
            <w:vMerge/>
            <w:vAlign w:val="center"/>
            <w:hideMark/>
          </w:tcPr>
          <w:p w14:paraId="71E36A1F" w14:textId="77777777" w:rsidR="00776A1F" w:rsidRDefault="00776A1F">
            <w:pPr>
              <w:keepNext/>
              <w:spacing w:before="40" w:after="0" w:line="240" w:lineRule="auto"/>
              <w:jc w:val="both"/>
              <w:rPr>
                <w:rFonts w:ascii="Calibri" w:eastAsia="Times New Roman" w:hAnsi="Calibri" w:cs="Calibri"/>
                <w:noProof/>
                <w:sz w:val="16"/>
              </w:rPr>
            </w:pPr>
          </w:p>
        </w:tc>
        <w:tc>
          <w:tcPr>
            <w:tcW w:w="567" w:type="dxa"/>
            <w:vMerge/>
            <w:vAlign w:val="center"/>
            <w:hideMark/>
          </w:tcPr>
          <w:p w14:paraId="3C6B1961" w14:textId="77777777" w:rsidR="00776A1F" w:rsidRDefault="00776A1F">
            <w:pPr>
              <w:keepNext/>
              <w:spacing w:before="40" w:after="0" w:line="240" w:lineRule="auto"/>
              <w:jc w:val="both"/>
              <w:rPr>
                <w:rFonts w:ascii="Calibri" w:eastAsia="Times New Roman" w:hAnsi="Calibri" w:cs="Calibri"/>
                <w:noProof/>
                <w:sz w:val="16"/>
              </w:rPr>
            </w:pPr>
          </w:p>
        </w:tc>
        <w:tc>
          <w:tcPr>
            <w:tcW w:w="708" w:type="dxa"/>
            <w:vMerge/>
            <w:vAlign w:val="center"/>
            <w:hideMark/>
          </w:tcPr>
          <w:p w14:paraId="73B96A4A" w14:textId="77777777" w:rsidR="00776A1F" w:rsidRDefault="00776A1F">
            <w:pPr>
              <w:keepNext/>
              <w:spacing w:before="40" w:after="0" w:line="240" w:lineRule="auto"/>
              <w:jc w:val="both"/>
              <w:rPr>
                <w:rFonts w:ascii="Calibri" w:eastAsia="Times New Roman" w:hAnsi="Calibri" w:cs="Calibri"/>
                <w:noProof/>
                <w:sz w:val="16"/>
              </w:rPr>
            </w:pPr>
          </w:p>
        </w:tc>
        <w:tc>
          <w:tcPr>
            <w:tcW w:w="3969" w:type="dxa"/>
            <w:vMerge/>
            <w:vAlign w:val="center"/>
            <w:hideMark/>
          </w:tcPr>
          <w:p w14:paraId="2B2F80BC" w14:textId="77777777" w:rsidR="00776A1F" w:rsidRDefault="00776A1F">
            <w:pPr>
              <w:keepNext/>
              <w:spacing w:before="40" w:after="0" w:line="240" w:lineRule="auto"/>
              <w:jc w:val="both"/>
              <w:rPr>
                <w:rFonts w:ascii="Calibri" w:eastAsia="Times New Roman" w:hAnsi="Calibri" w:cs="Calibri"/>
                <w:noProof/>
                <w:sz w:val="16"/>
              </w:rPr>
            </w:pPr>
          </w:p>
        </w:tc>
      </w:tr>
      <w:tr w:rsidR="00776A1F" w14:paraId="2697EE8C" w14:textId="77777777">
        <w:trPr>
          <w:trHeight w:val="640"/>
        </w:trPr>
        <w:tc>
          <w:tcPr>
            <w:tcW w:w="1135" w:type="dxa"/>
            <w:shd w:val="clear" w:color="auto" w:fill="C4EFCE"/>
            <w:vAlign w:val="center"/>
            <w:hideMark/>
          </w:tcPr>
          <w:p w14:paraId="08444E6D" w14:textId="77777777" w:rsidR="00776A1F" w:rsidRDefault="00D8574B">
            <w:pPr>
              <w:pStyle w:val="P68B1DB1-Normal7"/>
              <w:keepNext/>
              <w:spacing w:before="40" w:after="0" w:line="240" w:lineRule="auto"/>
              <w:jc w:val="center"/>
              <w:rPr>
                <w:rFonts w:eastAsia="Times New Roman" w:cs="Calibri"/>
                <w:noProof/>
              </w:rPr>
            </w:pPr>
            <w:r>
              <w:rPr>
                <w:noProof/>
              </w:rPr>
              <w:t>12.6</w:t>
            </w:r>
          </w:p>
        </w:tc>
        <w:tc>
          <w:tcPr>
            <w:tcW w:w="1276" w:type="dxa"/>
            <w:shd w:val="clear" w:color="auto" w:fill="C4EFCE"/>
            <w:noWrap/>
            <w:vAlign w:val="center"/>
            <w:hideMark/>
          </w:tcPr>
          <w:p w14:paraId="3F816AEA" w14:textId="77777777" w:rsidR="00776A1F" w:rsidRDefault="00D8574B">
            <w:pPr>
              <w:pStyle w:val="P68B1DB1-Normal8"/>
              <w:keepNext/>
              <w:spacing w:before="40" w:after="0" w:line="240" w:lineRule="auto"/>
              <w:jc w:val="center"/>
              <w:rPr>
                <w:rFonts w:eastAsia="Times New Roman" w:cs="Calibri"/>
                <w:noProof/>
              </w:rPr>
            </w:pPr>
            <w:r>
              <w:rPr>
                <w:noProof/>
              </w:rPr>
              <w:t>TC-C12-r25</w:t>
            </w:r>
          </w:p>
        </w:tc>
        <w:tc>
          <w:tcPr>
            <w:tcW w:w="1134" w:type="dxa"/>
            <w:shd w:val="clear" w:color="auto" w:fill="C4EFCE"/>
            <w:noWrap/>
            <w:vAlign w:val="center"/>
            <w:hideMark/>
          </w:tcPr>
          <w:p w14:paraId="62EF5924" w14:textId="77777777" w:rsidR="00776A1F" w:rsidRDefault="00D8574B">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133B9485" w14:textId="77777777" w:rsidR="00776A1F" w:rsidRDefault="00D8574B">
            <w:pPr>
              <w:pStyle w:val="P68B1DB1-Normal8"/>
              <w:keepNext/>
              <w:spacing w:before="40" w:after="0" w:line="240" w:lineRule="auto"/>
              <w:jc w:val="center"/>
              <w:rPr>
                <w:rFonts w:eastAsia="Times New Roman" w:cs="Calibri"/>
                <w:noProof/>
              </w:rPr>
            </w:pPr>
            <w:r>
              <w:rPr>
                <w:noProof/>
              </w:rPr>
              <w:t xml:space="preserve">Pārskatītās zaļā publiskā iepirkuma valsts stratēģijas stāšanās spēkā  </w:t>
            </w:r>
          </w:p>
        </w:tc>
        <w:tc>
          <w:tcPr>
            <w:tcW w:w="1275" w:type="dxa"/>
            <w:shd w:val="clear" w:color="auto" w:fill="C4EFCE"/>
            <w:noWrap/>
            <w:vAlign w:val="center"/>
            <w:hideMark/>
          </w:tcPr>
          <w:p w14:paraId="6FBD6F01" w14:textId="77777777" w:rsidR="00776A1F" w:rsidRDefault="00D8574B">
            <w:pPr>
              <w:pStyle w:val="P68B1DB1-Normal8"/>
              <w:keepNext/>
              <w:spacing w:before="40" w:after="0" w:line="240" w:lineRule="auto"/>
              <w:jc w:val="center"/>
              <w:rPr>
                <w:rFonts w:eastAsia="Times New Roman" w:cs="Calibri"/>
                <w:noProof/>
              </w:rPr>
            </w:pPr>
            <w:r>
              <w:rPr>
                <w:noProof/>
              </w:rPr>
              <w:t xml:space="preserve"> Pārskatītās zaļā publiskā iepirkuma valsts stratēģijas stāšanās spēkā</w:t>
            </w:r>
          </w:p>
        </w:tc>
        <w:tc>
          <w:tcPr>
            <w:tcW w:w="993" w:type="dxa"/>
            <w:shd w:val="clear" w:color="auto" w:fill="C4EFCE"/>
            <w:noWrap/>
            <w:vAlign w:val="center"/>
            <w:hideMark/>
          </w:tcPr>
          <w:p w14:paraId="51587E83"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4AFA38E3"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7C65395F" w14:textId="77777777" w:rsidR="00776A1F" w:rsidRDefault="00D8574B">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5256FAB4" w14:textId="77777777" w:rsidR="00776A1F" w:rsidRDefault="00D8574B">
            <w:pPr>
              <w:pStyle w:val="P68B1DB1-Normal8"/>
              <w:keepNext/>
              <w:spacing w:before="40"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6DDCBBB5" w14:textId="77777777" w:rsidR="00776A1F" w:rsidRDefault="00D8574B">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4819F34F" w14:textId="77777777" w:rsidR="00776A1F" w:rsidRDefault="00D8574B">
            <w:pPr>
              <w:pStyle w:val="P68B1DB1-Normal8"/>
              <w:keepNext/>
              <w:spacing w:before="40" w:after="0" w:line="240" w:lineRule="auto"/>
              <w:jc w:val="both"/>
              <w:rPr>
                <w:rFonts w:eastAsia="Times New Roman" w:cs="Calibri"/>
                <w:noProof/>
              </w:rPr>
            </w:pPr>
            <w:r>
              <w:rPr>
                <w:noProof/>
              </w:rPr>
              <w:t>Stājas spēkā pārskatītā zaļā publiskā iepirkuma valsts stratēģija, kurā noteikti ekoloģiskie kritēriji, kas saistīti ar tādu pakalpojumu un produktu iepirkumu, kuros integrēti ilgtspējīgi biomateriāli, tostarp ieviešot obligātus ekoloģiskos kritērijus.</w:t>
            </w:r>
          </w:p>
        </w:tc>
      </w:tr>
      <w:tr w:rsidR="00776A1F" w14:paraId="16B20D57" w14:textId="77777777">
        <w:trPr>
          <w:trHeight w:val="640"/>
        </w:trPr>
        <w:tc>
          <w:tcPr>
            <w:tcW w:w="1135" w:type="dxa"/>
            <w:shd w:val="clear" w:color="auto" w:fill="C4EFCE"/>
            <w:vAlign w:val="center"/>
          </w:tcPr>
          <w:p w14:paraId="39C49F59" w14:textId="55C321DD" w:rsidR="00776A1F" w:rsidRDefault="00D8574B">
            <w:pPr>
              <w:pStyle w:val="P68B1DB1-Normal11"/>
              <w:keepNext/>
              <w:spacing w:before="40" w:after="0" w:line="240" w:lineRule="auto"/>
              <w:jc w:val="center"/>
              <w:rPr>
                <w:rFonts w:eastAsia="Times New Roman" w:cstheme="minorHAnsi"/>
                <w:noProof/>
              </w:rPr>
            </w:pPr>
            <w:r>
              <w:rPr>
                <w:noProof/>
              </w:rPr>
              <w:t>12.7</w:t>
            </w:r>
          </w:p>
        </w:tc>
        <w:tc>
          <w:tcPr>
            <w:tcW w:w="1276" w:type="dxa"/>
            <w:shd w:val="clear" w:color="auto" w:fill="C4EFCE"/>
            <w:noWrap/>
            <w:vAlign w:val="center"/>
          </w:tcPr>
          <w:p w14:paraId="4721E143" w14:textId="51E9943A" w:rsidR="00776A1F" w:rsidRDefault="00D8574B">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9CBAF90" w14:textId="55797804" w:rsidR="00776A1F" w:rsidRDefault="00D8574B">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61B1A8E" w14:textId="2FFE12A3" w:rsidR="00776A1F" w:rsidRDefault="00D8574B">
            <w:pPr>
              <w:pStyle w:val="P68B1DB1-Normal12"/>
              <w:keepNext/>
              <w:spacing w:before="40" w:after="0" w:line="240" w:lineRule="auto"/>
              <w:jc w:val="center"/>
              <w:rPr>
                <w:rFonts w:eastAsia="Times New Roman" w:cstheme="minorHAnsi"/>
                <w:noProof/>
              </w:rPr>
            </w:pPr>
            <w:r>
              <w:rPr>
                <w:noProof/>
              </w:rPr>
              <w:t>Ekomodulācijas kritēriju saskaņotās definīcijas stāšanās spēkā</w:t>
            </w:r>
          </w:p>
        </w:tc>
        <w:tc>
          <w:tcPr>
            <w:tcW w:w="1275" w:type="dxa"/>
            <w:shd w:val="clear" w:color="auto" w:fill="C4EFCE"/>
            <w:noWrap/>
            <w:vAlign w:val="center"/>
          </w:tcPr>
          <w:p w14:paraId="28D67B26" w14:textId="01B175F2" w:rsidR="00776A1F" w:rsidRDefault="00D8574B">
            <w:pPr>
              <w:pStyle w:val="P68B1DB1-Normal12"/>
              <w:keepNext/>
              <w:spacing w:before="40" w:after="0" w:line="240" w:lineRule="auto"/>
              <w:jc w:val="center"/>
              <w:rPr>
                <w:rFonts w:eastAsia="Times New Roman" w:cstheme="minorHAnsi"/>
                <w:noProof/>
              </w:rPr>
            </w:pPr>
            <w:r>
              <w:rPr>
                <w:noProof/>
              </w:rPr>
              <w:t>Tiesību akta noteikums, kas norāda uz ekomodulācijas kritēriju saskaņotas definīcijas stāšanos spēkā</w:t>
            </w:r>
          </w:p>
        </w:tc>
        <w:tc>
          <w:tcPr>
            <w:tcW w:w="993" w:type="dxa"/>
            <w:shd w:val="clear" w:color="auto" w:fill="C4EFCE"/>
            <w:noWrap/>
            <w:vAlign w:val="center"/>
          </w:tcPr>
          <w:p w14:paraId="473F382C" w14:textId="77777777" w:rsidR="00776A1F" w:rsidRDefault="00776A1F">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5F5AC1E1" w14:textId="77777777" w:rsidR="00776A1F" w:rsidRDefault="00776A1F">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7CCC309" w14:textId="77777777" w:rsidR="00776A1F" w:rsidRDefault="00776A1F">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4562F222" w14:textId="2D8B530C" w:rsidR="00776A1F" w:rsidRDefault="00D8574B">
            <w:pPr>
              <w:pStyle w:val="P68B1DB1-Normal12"/>
              <w:keepNext/>
              <w:spacing w:before="40" w:after="0" w:line="240" w:lineRule="auto"/>
              <w:jc w:val="center"/>
              <w:rPr>
                <w:rFonts w:eastAsia="Times New Roman" w:cstheme="minorHAnsi"/>
                <w:noProof/>
              </w:rPr>
            </w:pPr>
            <w:r>
              <w:rPr>
                <w:noProof/>
              </w:rPr>
              <w:t>4. CET.</w:t>
            </w:r>
          </w:p>
        </w:tc>
        <w:tc>
          <w:tcPr>
            <w:tcW w:w="708" w:type="dxa"/>
            <w:shd w:val="clear" w:color="auto" w:fill="C4EFCE"/>
            <w:noWrap/>
            <w:vAlign w:val="center"/>
          </w:tcPr>
          <w:p w14:paraId="7FEFCF39" w14:textId="54FDBFEF" w:rsidR="00776A1F" w:rsidRDefault="00D8574B">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DEDCBD9" w14:textId="1740201F" w:rsidR="00776A1F" w:rsidRDefault="00D8574B">
            <w:pPr>
              <w:pStyle w:val="P68B1DB1-Normal12"/>
              <w:keepNext/>
              <w:spacing w:before="40" w:after="0" w:line="240" w:lineRule="auto"/>
              <w:jc w:val="both"/>
              <w:rPr>
                <w:rFonts w:eastAsia="Times New Roman" w:cstheme="minorHAnsi"/>
                <w:noProof/>
              </w:rPr>
            </w:pPr>
            <w:r>
              <w:rPr>
                <w:noProof/>
              </w:rPr>
              <w:t>Stājas spēkā tiesību akts, ar ko nosaka saskaņotu un obligātu kritēriju definīciju finansiālo ieguvumu ekomodulācijai integrētās sistēmās saskaņā ar paplašināto ražotāja atbildību.</w:t>
            </w:r>
          </w:p>
        </w:tc>
      </w:tr>
      <w:tr w:rsidR="00776A1F" w14:paraId="62815762" w14:textId="77777777">
        <w:trPr>
          <w:trHeight w:val="640"/>
        </w:trPr>
        <w:tc>
          <w:tcPr>
            <w:tcW w:w="1135" w:type="dxa"/>
            <w:shd w:val="clear" w:color="auto" w:fill="C4EFCE"/>
            <w:vAlign w:val="center"/>
          </w:tcPr>
          <w:p w14:paraId="07AC7261" w14:textId="275A6E6F" w:rsidR="00776A1F" w:rsidRDefault="00D8574B">
            <w:pPr>
              <w:pStyle w:val="P68B1DB1-Normal11"/>
              <w:keepNext/>
              <w:spacing w:before="40" w:after="0" w:line="240" w:lineRule="auto"/>
              <w:jc w:val="center"/>
              <w:rPr>
                <w:rFonts w:eastAsia="Times New Roman" w:cstheme="minorHAnsi"/>
                <w:noProof/>
              </w:rPr>
            </w:pPr>
            <w:r>
              <w:rPr>
                <w:noProof/>
              </w:rPr>
              <w:t>12.8</w:t>
            </w:r>
          </w:p>
        </w:tc>
        <w:tc>
          <w:tcPr>
            <w:tcW w:w="1276" w:type="dxa"/>
            <w:shd w:val="clear" w:color="auto" w:fill="C4EFCE"/>
            <w:noWrap/>
            <w:vAlign w:val="center"/>
          </w:tcPr>
          <w:p w14:paraId="7DACBA0B" w14:textId="5F170093" w:rsidR="00776A1F" w:rsidRDefault="00D8574B">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666A2AC9" w14:textId="0BD59B92" w:rsidR="00776A1F" w:rsidRDefault="00D8574B">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1F8455A" w14:textId="4FE660FF" w:rsidR="00776A1F" w:rsidRDefault="00D8574B">
            <w:pPr>
              <w:pStyle w:val="P68B1DB1-Normal12"/>
              <w:keepNext/>
              <w:spacing w:before="40" w:after="0" w:line="240" w:lineRule="auto"/>
              <w:jc w:val="center"/>
              <w:rPr>
                <w:rFonts w:eastAsia="Times New Roman" w:cstheme="minorHAnsi"/>
                <w:noProof/>
              </w:rPr>
            </w:pPr>
            <w:r>
              <w:rPr>
                <w:noProof/>
              </w:rPr>
              <w:t>Atgūšanas stimulu shēma (noguldīšanas un kompensācijas sistēma) attiecībā uz atkārtoti neizmantojamām plastmasas pudelēm, melnajiem metāliem un alumīniju</w:t>
            </w:r>
          </w:p>
        </w:tc>
        <w:tc>
          <w:tcPr>
            <w:tcW w:w="1275" w:type="dxa"/>
            <w:shd w:val="clear" w:color="auto" w:fill="C4EFCE"/>
            <w:noWrap/>
            <w:vAlign w:val="center"/>
          </w:tcPr>
          <w:p w14:paraId="7C89497C" w14:textId="1EB460B7" w:rsidR="00776A1F" w:rsidRDefault="00D8574B">
            <w:pPr>
              <w:pStyle w:val="P68B1DB1-Normal12"/>
              <w:keepNext/>
              <w:spacing w:before="40" w:after="0" w:line="240" w:lineRule="auto"/>
              <w:jc w:val="center"/>
              <w:rPr>
                <w:rFonts w:eastAsia="Times New Roman" w:cstheme="minorHAnsi"/>
                <w:noProof/>
              </w:rPr>
            </w:pPr>
            <w:r>
              <w:rPr>
                <w:noProof/>
              </w:rPr>
              <w:t xml:space="preserve">Depozīta un atmaksāšanas sistēmas darbības uzsākšana </w:t>
            </w:r>
          </w:p>
        </w:tc>
        <w:tc>
          <w:tcPr>
            <w:tcW w:w="993" w:type="dxa"/>
            <w:shd w:val="clear" w:color="auto" w:fill="C4EFCE"/>
            <w:noWrap/>
            <w:vAlign w:val="center"/>
          </w:tcPr>
          <w:p w14:paraId="39D5184D" w14:textId="77777777" w:rsidR="00776A1F" w:rsidRDefault="00776A1F">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3F121E5C" w14:textId="77777777" w:rsidR="00776A1F" w:rsidRDefault="00776A1F">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2387D7" w14:textId="77777777" w:rsidR="00776A1F" w:rsidRDefault="00776A1F">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2F1F0378" w14:textId="3C6501CE" w:rsidR="00776A1F" w:rsidRDefault="00D8574B">
            <w:pPr>
              <w:pStyle w:val="P68B1DB1-Normal12"/>
              <w:keepNext/>
              <w:spacing w:before="40" w:after="0" w:line="240" w:lineRule="auto"/>
              <w:jc w:val="center"/>
              <w:rPr>
                <w:rFonts w:eastAsia="Times New Roman" w:cstheme="minorHAnsi"/>
                <w:noProof/>
              </w:rPr>
            </w:pPr>
            <w:r>
              <w:rPr>
                <w:noProof/>
              </w:rPr>
              <w:t>4. CET.</w:t>
            </w:r>
          </w:p>
        </w:tc>
        <w:tc>
          <w:tcPr>
            <w:tcW w:w="708" w:type="dxa"/>
            <w:shd w:val="clear" w:color="auto" w:fill="C4EFCE"/>
            <w:noWrap/>
            <w:vAlign w:val="center"/>
          </w:tcPr>
          <w:p w14:paraId="53D4ED8E" w14:textId="0A031EF8" w:rsidR="00776A1F" w:rsidRDefault="00D8574B">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AAA4E0F" w14:textId="1222BCF4" w:rsidR="00776A1F" w:rsidRDefault="00D8574B">
            <w:pPr>
              <w:pStyle w:val="P68B1DB1-Normal12"/>
              <w:keepNext/>
              <w:spacing w:before="40" w:after="0" w:line="240" w:lineRule="auto"/>
              <w:jc w:val="both"/>
              <w:rPr>
                <w:rFonts w:eastAsia="Times New Roman" w:cstheme="minorHAnsi"/>
                <w:noProof/>
              </w:rPr>
            </w:pPr>
            <w:r>
              <w:rPr>
                <w:noProof/>
              </w:rPr>
              <w:t>Sāk darboties depozīta un kompensācijas sistēma, ko piemēro atkārtoti neizmantojamām plastmasas pudelēm, melnajiem metāliem un alumīnijam.</w:t>
            </w:r>
          </w:p>
        </w:tc>
      </w:tr>
      <w:tr w:rsidR="00776A1F" w14:paraId="32FCFF9B" w14:textId="77777777">
        <w:trPr>
          <w:trHeight w:val="640"/>
        </w:trPr>
        <w:tc>
          <w:tcPr>
            <w:tcW w:w="1135" w:type="dxa"/>
            <w:shd w:val="clear" w:color="auto" w:fill="C4EFCE"/>
            <w:vAlign w:val="center"/>
          </w:tcPr>
          <w:p w14:paraId="616AFCCE" w14:textId="0499EDB2" w:rsidR="00776A1F" w:rsidRDefault="00D8574B">
            <w:pPr>
              <w:pStyle w:val="P68B1DB1-Normal11"/>
              <w:keepNext/>
              <w:spacing w:before="40" w:after="0" w:line="240" w:lineRule="auto"/>
              <w:jc w:val="center"/>
              <w:rPr>
                <w:rFonts w:eastAsia="Times New Roman" w:cstheme="minorHAnsi"/>
                <w:noProof/>
              </w:rPr>
            </w:pPr>
            <w:r>
              <w:rPr>
                <w:noProof/>
              </w:rPr>
              <w:t>12.9</w:t>
            </w:r>
          </w:p>
        </w:tc>
        <w:tc>
          <w:tcPr>
            <w:tcW w:w="1276" w:type="dxa"/>
            <w:shd w:val="clear" w:color="auto" w:fill="C4EFCE"/>
            <w:noWrap/>
            <w:vAlign w:val="center"/>
          </w:tcPr>
          <w:p w14:paraId="6071425A" w14:textId="403D2E54" w:rsidR="00776A1F" w:rsidRDefault="00D8574B">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40B5687" w14:textId="64AAC94A" w:rsidR="00776A1F" w:rsidRDefault="00D8574B">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72035F18" w14:textId="06F91A11" w:rsidR="00776A1F" w:rsidRDefault="00D8574B">
            <w:pPr>
              <w:pStyle w:val="P68B1DB1-Normal12"/>
              <w:keepNext/>
              <w:spacing w:before="40" w:after="0" w:line="240" w:lineRule="auto"/>
              <w:jc w:val="center"/>
              <w:rPr>
                <w:rFonts w:eastAsia="Times New Roman" w:cstheme="minorHAnsi"/>
                <w:noProof/>
              </w:rPr>
            </w:pPr>
            <w:r>
              <w:rPr>
                <w:noProof/>
              </w:rPr>
              <w:t>Elektrisko atkritumu un elektronisko iekārtu atpakaļpieņemšanas shēma</w:t>
            </w:r>
          </w:p>
        </w:tc>
        <w:tc>
          <w:tcPr>
            <w:tcW w:w="1275" w:type="dxa"/>
            <w:shd w:val="clear" w:color="auto" w:fill="C4EFCE"/>
            <w:noWrap/>
            <w:vAlign w:val="center"/>
          </w:tcPr>
          <w:p w14:paraId="066404D9" w14:textId="7C6AF3C2" w:rsidR="00776A1F" w:rsidRDefault="00D8574B">
            <w:pPr>
              <w:pStyle w:val="P68B1DB1-Normal12"/>
              <w:keepNext/>
              <w:spacing w:before="40" w:after="0" w:line="240" w:lineRule="auto"/>
              <w:jc w:val="center"/>
              <w:rPr>
                <w:rFonts w:eastAsia="Times New Roman" w:cstheme="minorHAnsi"/>
                <w:noProof/>
              </w:rPr>
            </w:pPr>
            <w:r>
              <w:rPr>
                <w:noProof/>
              </w:rPr>
              <w:t>Tiesību akta noteikums, kas norāda uz tiesību akta stāšanos spēkā</w:t>
            </w:r>
          </w:p>
        </w:tc>
        <w:tc>
          <w:tcPr>
            <w:tcW w:w="993" w:type="dxa"/>
            <w:shd w:val="clear" w:color="auto" w:fill="C4EFCE"/>
            <w:noWrap/>
            <w:vAlign w:val="center"/>
          </w:tcPr>
          <w:p w14:paraId="461AA650" w14:textId="77777777" w:rsidR="00776A1F" w:rsidRDefault="00776A1F">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076B2EB9" w14:textId="77777777" w:rsidR="00776A1F" w:rsidRDefault="00776A1F">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EC12A6" w14:textId="77777777" w:rsidR="00776A1F" w:rsidRDefault="00776A1F">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3C9440EC" w14:textId="7A24AD19" w:rsidR="00776A1F" w:rsidRDefault="00D8574B">
            <w:pPr>
              <w:pStyle w:val="P68B1DB1-Normal12"/>
              <w:keepNext/>
              <w:spacing w:before="40" w:after="0" w:line="240" w:lineRule="auto"/>
              <w:jc w:val="center"/>
              <w:rPr>
                <w:rFonts w:eastAsia="Times New Roman" w:cstheme="minorHAnsi"/>
                <w:noProof/>
              </w:rPr>
            </w:pPr>
            <w:r>
              <w:rPr>
                <w:noProof/>
              </w:rPr>
              <w:t>4. CET.</w:t>
            </w:r>
          </w:p>
        </w:tc>
        <w:tc>
          <w:tcPr>
            <w:tcW w:w="708" w:type="dxa"/>
            <w:shd w:val="clear" w:color="auto" w:fill="C4EFCE"/>
            <w:noWrap/>
            <w:vAlign w:val="center"/>
          </w:tcPr>
          <w:p w14:paraId="1E8B76AD" w14:textId="6C11828E" w:rsidR="00776A1F" w:rsidRDefault="00D8574B">
            <w:pPr>
              <w:pStyle w:val="P68B1DB1-Normal12"/>
              <w:keepNext/>
              <w:spacing w:before="40" w:after="0" w:line="240" w:lineRule="auto"/>
              <w:jc w:val="center"/>
              <w:rPr>
                <w:rFonts w:eastAsia="Times New Roman" w:cstheme="minorHAnsi"/>
                <w:noProof/>
              </w:rPr>
            </w:pPr>
            <w:r>
              <w:rPr>
                <w:noProof/>
              </w:rPr>
              <w:t>2025</w:t>
            </w:r>
          </w:p>
        </w:tc>
        <w:tc>
          <w:tcPr>
            <w:tcW w:w="3969" w:type="dxa"/>
            <w:shd w:val="clear" w:color="auto" w:fill="C4EFCE"/>
            <w:vAlign w:val="center"/>
          </w:tcPr>
          <w:p w14:paraId="675495A0" w14:textId="1CFE3794" w:rsidR="00776A1F" w:rsidRDefault="00D8574B">
            <w:pPr>
              <w:pStyle w:val="P68B1DB1-Normal12"/>
              <w:keepNext/>
              <w:spacing w:before="40" w:after="0" w:line="240" w:lineRule="auto"/>
              <w:jc w:val="both"/>
              <w:rPr>
                <w:rFonts w:eastAsia="Times New Roman"/>
                <w:noProof/>
              </w:rPr>
            </w:pPr>
            <w:r>
              <w:rPr>
                <w:noProof/>
              </w:rPr>
              <w:t>Pēc neatkarīgas priekšizpētes un ja pētījums ir pozitīvs, stājas spēkā tiesību akti, kas nosaka tiesisko regulējumu elektrisko un elektronisko iekārtu atkritumu atpakaļpieņemšanas shēmas ieviešanai.</w:t>
            </w:r>
          </w:p>
        </w:tc>
      </w:tr>
    </w:tbl>
    <w:p w14:paraId="2DA74A53"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 </w:t>
      </w:r>
    </w:p>
    <w:p w14:paraId="05DB275A"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11FB5CD6"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134" w:right="1134" w:bottom="1134" w:left="1134" w:header="567" w:footer="567" w:gutter="0"/>
          <w:cols w:space="720"/>
          <w:docGrid w:linePitch="360"/>
        </w:sectPr>
      </w:pPr>
    </w:p>
    <w:p w14:paraId="73252C7F" w14:textId="77777777" w:rsidR="00776A1F" w:rsidRDefault="00D8574B">
      <w:pPr>
        <w:pStyle w:val="P68B1DB1-Normal3"/>
        <w:keepNext/>
        <w:spacing w:before="40" w:after="0" w:line="259" w:lineRule="auto"/>
        <w:ind w:left="130" w:firstLine="720"/>
        <w:jc w:val="both"/>
        <w:outlineLvl w:val="1"/>
        <w:rPr>
          <w:rFonts w:eastAsiaTheme="minorEastAsia" w:cs="Times New Roman"/>
          <w:smallCaps/>
          <w:noProof/>
        </w:rPr>
      </w:pPr>
      <w:r>
        <w:rPr>
          <w:noProof/>
        </w:rPr>
        <w:t>M.</w:t>
      </w:r>
      <w:r>
        <w:rPr>
          <w:smallCaps/>
          <w:noProof/>
        </w:rPr>
        <w:t xml:space="preserve"> KOMPONENTS 1</w:t>
      </w:r>
      <w:r>
        <w:rPr>
          <w:noProof/>
        </w:rPr>
        <w:t>3</w:t>
      </w:r>
      <w:r>
        <w:rPr>
          <w:smallCaps/>
          <w:noProof/>
        </w:rPr>
        <w:t xml:space="preserve">: </w:t>
      </w:r>
      <w:r>
        <w:rPr>
          <w:noProof/>
        </w:rPr>
        <w:t>Ēku energoefektivitāte</w:t>
      </w:r>
    </w:p>
    <w:p w14:paraId="7428EB29" w14:textId="77777777" w:rsidR="00776A1F" w:rsidRDefault="00D8574B">
      <w:pPr>
        <w:pStyle w:val="P68B1DB1-Normal4"/>
        <w:keepNext/>
        <w:spacing w:beforeLines="40" w:before="96" w:after="0" w:line="22" w:lineRule="atLeast"/>
        <w:jc w:val="both"/>
        <w:rPr>
          <w:rFonts w:eastAsia="Times New Roman" w:cs="Times New Roman"/>
          <w:noProof/>
        </w:rPr>
      </w:pPr>
      <w:r>
        <w:rPr>
          <w:noProof/>
        </w:rPr>
        <w:t xml:space="preserve">Komponents risina šādas problēmas. Mājokļu sektors veido 18 % no enerģijas patēriņa, bet pakalpojumu sektors — vēl 14 %. Tāpēc Portugālei ēkām ir svarīga nozīme, lai sasniegtu savus oglekļneitralitātes mērķrādītājus. Pasākumi šajā jomā un jo īpaši dzīvojamo ēku segmentā var arī palīdzēt mazināt enerģētisko nabadzību, kas joprojām rada nopietnas bažas Portugālē, jo to mājsaimniecību īpatsvars, kuras nespēj uzturēt mājokli pietiekami siltu, 2019. gadā joprojām bija 19 %. Portugāle ir apņēmusies līdz 2050. gadam panākt oglekļneitralitāti, un tāpēc tai ir jāveicina </w:t>
      </w:r>
      <w:r>
        <w:rPr>
          <w:noProof/>
          <w:shd w:val="clear" w:color="auto" w:fill="FFFFFF"/>
        </w:rPr>
        <w:t xml:space="preserve">sava ēku fonda dekarbonizācija, </w:t>
      </w:r>
      <w:r>
        <w:rPr>
          <w:noProof/>
        </w:rPr>
        <w:t>vienlaikus uzlabojot mājokļu apstākļus (iekštelpu komfortu un kvalitāti) un pieejamību cenas ziņā. To panāk, palielinot ēku energoefektivitāti, apvienojot energoefektivitāti un atjaunojamo enerģiju ar elektrifikāciju, un jo īpaši pievēršoties mājsaimniecībām ar zemiem ienākumiem, lai risinātu enerģētiskās nabadzības problēmu.</w:t>
      </w:r>
    </w:p>
    <w:p w14:paraId="60D27ACE" w14:textId="77777777" w:rsidR="00776A1F" w:rsidRDefault="00D8574B">
      <w:pPr>
        <w:pStyle w:val="P68B1DB1-Normal4"/>
        <w:widowControl w:val="0"/>
        <w:spacing w:beforeLines="40" w:before="96" w:after="161" w:line="22" w:lineRule="atLeast"/>
        <w:jc w:val="both"/>
        <w:rPr>
          <w:rFonts w:eastAsia="Calibri" w:cs="Times New Roman"/>
          <w:noProof/>
        </w:rPr>
      </w:pPr>
      <w:r>
        <w:rPr>
          <w:noProof/>
        </w:rPr>
        <w:t>Ir apzinātas vairākas “tirgus nepilnības”, kas atbilst vairākām problēmām, kuras parasti kavē ēku fonda pārveidi un potenciālo enerģijas ietaupījumu izmantošanu, piemēram:</w:t>
      </w:r>
    </w:p>
    <w:p w14:paraId="05BE14DE" w14:textId="77777777" w:rsidR="00776A1F" w:rsidRDefault="00D8574B">
      <w:pPr>
        <w:pStyle w:val="P68B1DB1-Normal4"/>
        <w:keepNext/>
        <w:widowControl w:val="0"/>
        <w:numPr>
          <w:ilvl w:val="0"/>
          <w:numId w:val="50"/>
        </w:numPr>
        <w:spacing w:beforeLines="40" w:before="96" w:after="161" w:line="22" w:lineRule="atLeast"/>
        <w:jc w:val="both"/>
        <w:rPr>
          <w:rFonts w:eastAsia="Calibri" w:cs="Times New Roman"/>
          <w:noProof/>
        </w:rPr>
      </w:pPr>
      <w:r>
        <w:rPr>
          <w:noProof/>
        </w:rPr>
        <w:t>izpratnes trūkums par enerģijas patēriņu un iespējamiem ietaupījumiem;</w:t>
      </w:r>
    </w:p>
    <w:p w14:paraId="68334EEE" w14:textId="77777777" w:rsidR="00776A1F" w:rsidRDefault="00D8574B">
      <w:pPr>
        <w:pStyle w:val="P68B1DB1-Normal4"/>
        <w:keepNext/>
        <w:widowControl w:val="0"/>
        <w:numPr>
          <w:ilvl w:val="0"/>
          <w:numId w:val="50"/>
        </w:numPr>
        <w:spacing w:beforeLines="40" w:before="96" w:after="161" w:line="22" w:lineRule="atLeast"/>
        <w:jc w:val="both"/>
        <w:rPr>
          <w:rFonts w:eastAsia="Calibri" w:cs="Times New Roman"/>
          <w:noProof/>
        </w:rPr>
      </w:pPr>
      <w:r>
        <w:rPr>
          <w:noProof/>
        </w:rPr>
        <w:t>ierobežota renovācija un būvniecība pēc finanšu krīzes;</w:t>
      </w:r>
    </w:p>
    <w:p w14:paraId="1367E8D7" w14:textId="77777777" w:rsidR="00776A1F" w:rsidRDefault="00D8574B">
      <w:pPr>
        <w:pStyle w:val="P68B1DB1-Normal4"/>
        <w:keepNext/>
        <w:widowControl w:val="0"/>
        <w:numPr>
          <w:ilvl w:val="0"/>
          <w:numId w:val="50"/>
        </w:numPr>
        <w:spacing w:beforeLines="40" w:before="96" w:after="161" w:line="22" w:lineRule="atLeast"/>
        <w:jc w:val="both"/>
        <w:rPr>
          <w:rFonts w:eastAsia="Calibri" w:cs="Times New Roman"/>
          <w:noProof/>
        </w:rPr>
      </w:pPr>
      <w:r>
        <w:rPr>
          <w:noProof/>
        </w:rPr>
        <w:t>pievilcīgu finansēšanas produktu trūkums;</w:t>
      </w:r>
    </w:p>
    <w:p w14:paraId="145C348F" w14:textId="77777777" w:rsidR="00776A1F" w:rsidRDefault="00D8574B">
      <w:pPr>
        <w:pStyle w:val="P68B1DB1-Normal4"/>
        <w:keepNext/>
        <w:widowControl w:val="0"/>
        <w:numPr>
          <w:ilvl w:val="0"/>
          <w:numId w:val="50"/>
        </w:numPr>
        <w:spacing w:beforeLines="40" w:before="96" w:after="161" w:line="22" w:lineRule="atLeast"/>
        <w:jc w:val="both"/>
        <w:rPr>
          <w:rFonts w:eastAsia="Calibri" w:cs="Times New Roman"/>
          <w:noProof/>
        </w:rPr>
      </w:pPr>
      <w:r>
        <w:rPr>
          <w:noProof/>
        </w:rPr>
        <w:t>ierobežota informācija par ēku fondu; un</w:t>
      </w:r>
    </w:p>
    <w:p w14:paraId="30590B1F" w14:textId="77777777" w:rsidR="00776A1F" w:rsidRDefault="00D8574B">
      <w:pPr>
        <w:pStyle w:val="P68B1DB1-Normal4"/>
        <w:keepNext/>
        <w:widowControl w:val="0"/>
        <w:numPr>
          <w:ilvl w:val="0"/>
          <w:numId w:val="50"/>
        </w:numPr>
        <w:spacing w:beforeLines="40" w:before="96" w:after="161" w:line="22" w:lineRule="atLeast"/>
        <w:jc w:val="both"/>
        <w:rPr>
          <w:rFonts w:eastAsia="Calibri" w:cs="Times New Roman"/>
          <w:noProof/>
        </w:rPr>
      </w:pPr>
      <w:r>
        <w:rPr>
          <w:noProof/>
        </w:rPr>
        <w:t>ierobežota efektīvu un viedu tehnoloģiju ieviešana.</w:t>
      </w:r>
    </w:p>
    <w:p w14:paraId="630C6E70" w14:textId="77777777" w:rsidR="00776A1F" w:rsidRDefault="00D8574B">
      <w:pPr>
        <w:pStyle w:val="P68B1DB1-Normal4"/>
        <w:spacing w:beforeLines="40" w:before="96" w:after="0" w:line="22" w:lineRule="atLeast"/>
        <w:jc w:val="both"/>
        <w:rPr>
          <w:rFonts w:eastAsiaTheme="minorEastAsia" w:cs="Times New Roman"/>
          <w:noProof/>
        </w:rPr>
      </w:pPr>
      <w:r>
        <w:rPr>
          <w:noProof/>
        </w:rPr>
        <w:t xml:space="preserve">Komponenta mērķi ir renovēt publiskās un privātās ēkas, lai uzlabotu to energoefektivitāti un komfortu, vienlaikus samazinot valsts rēķinus par enerģiju un atkarību no siltumnīcefekta gāzu emisijām un energoatkarību, mazināt enerģētisko nabadzību un integrēt atjaunojamos energoresursus apbūvētajā vidē. Tam būtu jāsniedz daudzi sociālie, vides un ekonomiskie ieguvumi cilvēkiem un uzņēmumiem, piemēram, vietējo darbvietu radīšana un gaisa piesārņojuma samazināšana. </w:t>
      </w:r>
    </w:p>
    <w:p w14:paraId="6EF5B825" w14:textId="77777777" w:rsidR="00776A1F" w:rsidRDefault="00D8574B">
      <w:pPr>
        <w:pStyle w:val="P68B1DB1-Normal4"/>
        <w:spacing w:beforeLines="40" w:before="96" w:after="0" w:line="22" w:lineRule="atLeast"/>
        <w:jc w:val="both"/>
        <w:rPr>
          <w:rFonts w:eastAsiaTheme="minorEastAsia" w:cs="Times New Roman"/>
          <w:noProof/>
        </w:rPr>
      </w:pPr>
      <w:r>
        <w:rPr>
          <w:noProof/>
        </w:rPr>
        <w:t xml:space="preserve">Komponents atbalsta to, ka tiek īstenots konkrētai valstij adresētais ieteikums par investīcijām klimata pārkārtošanā, jo īpaši attiecībā uz tīru un efektīvu enerģijas ražošanu un izmantošanu (valsts īpašais ieteikums Nr. 3 2020). Tas ir saistīts ar pamatiniciatīvu “Renovēt” un ir arī daļa no zaļās pārkārtošanās. </w:t>
      </w:r>
    </w:p>
    <w:p w14:paraId="63A64E23" w14:textId="77777777" w:rsidR="00776A1F" w:rsidRDefault="00D8574B">
      <w:pPr>
        <w:pStyle w:val="P68B1DB1-Normal4"/>
        <w:spacing w:beforeLines="40" w:before="96" w:after="0" w:line="22" w:lineRule="atLeast"/>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3504A60C" w14:textId="77777777" w:rsidR="00776A1F" w:rsidRDefault="00776A1F">
      <w:pPr>
        <w:spacing w:beforeLines="40" w:before="96" w:after="0" w:line="22" w:lineRule="atLeast"/>
        <w:jc w:val="both"/>
        <w:rPr>
          <w:rFonts w:ascii="Times New Roman" w:eastAsiaTheme="minorEastAsia" w:hAnsi="Times New Roman" w:cs="Times New Roman"/>
          <w:noProof/>
        </w:rPr>
      </w:pPr>
    </w:p>
    <w:p w14:paraId="7E1087BA"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M.1. Neatmaksājamam finansiālajam atbalstam pieteikto reformu un investīciju apraksts</w:t>
      </w:r>
    </w:p>
    <w:p w14:paraId="5B33E3CE" w14:textId="77777777" w:rsidR="00776A1F" w:rsidRDefault="00D8574B">
      <w:pPr>
        <w:pStyle w:val="P68B1DB1-Normal5"/>
        <w:spacing w:before="240" w:after="0" w:line="240" w:lineRule="auto"/>
        <w:ind w:left="851"/>
        <w:jc w:val="both"/>
        <w:outlineLvl w:val="2"/>
        <w:rPr>
          <w:rFonts w:eastAsiaTheme="minorEastAsia" w:cs="Times New Roman"/>
          <w:noProof/>
        </w:rPr>
      </w:pPr>
      <w:r>
        <w:rPr>
          <w:noProof/>
        </w:rPr>
        <w:t>Ieguldījums TC-C13-i01: Dzīvojamo ēku energoefektivitāte</w:t>
      </w:r>
    </w:p>
    <w:p w14:paraId="70B72BC7" w14:textId="77777777" w:rsidR="00776A1F" w:rsidRDefault="00D8574B">
      <w:pPr>
        <w:pStyle w:val="P68B1DB1-Normal4"/>
        <w:keepNext/>
        <w:spacing w:before="40" w:after="0" w:line="259" w:lineRule="auto"/>
        <w:jc w:val="both"/>
        <w:rPr>
          <w:rFonts w:eastAsiaTheme="minorEastAsia" w:cs="Times New Roman"/>
          <w:noProof/>
        </w:rPr>
      </w:pPr>
      <w:r>
        <w:rPr>
          <w:noProof/>
        </w:rPr>
        <w:t>Šo investīciju mērķi ir veicināt</w:t>
      </w:r>
      <w:r>
        <w:rPr>
          <w:noProof/>
          <w:shd w:val="clear" w:color="auto" w:fill="FFFFFF"/>
        </w:rPr>
        <w:t xml:space="preserve"> privāto dzīvojamo ēku energorenovāciju,</w:t>
      </w:r>
      <w:r>
        <w:rPr>
          <w:noProof/>
        </w:rPr>
        <w:t xml:space="preserve"> pieņemt energoefektīvus risinājumus, aizstāt neefektīvu aprīkojumu un palielināt uzstādīto jaudu, lai veicinātu energoefektivitāti un resursefektivitāti, palielinātu atjaunojamo energoresursu enerģijas pašpatēriņu un novērstu enerģētisko nabadzību. </w:t>
      </w:r>
    </w:p>
    <w:p w14:paraId="3E17583F" w14:textId="77777777" w:rsidR="00776A1F" w:rsidRDefault="00D8574B">
      <w:pPr>
        <w:pStyle w:val="P68B1DB1-Normal4"/>
        <w:keepNext/>
        <w:spacing w:before="40" w:after="0" w:line="259" w:lineRule="auto"/>
        <w:jc w:val="both"/>
        <w:rPr>
          <w:rFonts w:eastAsiaTheme="minorEastAsia" w:cs="Times New Roman"/>
          <w:noProof/>
        </w:rPr>
      </w:pPr>
      <w:r>
        <w:rPr>
          <w:noProof/>
        </w:rPr>
        <w:t>Ieguldījumu veido šādi pasākumi:</w:t>
      </w:r>
    </w:p>
    <w:p w14:paraId="20A1328B" w14:textId="77777777" w:rsidR="00776A1F" w:rsidRDefault="00D8574B">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Atbalstīt tādu projektu izmaksas (parasti no 50 % līdz 70 % no kopējām izmaksām), kas veicina ēku renovāciju, energoefektivitāti, dekarbonizāciju, ūdens izmantošanas efektivitāti un aprites ekonomiku. To dara, izmantojot ikgadējus paziņojumus.</w:t>
      </w:r>
    </w:p>
    <w:p w14:paraId="631CC72D" w14:textId="77777777" w:rsidR="00776A1F" w:rsidRDefault="00D8574B">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 xml:space="preserve">Mājsaimniecībām ar zemiem ienākumiem, kuras skar enerģētiskā nabadzība (kurās līdz 100 % izmaksu var tikt subsidētas), šādām darbībām ir vajadzīga ciešāka sadarbība starp centrālajām un vietējām iestādēm un citiem dalībniekiem, piemēram, vietējām apvienībām. </w:t>
      </w:r>
      <w:r>
        <w:rPr>
          <w:i/>
          <w:noProof/>
        </w:rPr>
        <w:t>Vales eficiência</w:t>
      </w:r>
      <w:r>
        <w:rPr>
          <w:noProof/>
        </w:rPr>
        <w:t xml:space="preserve"> jeb energoefektivitātes kuponus, kuru vērtība ir vidēji EUR 1300 katrs, izdod un piegādā enerģētiskās nabadzības skartām mājsaimniecībām, kas saņēmējam dod tiesības uz noteiktiem darbiem, energoefektīviem risinājumiem, aprīkojumu un enerģijas izmantojuma elektrifikāciju.</w:t>
      </w:r>
    </w:p>
    <w:p w14:paraId="6211EA87" w14:textId="77777777" w:rsidR="00776A1F" w:rsidRDefault="00D8574B">
      <w:pPr>
        <w:pStyle w:val="P68B1DB1-Normal4"/>
        <w:keepNext/>
        <w:numPr>
          <w:ilvl w:val="0"/>
          <w:numId w:val="60"/>
        </w:numPr>
        <w:spacing w:before="40" w:after="160" w:line="259" w:lineRule="auto"/>
        <w:contextualSpacing/>
        <w:jc w:val="both"/>
        <w:rPr>
          <w:rFonts w:eastAsiaTheme="minorEastAsia" w:cs="Times New Roman"/>
          <w:noProof/>
        </w:rPr>
      </w:pPr>
      <w:r>
        <w:rPr>
          <w:noProof/>
        </w:rPr>
        <w:t xml:space="preserve">Atbalsta materiālus izplata, lai palīdzētu pieņemt lēmumus par labākajiem veicamajiem energoefektivitātes pasākumiem. </w:t>
      </w:r>
    </w:p>
    <w:p w14:paraId="645F2D6F" w14:textId="77777777" w:rsidR="00776A1F" w:rsidRDefault="00D8574B">
      <w:pPr>
        <w:pStyle w:val="P68B1DB1-Normal4"/>
        <w:keepNext/>
        <w:numPr>
          <w:ilvl w:val="0"/>
          <w:numId w:val="60"/>
        </w:numPr>
        <w:spacing w:before="40" w:after="160" w:line="259" w:lineRule="auto"/>
        <w:contextualSpacing/>
        <w:jc w:val="both"/>
        <w:rPr>
          <w:rFonts w:eastAsiaTheme="minorEastAsia" w:cs="Times New Roman"/>
          <w:noProof/>
        </w:rPr>
      </w:pPr>
      <w:r>
        <w:rPr>
          <w:noProof/>
        </w:rPr>
        <w:t>Lai palīdzētu kliedēt šaubas par to, kā saņemt šo atbalstu, dara pieejamus arī saziņas kanālus un vienas pieturas aģentūras, saskaņojot tos ar dažādām valsts un vietējām struktūrām, lai patērētāji varētu pieņemt vislabākos lēmumus par ieguldījumiem.</w:t>
      </w:r>
    </w:p>
    <w:p w14:paraId="325EE6D9" w14:textId="77777777" w:rsidR="00776A1F" w:rsidRDefault="00D8574B">
      <w:pPr>
        <w:pStyle w:val="P68B1DB1-Normal4"/>
        <w:keepNext/>
        <w:spacing w:before="40" w:after="0" w:line="259" w:lineRule="auto"/>
        <w:jc w:val="both"/>
        <w:rPr>
          <w:rFonts w:eastAsiaTheme="minorEastAsia" w:cs="Times New Roman"/>
          <w:noProof/>
        </w:rPr>
      </w:pPr>
      <w:r>
        <w:rPr>
          <w:noProof/>
        </w:rPr>
        <w:t>Plānoto investīciju mērķis ir panākt primārās enerģijas ietaupījumu vidēji par aptuveni 200 ktoe un samazināt CO2 emisijas par aptuveni 150 kt.</w:t>
      </w:r>
    </w:p>
    <w:p w14:paraId="7DCADF68"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6AE98B0B" w14:textId="77777777" w:rsidR="00776A1F" w:rsidRDefault="00D8574B">
      <w:pPr>
        <w:pStyle w:val="P68B1DB1-Normal5"/>
        <w:spacing w:before="240" w:after="0" w:line="240" w:lineRule="auto"/>
        <w:ind w:left="851"/>
        <w:jc w:val="both"/>
        <w:outlineLvl w:val="2"/>
        <w:rPr>
          <w:rFonts w:eastAsiaTheme="minorEastAsia" w:cs="Times New Roman"/>
          <w:noProof/>
        </w:rPr>
      </w:pPr>
      <w:r>
        <w:rPr>
          <w:noProof/>
        </w:rPr>
        <w:t>Ieguldījums TC-C13-i02: Centrālās valdības ēku energoefektivitāte</w:t>
      </w:r>
    </w:p>
    <w:p w14:paraId="1C88255A" w14:textId="77777777" w:rsidR="00776A1F" w:rsidRDefault="00D8574B">
      <w:pPr>
        <w:pStyle w:val="P68B1DB1-Normal19"/>
        <w:keepNext/>
        <w:spacing w:before="40" w:after="0" w:line="259" w:lineRule="auto"/>
        <w:jc w:val="both"/>
        <w:rPr>
          <w:rFonts w:eastAsiaTheme="minorEastAsia" w:cs="Times New Roman"/>
          <w:noProof/>
          <w:sz w:val="16"/>
        </w:rPr>
      </w:pPr>
      <w:r>
        <w:rPr>
          <w:noProof/>
          <w:sz w:val="24"/>
        </w:rPr>
        <w:t>Šā ieguldījuma mērķis ir veicināt</w:t>
      </w:r>
      <w:r>
        <w:rPr>
          <w:noProof/>
          <w:sz w:val="24"/>
          <w:shd w:val="clear" w:color="auto" w:fill="FFFFFF"/>
        </w:rPr>
        <w:t xml:space="preserve"> centrālās valdības ēku energorenovāciju</w:t>
      </w:r>
      <w:r>
        <w:rPr>
          <w:noProof/>
          <w:sz w:val="24"/>
        </w:rPr>
        <w:t>, veicināt energoefektivitāti un resursefektivitāti un veicināt atjaunojamās enerģijas pašpatēriņu</w:t>
      </w:r>
      <w:r>
        <w:rPr>
          <w:noProof/>
          <w:sz w:val="16"/>
        </w:rPr>
        <w:t xml:space="preserve">. </w:t>
      </w:r>
    </w:p>
    <w:p w14:paraId="2E0DA704"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Šīs investīcijas ietver pasākumus, kas veicina ēku renovāciju, energoefektivitāti, dekarbonizāciju, ūdens izmantošanas efektivitāti un aprites ekonomiku. </w:t>
      </w:r>
    </w:p>
    <w:p w14:paraId="5CCD1C91" w14:textId="77777777" w:rsidR="00776A1F" w:rsidRDefault="00D8574B">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Katru gadu publicē paziņojumus par dažādiem ēku intervences veidiem, kas jānorāda izstrādājamos efektivitātes plānos saistībā ar Eiropas ekoinovācijas rīcības plānu ECO.AP 2030. ECO.AP 2030 ir pieejams arī, lai sniegtu tehnisku atbalstu centrālajām publiskajām iestādēm projektu apzināšanā un to īstenošanas veicināšanā. </w:t>
      </w:r>
    </w:p>
    <w:p w14:paraId="43CDD7E4" w14:textId="77777777" w:rsidR="00776A1F" w:rsidRDefault="00D8574B">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Atbalsta materiālus izplata valsts pārvaldes amatpersonām, lai palīdzētu tām lemt par labākajiem veicamajiem energoefektivitātes pasākumiem. </w:t>
      </w:r>
    </w:p>
    <w:p w14:paraId="4AE03146" w14:textId="77777777" w:rsidR="00776A1F" w:rsidRDefault="00D8574B">
      <w:pPr>
        <w:pStyle w:val="P68B1DB1-Normal4"/>
        <w:keepNext/>
        <w:spacing w:before="40" w:after="0" w:line="259" w:lineRule="auto"/>
        <w:jc w:val="both"/>
        <w:rPr>
          <w:rFonts w:eastAsiaTheme="minorEastAsia" w:cs="Times New Roman"/>
          <w:noProof/>
        </w:rPr>
      </w:pPr>
      <w:r>
        <w:rPr>
          <w:noProof/>
        </w:rPr>
        <w:t>Plānoto investīciju mērķis ir panākt primārās enerģijas ietaupījumu vidēji par aptuveni 185 ktoe un samazināt CO2 emisijas par aptuveni</w:t>
      </w:r>
      <w:r>
        <w:rPr>
          <w:noProof/>
          <w:vertAlign w:val="subscript"/>
        </w:rPr>
        <w:t>140</w:t>
      </w:r>
      <w:r>
        <w:rPr>
          <w:noProof/>
        </w:rPr>
        <w:t xml:space="preserve"> kt.</w:t>
      </w:r>
    </w:p>
    <w:p w14:paraId="15CF3667"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4966DD71" w14:textId="77777777" w:rsidR="00776A1F" w:rsidRDefault="00D8574B">
      <w:pPr>
        <w:pStyle w:val="P68B1DB1-Normal5"/>
        <w:spacing w:before="240" w:after="0" w:line="240" w:lineRule="auto"/>
        <w:ind w:left="851"/>
        <w:jc w:val="both"/>
        <w:outlineLvl w:val="2"/>
        <w:rPr>
          <w:rFonts w:eastAsiaTheme="minorEastAsia" w:cs="Times New Roman"/>
          <w:noProof/>
        </w:rPr>
      </w:pPr>
      <w:r>
        <w:rPr>
          <w:noProof/>
        </w:rPr>
        <w:t>Ieguldījums TC-C13-i03: Pakalpojumu nozarē izmantoto ēku energoefektivitāte</w:t>
      </w:r>
    </w:p>
    <w:p w14:paraId="0A4A1198" w14:textId="77777777" w:rsidR="00776A1F" w:rsidRDefault="00D8574B">
      <w:pPr>
        <w:pStyle w:val="P68B1DB1-Normal4"/>
        <w:spacing w:before="40" w:after="0" w:line="240" w:lineRule="auto"/>
        <w:jc w:val="both"/>
        <w:rPr>
          <w:rFonts w:eastAsiaTheme="minorEastAsia" w:cs="Times New Roman"/>
          <w:noProof/>
        </w:rPr>
      </w:pPr>
      <w:r>
        <w:rPr>
          <w:noProof/>
        </w:rPr>
        <w:t xml:space="preserve">Šā ieguldījuma mērķis ir veicināt </w:t>
      </w:r>
      <w:r>
        <w:rPr>
          <w:noProof/>
          <w:shd w:val="clear" w:color="auto" w:fill="FFFFFF"/>
        </w:rPr>
        <w:t>energorenovāciju ēkās, ko izmanto pakalpojumu nozarē</w:t>
      </w:r>
      <w:r>
        <w:rPr>
          <w:noProof/>
        </w:rPr>
        <w:t xml:space="preserve">, veicināt energoefektivitāti un resursefektivitāti, veicināt pašpatēriņa atjaunīgās enerģijas ražošanu. </w:t>
      </w:r>
    </w:p>
    <w:p w14:paraId="5691AA04" w14:textId="77777777" w:rsidR="00776A1F" w:rsidRDefault="00D8574B">
      <w:pPr>
        <w:pStyle w:val="P68B1DB1-Normal4"/>
        <w:spacing w:before="40" w:after="0" w:line="240" w:lineRule="auto"/>
        <w:jc w:val="both"/>
        <w:rPr>
          <w:rFonts w:eastAsiaTheme="minorEastAsia" w:cs="Times New Roman"/>
          <w:noProof/>
        </w:rPr>
      </w:pPr>
      <w:r>
        <w:rPr>
          <w:noProof/>
        </w:rPr>
        <w:t>Šo ieguldījumu veido šādi pasākumi:</w:t>
      </w:r>
    </w:p>
    <w:p w14:paraId="2D344554" w14:textId="77777777" w:rsidR="00776A1F" w:rsidRDefault="00D8574B">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Katru gadu tiek izsludināti paziņojumi, lai pieteiktos atbalstam (parasti no 50 % līdz 70 % no kopējām izmaksām), lai šīs izmaksas sadalītu dažāda veida ēku intervencēs nolūkā uzlabot to energoefektivitāti un ekoloģiskos raksturlielumus. </w:t>
      </w:r>
    </w:p>
    <w:p w14:paraId="4954743E" w14:textId="77777777" w:rsidR="00776A1F" w:rsidRDefault="00D8574B">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Atbalsta materiālus izplata, lai palīdzētu pieņemt lēmumus par labākajiem veicamajiem energoefektivitātes pasākumiem. </w:t>
      </w:r>
    </w:p>
    <w:p w14:paraId="47FC485D" w14:textId="77777777" w:rsidR="00776A1F" w:rsidRDefault="00D8574B">
      <w:pPr>
        <w:pStyle w:val="P68B1DB1-Normal4"/>
        <w:keepNext/>
        <w:numPr>
          <w:ilvl w:val="0"/>
          <w:numId w:val="30"/>
        </w:numPr>
        <w:spacing w:before="40" w:after="160" w:line="240" w:lineRule="auto"/>
        <w:contextualSpacing/>
        <w:jc w:val="both"/>
        <w:rPr>
          <w:rFonts w:eastAsiaTheme="minorEastAsia" w:cs="Times New Roman"/>
          <w:noProof/>
        </w:rPr>
      </w:pPr>
      <w:r>
        <w:rPr>
          <w:noProof/>
        </w:rPr>
        <w:t>Dara pieejamus arī saziņas kanālus, lai palīdzētu kliedēt šaubas par to, kā saņemt šo atbalstu, to koordinējot ar dažādām valsts un vietējām struktūrām, lai patērētāji varētu pieņemt vislabākos lēmumus par ieguldījumiem.</w:t>
      </w:r>
    </w:p>
    <w:p w14:paraId="3470E975" w14:textId="77777777" w:rsidR="00776A1F" w:rsidRDefault="00D8574B">
      <w:pPr>
        <w:pStyle w:val="P68B1DB1-Normal4"/>
        <w:spacing w:before="40" w:after="0" w:line="240" w:lineRule="auto"/>
        <w:jc w:val="both"/>
        <w:rPr>
          <w:rFonts w:eastAsiaTheme="minorEastAsia" w:cs="Times New Roman"/>
          <w:noProof/>
        </w:rPr>
      </w:pPr>
      <w:r>
        <w:rPr>
          <w:noProof/>
        </w:rPr>
        <w:t>Plānoto investīciju mērķis ir panākt primārās enerģijas ietaupījumu vidēji par aptuveni 50 ktoe un samazināt CO2 emisijas par aptuveni</w:t>
      </w:r>
      <w:r>
        <w:rPr>
          <w:noProof/>
          <w:vertAlign w:val="subscript"/>
        </w:rPr>
        <w:t>30</w:t>
      </w:r>
      <w:r>
        <w:rPr>
          <w:noProof/>
        </w:rPr>
        <w:t xml:space="preserve"> kt.</w:t>
      </w:r>
    </w:p>
    <w:p w14:paraId="55C9613B" w14:textId="77777777" w:rsidR="00776A1F" w:rsidRDefault="00D8574B">
      <w:pPr>
        <w:pStyle w:val="P68B1DB1-Normal4"/>
        <w:spacing w:before="40" w:after="0" w:line="240" w:lineRule="auto"/>
        <w:jc w:val="both"/>
        <w:rPr>
          <w:rFonts w:eastAsiaTheme="minorEastAsia" w:cs="Times New Roman"/>
          <w:noProof/>
        </w:rPr>
        <w:sectPr w:rsidR="00776A1F" w:rsidSect="00E00EDD">
          <w:headerReference w:type="even" r:id="rId258"/>
          <w:headerReference w:type="default" r:id="rId259"/>
          <w:footerReference w:type="even" r:id="rId260"/>
          <w:footerReference w:type="default" r:id="rId261"/>
          <w:headerReference w:type="first" r:id="rId262"/>
          <w:footerReference w:type="first" r:id="rId263"/>
          <w:pgSz w:w="11907" w:h="16839"/>
          <w:pgMar w:top="1134" w:right="1134" w:bottom="1134" w:left="1134" w:header="567" w:footer="567" w:gutter="0"/>
          <w:cols w:space="720"/>
          <w:docGrid w:linePitch="360"/>
        </w:sectPr>
      </w:pPr>
      <w:r>
        <w:rPr>
          <w:noProof/>
        </w:rPr>
        <w:t>Ieguldījumu īstenošanu pabeidz līdz 2025. gada 31. decembrim.</w:t>
      </w:r>
    </w:p>
    <w:p w14:paraId="29A3F2EB"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M.2. Atskaites punkti, mērķrādītāji, citi rādītāji un neatmaksājamā finansiālā atbalsta uzraudzības un īstenošanas grafiks</w:t>
      </w:r>
    </w:p>
    <w:p w14:paraId="11AAFD16"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850"/>
        <w:gridCol w:w="992"/>
        <w:gridCol w:w="426"/>
        <w:gridCol w:w="708"/>
        <w:gridCol w:w="3969"/>
      </w:tblGrid>
      <w:tr w:rsidR="00776A1F" w14:paraId="0E0C05EE" w14:textId="77777777">
        <w:trPr>
          <w:trHeight w:val="910"/>
          <w:tblHeader/>
        </w:trPr>
        <w:tc>
          <w:tcPr>
            <w:tcW w:w="1135" w:type="dxa"/>
            <w:vMerge w:val="restart"/>
            <w:shd w:val="clear" w:color="auto" w:fill="BDD6EE"/>
            <w:vAlign w:val="center"/>
            <w:hideMark/>
          </w:tcPr>
          <w:p w14:paraId="67BBF50E"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30B4FF8A"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2ABC28BA" w14:textId="6B49251B" w:rsidR="00776A1F" w:rsidRDefault="00D8574B">
            <w:pPr>
              <w:pStyle w:val="P68B1DB1-Normal6"/>
              <w:spacing w:after="0" w:line="240" w:lineRule="auto"/>
              <w:jc w:val="center"/>
              <w:rPr>
                <w:rFonts w:eastAsia="Times New Roman" w:cs="Times New Roman"/>
                <w:noProof/>
                <w:sz w:val="14"/>
              </w:rPr>
            </w:pPr>
            <w:r>
              <w:rPr>
                <w:noProof/>
              </w:rPr>
              <w:t>Atskaites punkts/mērķrādītājs</w:t>
            </w:r>
          </w:p>
        </w:tc>
        <w:tc>
          <w:tcPr>
            <w:tcW w:w="1701" w:type="dxa"/>
            <w:vMerge w:val="restart"/>
            <w:shd w:val="clear" w:color="auto" w:fill="BDD6EE"/>
            <w:vAlign w:val="center"/>
            <w:hideMark/>
          </w:tcPr>
          <w:p w14:paraId="0F732803"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4FD2B6A8"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835" w:type="dxa"/>
            <w:gridSpan w:val="3"/>
            <w:shd w:val="clear" w:color="auto" w:fill="BDD6EE"/>
            <w:vAlign w:val="center"/>
            <w:hideMark/>
          </w:tcPr>
          <w:p w14:paraId="61B63461"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134" w:type="dxa"/>
            <w:gridSpan w:val="2"/>
            <w:shd w:val="clear" w:color="auto" w:fill="BDD6EE"/>
            <w:vAlign w:val="center"/>
            <w:hideMark/>
          </w:tcPr>
          <w:p w14:paraId="260455EA"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0F60C256"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3FAB00E2" w14:textId="77777777">
        <w:trPr>
          <w:trHeight w:val="470"/>
          <w:tblHeader/>
        </w:trPr>
        <w:tc>
          <w:tcPr>
            <w:tcW w:w="1135" w:type="dxa"/>
            <w:vMerge/>
            <w:vAlign w:val="center"/>
            <w:hideMark/>
          </w:tcPr>
          <w:p w14:paraId="7E4C4723"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4F51F516"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16343213" w14:textId="293593C9" w:rsidR="00776A1F" w:rsidRDefault="00776A1F">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6B71B7A6"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049F56B7"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FCE643F"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850" w:type="dxa"/>
            <w:shd w:val="clear" w:color="auto" w:fill="BDD6EE"/>
            <w:vAlign w:val="center"/>
            <w:hideMark/>
          </w:tcPr>
          <w:p w14:paraId="5BE8C6D0" w14:textId="77777777" w:rsidR="00776A1F" w:rsidRDefault="00D8574B">
            <w:pPr>
              <w:pStyle w:val="P68B1DB1-Normal6"/>
              <w:spacing w:after="0" w:line="240" w:lineRule="auto"/>
              <w:jc w:val="center"/>
              <w:rPr>
                <w:rFonts w:eastAsia="Times New Roman" w:cs="Times New Roman"/>
                <w:noProof/>
              </w:rPr>
            </w:pPr>
            <w:r>
              <w:rPr>
                <w:noProof/>
              </w:rPr>
              <w:t>Bāzes līnija</w:t>
            </w:r>
          </w:p>
        </w:tc>
        <w:tc>
          <w:tcPr>
            <w:tcW w:w="992" w:type="dxa"/>
            <w:shd w:val="clear" w:color="auto" w:fill="BDD6EE"/>
            <w:vAlign w:val="center"/>
            <w:hideMark/>
          </w:tcPr>
          <w:p w14:paraId="0C1FF235"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426" w:type="dxa"/>
            <w:shd w:val="clear" w:color="auto" w:fill="BDD6EE"/>
            <w:vAlign w:val="center"/>
            <w:hideMark/>
          </w:tcPr>
          <w:p w14:paraId="409B8A29"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2A10157F"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4615715E" w14:textId="77777777" w:rsidR="00776A1F" w:rsidRDefault="00776A1F">
            <w:pPr>
              <w:spacing w:after="0" w:line="240" w:lineRule="auto"/>
              <w:rPr>
                <w:rFonts w:ascii="Times New Roman" w:eastAsia="Times New Roman" w:hAnsi="Times New Roman" w:cs="Times New Roman"/>
                <w:b/>
                <w:noProof/>
                <w:sz w:val="18"/>
              </w:rPr>
            </w:pPr>
          </w:p>
        </w:tc>
      </w:tr>
      <w:tr w:rsidR="00776A1F" w14:paraId="606EC8F0" w14:textId="77777777">
        <w:trPr>
          <w:trHeight w:val="420"/>
        </w:trPr>
        <w:tc>
          <w:tcPr>
            <w:tcW w:w="1135" w:type="dxa"/>
            <w:shd w:val="clear" w:color="auto" w:fill="C4EFCE"/>
            <w:vAlign w:val="center"/>
            <w:hideMark/>
          </w:tcPr>
          <w:p w14:paraId="1E4DC0DC" w14:textId="77777777" w:rsidR="00776A1F" w:rsidRDefault="00D8574B">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27EC7AD6" w14:textId="77777777" w:rsidR="00776A1F" w:rsidRDefault="00D8574B">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36311F16"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5826370" w14:textId="77777777" w:rsidR="00776A1F" w:rsidRDefault="00D8574B">
            <w:pPr>
              <w:pStyle w:val="P68B1DB1-Normal8"/>
              <w:spacing w:after="0" w:line="240" w:lineRule="auto"/>
              <w:rPr>
                <w:rFonts w:eastAsia="Times New Roman" w:cs="Calibri"/>
                <w:noProof/>
              </w:rPr>
            </w:pPr>
            <w:r>
              <w:rPr>
                <w:noProof/>
              </w:rPr>
              <w:t>Privāto dzīvojamo ēku energoefektivitātes renovācija</w:t>
            </w:r>
          </w:p>
        </w:tc>
        <w:tc>
          <w:tcPr>
            <w:tcW w:w="1275" w:type="dxa"/>
            <w:shd w:val="clear" w:color="auto" w:fill="C4EFCE"/>
            <w:noWrap/>
            <w:vAlign w:val="center"/>
            <w:hideMark/>
          </w:tcPr>
          <w:p w14:paraId="462D8E5D"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CBB54FC" w14:textId="77777777" w:rsidR="00776A1F" w:rsidRDefault="00D8574B">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9B8212A"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7DD0506" w14:textId="77777777" w:rsidR="00776A1F" w:rsidRDefault="00D8574B">
            <w:pPr>
              <w:pStyle w:val="P68B1DB1-Normal8"/>
              <w:spacing w:after="0" w:line="240" w:lineRule="auto"/>
              <w:jc w:val="both"/>
              <w:rPr>
                <w:rFonts w:eastAsia="Times New Roman" w:cs="Calibri"/>
                <w:noProof/>
              </w:rPr>
            </w:pPr>
            <w:r>
              <w:rPr>
                <w:noProof/>
              </w:rPr>
              <w:t>830 000</w:t>
            </w:r>
          </w:p>
        </w:tc>
        <w:tc>
          <w:tcPr>
            <w:tcW w:w="426" w:type="dxa"/>
            <w:shd w:val="clear" w:color="auto" w:fill="C4EFCE"/>
            <w:noWrap/>
            <w:vAlign w:val="center"/>
            <w:hideMark/>
          </w:tcPr>
          <w:p w14:paraId="05169CF0" w14:textId="77777777" w:rsidR="00776A1F" w:rsidRDefault="00D8574B">
            <w:pPr>
              <w:pStyle w:val="P68B1DB1-Normal8"/>
              <w:spacing w:after="0" w:line="240" w:lineRule="auto"/>
              <w:jc w:val="both"/>
              <w:rPr>
                <w:rFonts w:eastAsia="Times New Roman" w:cs="Calibri"/>
                <w:noProof/>
              </w:rPr>
            </w:pPr>
            <w:r>
              <w:rPr>
                <w:noProof/>
              </w:rPr>
              <w:t>2. CET.</w:t>
            </w:r>
          </w:p>
        </w:tc>
        <w:tc>
          <w:tcPr>
            <w:tcW w:w="708" w:type="dxa"/>
            <w:shd w:val="clear" w:color="auto" w:fill="C4EFCE"/>
            <w:noWrap/>
            <w:vAlign w:val="center"/>
            <w:hideMark/>
          </w:tcPr>
          <w:p w14:paraId="4F8F49ED" w14:textId="77777777" w:rsidR="00776A1F" w:rsidRDefault="00D8574B">
            <w:pPr>
              <w:pStyle w:val="P68B1DB1-Normal8"/>
              <w:spacing w:after="0" w:line="240" w:lineRule="auto"/>
              <w:jc w:val="both"/>
              <w:rPr>
                <w:rFonts w:eastAsia="Times New Roman" w:cs="Calibri"/>
                <w:noProof/>
              </w:rPr>
            </w:pPr>
            <w:r>
              <w:rPr>
                <w:noProof/>
              </w:rPr>
              <w:t>2024</w:t>
            </w:r>
          </w:p>
        </w:tc>
        <w:tc>
          <w:tcPr>
            <w:tcW w:w="3969" w:type="dxa"/>
            <w:shd w:val="clear" w:color="auto" w:fill="C4EFCE"/>
            <w:vAlign w:val="center"/>
            <w:hideMark/>
          </w:tcPr>
          <w:p w14:paraId="4713DF6A" w14:textId="77777777" w:rsidR="00776A1F" w:rsidRDefault="00D8574B">
            <w:pPr>
              <w:pStyle w:val="P68B1DB1-Normal8"/>
              <w:spacing w:after="0" w:line="240" w:lineRule="auto"/>
              <w:jc w:val="both"/>
              <w:rPr>
                <w:rFonts w:eastAsia="Times New Roman" w:cs="Calibri"/>
                <w:noProof/>
              </w:rPr>
            </w:pPr>
            <w:r>
              <w:rPr>
                <w:noProof/>
              </w:rPr>
              <w:t>Renovēto privāto dzīvojamo ēku platība. Ar energoefektivitātes renovāciju vidēji panāk vismaz vidēja līmeņa renovāciju, kā noteikts Komisijas Ieteikumā (ES) 2019/786 par ēku renovāciju.</w:t>
            </w:r>
          </w:p>
        </w:tc>
      </w:tr>
      <w:tr w:rsidR="00776A1F" w14:paraId="1017303B" w14:textId="77777777">
        <w:trPr>
          <w:trHeight w:val="420"/>
        </w:trPr>
        <w:tc>
          <w:tcPr>
            <w:tcW w:w="1135" w:type="dxa"/>
            <w:shd w:val="clear" w:color="auto" w:fill="C4EFCE"/>
            <w:vAlign w:val="center"/>
            <w:hideMark/>
          </w:tcPr>
          <w:p w14:paraId="10D598D6" w14:textId="77777777" w:rsidR="00776A1F" w:rsidRDefault="00D8574B">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6D5511F8" w14:textId="77777777" w:rsidR="00776A1F" w:rsidRDefault="00D8574B">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739F5B31"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37A49A2" w14:textId="77777777" w:rsidR="00776A1F" w:rsidRDefault="00D8574B">
            <w:pPr>
              <w:pStyle w:val="P68B1DB1-Normal8"/>
              <w:spacing w:after="0" w:line="240" w:lineRule="auto"/>
              <w:rPr>
                <w:rFonts w:eastAsia="Times New Roman" w:cs="Calibri"/>
                <w:noProof/>
              </w:rPr>
            </w:pPr>
            <w:r>
              <w:rPr>
                <w:noProof/>
              </w:rPr>
              <w:t xml:space="preserve">Privāto dzīvojamo ēku energoefektivitātes renovācija </w:t>
            </w:r>
          </w:p>
        </w:tc>
        <w:tc>
          <w:tcPr>
            <w:tcW w:w="1275" w:type="dxa"/>
            <w:shd w:val="clear" w:color="auto" w:fill="C4EFCE"/>
            <w:noWrap/>
            <w:vAlign w:val="center"/>
            <w:hideMark/>
          </w:tcPr>
          <w:p w14:paraId="456795CE"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1EAE464" w14:textId="77777777" w:rsidR="00776A1F" w:rsidRDefault="00D8574B">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B48A107" w14:textId="77777777" w:rsidR="00776A1F" w:rsidRDefault="00D8574B">
            <w:pPr>
              <w:pStyle w:val="P68B1DB1-Normal8"/>
              <w:spacing w:after="0" w:line="240" w:lineRule="auto"/>
              <w:jc w:val="center"/>
              <w:rPr>
                <w:rFonts w:eastAsia="Times New Roman" w:cs="Calibri"/>
                <w:noProof/>
              </w:rPr>
            </w:pPr>
            <w:r>
              <w:rPr>
                <w:noProof/>
              </w:rPr>
              <w:t>830 000</w:t>
            </w:r>
          </w:p>
        </w:tc>
        <w:tc>
          <w:tcPr>
            <w:tcW w:w="992" w:type="dxa"/>
            <w:shd w:val="clear" w:color="auto" w:fill="C4EFCE"/>
            <w:noWrap/>
            <w:vAlign w:val="center"/>
            <w:hideMark/>
          </w:tcPr>
          <w:p w14:paraId="4C565512" w14:textId="77777777" w:rsidR="00776A1F" w:rsidRDefault="00D8574B">
            <w:pPr>
              <w:pStyle w:val="P68B1DB1-Normal8"/>
              <w:spacing w:after="0" w:line="240" w:lineRule="auto"/>
              <w:jc w:val="both"/>
              <w:rPr>
                <w:rFonts w:eastAsia="Times New Roman" w:cs="Calibri"/>
                <w:noProof/>
              </w:rPr>
            </w:pPr>
            <w:r>
              <w:rPr>
                <w:noProof/>
              </w:rPr>
              <w:t>1 020 000</w:t>
            </w:r>
          </w:p>
        </w:tc>
        <w:tc>
          <w:tcPr>
            <w:tcW w:w="426" w:type="dxa"/>
            <w:shd w:val="clear" w:color="auto" w:fill="C4EFCE"/>
            <w:noWrap/>
            <w:vAlign w:val="center"/>
            <w:hideMark/>
          </w:tcPr>
          <w:p w14:paraId="270A70FA" w14:textId="77777777" w:rsidR="00776A1F" w:rsidRDefault="00D8574B">
            <w:pPr>
              <w:pStyle w:val="P68B1DB1-Normal8"/>
              <w:spacing w:after="0" w:line="240" w:lineRule="auto"/>
              <w:jc w:val="both"/>
              <w:rPr>
                <w:rFonts w:eastAsia="Times New Roman" w:cs="Calibri"/>
                <w:noProof/>
              </w:rPr>
            </w:pPr>
            <w:r>
              <w:rPr>
                <w:noProof/>
              </w:rPr>
              <w:t>2. CET.</w:t>
            </w:r>
          </w:p>
        </w:tc>
        <w:tc>
          <w:tcPr>
            <w:tcW w:w="708" w:type="dxa"/>
            <w:shd w:val="clear" w:color="auto" w:fill="C4EFCE"/>
            <w:noWrap/>
            <w:vAlign w:val="center"/>
            <w:hideMark/>
          </w:tcPr>
          <w:p w14:paraId="569CEDB4"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D57E5C9" w14:textId="77777777" w:rsidR="00776A1F" w:rsidRDefault="00D8574B">
            <w:pPr>
              <w:pStyle w:val="P68B1DB1-Normal8"/>
              <w:spacing w:after="0" w:line="240" w:lineRule="auto"/>
              <w:jc w:val="both"/>
              <w:rPr>
                <w:rFonts w:eastAsia="Times New Roman" w:cs="Calibri"/>
                <w:noProof/>
              </w:rPr>
            </w:pPr>
            <w:r>
              <w:rPr>
                <w:noProof/>
              </w:rPr>
              <w:t>Renovēto privāto dzīvojamo ēku platība. Ar energoefektivitātes renovāciju vidēji panāk vismaz vidēja līmeņa renovāciju, kā noteikts Komisijas Ieteikumā (ES) 2019/786 par ēku renovāciju.</w:t>
            </w:r>
          </w:p>
        </w:tc>
      </w:tr>
      <w:tr w:rsidR="00776A1F" w14:paraId="2393B3AE" w14:textId="77777777">
        <w:trPr>
          <w:trHeight w:val="1060"/>
        </w:trPr>
        <w:tc>
          <w:tcPr>
            <w:tcW w:w="1135" w:type="dxa"/>
            <w:shd w:val="clear" w:color="auto" w:fill="C4EFCE"/>
            <w:vAlign w:val="center"/>
            <w:hideMark/>
          </w:tcPr>
          <w:p w14:paraId="67D8B225" w14:textId="77777777" w:rsidR="00776A1F" w:rsidRDefault="00D8574B">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F372A8D" w14:textId="77777777" w:rsidR="00776A1F" w:rsidRDefault="00D8574B">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02685FC2"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92E44C1" w14:textId="77777777" w:rsidR="00776A1F" w:rsidRDefault="00D8574B">
            <w:pPr>
              <w:pStyle w:val="P68B1DB1-Normal8"/>
              <w:spacing w:after="0" w:line="240" w:lineRule="auto"/>
              <w:rPr>
                <w:rFonts w:eastAsia="Times New Roman" w:cs="Calibri"/>
                <w:noProof/>
              </w:rPr>
            </w:pPr>
            <w:r>
              <w:rPr>
                <w:noProof/>
              </w:rPr>
              <w:t>“Efektivitātes kuponi”, ko izplata enerģētiskās nabadzības skartām mājsaimniecībām, lai aizstātu vecās iekārtas un pieņemtu energoefektīvus risinājumus</w:t>
            </w:r>
          </w:p>
        </w:tc>
        <w:tc>
          <w:tcPr>
            <w:tcW w:w="1275" w:type="dxa"/>
            <w:shd w:val="clear" w:color="auto" w:fill="C4EFCE"/>
            <w:noWrap/>
            <w:vAlign w:val="center"/>
            <w:hideMark/>
          </w:tcPr>
          <w:p w14:paraId="7F10918E"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9ACE5A7" w14:textId="77777777" w:rsidR="00776A1F" w:rsidRDefault="00D8574B">
            <w:pPr>
              <w:pStyle w:val="P68B1DB1-Normal8"/>
              <w:spacing w:after="0" w:line="240" w:lineRule="auto"/>
              <w:jc w:val="center"/>
              <w:rPr>
                <w:rFonts w:eastAsia="Times New Roman" w:cs="Calibri"/>
                <w:noProof/>
              </w:rPr>
            </w:pPr>
            <w:r>
              <w:rPr>
                <w:noProof/>
              </w:rPr>
              <w:t>Skaits</w:t>
            </w:r>
          </w:p>
        </w:tc>
        <w:tc>
          <w:tcPr>
            <w:tcW w:w="850" w:type="dxa"/>
            <w:shd w:val="clear" w:color="auto" w:fill="C4EFCE"/>
            <w:noWrap/>
            <w:vAlign w:val="center"/>
            <w:hideMark/>
          </w:tcPr>
          <w:p w14:paraId="38F31541"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6083336E" w14:textId="77777777" w:rsidR="00776A1F" w:rsidRDefault="00D8574B">
            <w:pPr>
              <w:pStyle w:val="P68B1DB1-Normal8"/>
              <w:spacing w:after="0" w:line="240" w:lineRule="auto"/>
              <w:jc w:val="both"/>
              <w:rPr>
                <w:rFonts w:eastAsia="Times New Roman" w:cs="Calibri"/>
                <w:noProof/>
              </w:rPr>
            </w:pPr>
            <w:r>
              <w:rPr>
                <w:noProof/>
              </w:rPr>
              <w:t>100 000</w:t>
            </w:r>
          </w:p>
        </w:tc>
        <w:tc>
          <w:tcPr>
            <w:tcW w:w="426" w:type="dxa"/>
            <w:shd w:val="clear" w:color="auto" w:fill="C4EFCE"/>
            <w:noWrap/>
            <w:vAlign w:val="center"/>
            <w:hideMark/>
          </w:tcPr>
          <w:p w14:paraId="2458F47B" w14:textId="77777777" w:rsidR="00776A1F" w:rsidRDefault="00D8574B">
            <w:pPr>
              <w:pStyle w:val="P68B1DB1-Normal8"/>
              <w:spacing w:after="0" w:line="240" w:lineRule="auto"/>
              <w:jc w:val="both"/>
              <w:rPr>
                <w:rFonts w:eastAsia="Times New Roman" w:cs="Calibri"/>
                <w:noProof/>
              </w:rPr>
            </w:pPr>
            <w:r>
              <w:rPr>
                <w:noProof/>
              </w:rPr>
              <w:t>3. CET.</w:t>
            </w:r>
          </w:p>
        </w:tc>
        <w:tc>
          <w:tcPr>
            <w:tcW w:w="708" w:type="dxa"/>
            <w:shd w:val="clear" w:color="auto" w:fill="C4EFCE"/>
            <w:noWrap/>
            <w:vAlign w:val="center"/>
            <w:hideMark/>
          </w:tcPr>
          <w:p w14:paraId="03A7CD48"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77AF848" w14:textId="77777777" w:rsidR="00776A1F" w:rsidRDefault="00D8574B">
            <w:pPr>
              <w:pStyle w:val="P68B1DB1-Normal8"/>
              <w:spacing w:after="0" w:line="240" w:lineRule="auto"/>
              <w:jc w:val="both"/>
              <w:rPr>
                <w:rFonts w:eastAsia="Times New Roman" w:cs="Calibri"/>
                <w:noProof/>
              </w:rPr>
            </w:pPr>
            <w:r>
              <w:rPr>
                <w:noProof/>
              </w:rPr>
              <w:t>Energoefektivitātes kuponu skaits, kuru vērtība vidēji ir EUR 1300/voucher un kurus piešķir enerģētiskās nabadzības skartām mājsaimniecībām (to mājsaimniecību kopumam, kas gūst labumu no sociālā enerģijas tarifa), lai iegādātos energoefektīvas iekārtas, piemēram, siltumsūkņus, kā arī veiktu darbus, lai uzlabotu pašas mājsaimniecības energoefektivitāti. Tas ietver uzstādīšanas pakalpojumus un iepriekšējā aprīkojuma savākšanu (nosūtīšanu uz videi nekaitīgu galamērķi).</w:t>
            </w:r>
          </w:p>
        </w:tc>
      </w:tr>
      <w:tr w:rsidR="00776A1F" w14:paraId="0B0E361D" w14:textId="77777777">
        <w:trPr>
          <w:trHeight w:val="640"/>
        </w:trPr>
        <w:tc>
          <w:tcPr>
            <w:tcW w:w="1135" w:type="dxa"/>
            <w:shd w:val="clear" w:color="auto" w:fill="C4EFCE"/>
            <w:vAlign w:val="center"/>
            <w:hideMark/>
          </w:tcPr>
          <w:p w14:paraId="7460E5A9" w14:textId="77777777" w:rsidR="00776A1F" w:rsidRDefault="00D8574B">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4457813A" w14:textId="77777777" w:rsidR="00776A1F" w:rsidRDefault="00D8574B">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6C055939"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243CC0AB" w14:textId="77777777" w:rsidR="00776A1F" w:rsidRDefault="00D8574B">
            <w:pPr>
              <w:pStyle w:val="P68B1DB1-Normal8"/>
              <w:spacing w:after="0" w:line="240" w:lineRule="auto"/>
              <w:rPr>
                <w:rFonts w:eastAsia="Times New Roman" w:cs="Calibri"/>
                <w:noProof/>
              </w:rPr>
            </w:pPr>
            <w:r>
              <w:rPr>
                <w:noProof/>
              </w:rPr>
              <w:t>Papildu atjaunīgās enerģijas ražošanas jauda pašpatēriņam un izmantošanai atjaunojamo energoresursu energokopienās privāto dzīvojamo ēku sektorā</w:t>
            </w:r>
          </w:p>
        </w:tc>
        <w:tc>
          <w:tcPr>
            <w:tcW w:w="1275" w:type="dxa"/>
            <w:shd w:val="clear" w:color="auto" w:fill="C4EFCE"/>
            <w:noWrap/>
            <w:vAlign w:val="center"/>
            <w:hideMark/>
          </w:tcPr>
          <w:p w14:paraId="49B81565"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619A327" w14:textId="77777777" w:rsidR="00776A1F" w:rsidRDefault="00D8574B">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1094D262"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857AA75" w14:textId="77777777" w:rsidR="00776A1F" w:rsidRDefault="00D8574B">
            <w:pPr>
              <w:pStyle w:val="P68B1DB1-Normal8"/>
              <w:spacing w:after="0" w:line="240" w:lineRule="auto"/>
              <w:jc w:val="both"/>
              <w:rPr>
                <w:rFonts w:eastAsia="Times New Roman" w:cs="Calibri"/>
                <w:noProof/>
              </w:rPr>
            </w:pPr>
            <w:r>
              <w:rPr>
                <w:noProof/>
              </w:rPr>
              <w:t>35</w:t>
            </w:r>
          </w:p>
        </w:tc>
        <w:tc>
          <w:tcPr>
            <w:tcW w:w="426" w:type="dxa"/>
            <w:shd w:val="clear" w:color="auto" w:fill="C4EFCE"/>
            <w:noWrap/>
            <w:vAlign w:val="center"/>
            <w:hideMark/>
          </w:tcPr>
          <w:p w14:paraId="16330E77" w14:textId="77777777" w:rsidR="00776A1F" w:rsidRDefault="00D8574B">
            <w:pPr>
              <w:pStyle w:val="P68B1DB1-Normal8"/>
              <w:spacing w:after="0" w:line="240" w:lineRule="auto"/>
              <w:jc w:val="both"/>
              <w:rPr>
                <w:rFonts w:eastAsia="Times New Roman" w:cs="Calibri"/>
                <w:noProof/>
              </w:rPr>
            </w:pPr>
            <w:r>
              <w:rPr>
                <w:noProof/>
              </w:rPr>
              <w:t>4. CET.</w:t>
            </w:r>
          </w:p>
        </w:tc>
        <w:tc>
          <w:tcPr>
            <w:tcW w:w="708" w:type="dxa"/>
            <w:shd w:val="clear" w:color="auto" w:fill="C4EFCE"/>
            <w:noWrap/>
            <w:vAlign w:val="center"/>
            <w:hideMark/>
          </w:tcPr>
          <w:p w14:paraId="3FBEBB67"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132845E6" w14:textId="77777777" w:rsidR="00776A1F" w:rsidRDefault="00D8574B">
            <w:pPr>
              <w:pStyle w:val="P68B1DB1-Normal8"/>
              <w:spacing w:after="0" w:line="240" w:lineRule="auto"/>
              <w:jc w:val="both"/>
              <w:rPr>
                <w:rFonts w:eastAsia="Times New Roman" w:cs="Calibri"/>
                <w:noProof/>
              </w:rPr>
            </w:pPr>
            <w:r>
              <w:rPr>
                <w:noProof/>
              </w:rPr>
              <w:t>Papildu atjaunīgās enerģijas ražošanas jauda (piemēram, fotoelementu paneļi un akumulatori, kad šī tehnoloģija nobriedusi), kas uzstādīta pašpatēriņam un izmantošanai atjaunojamo energoresursu energokopienās privāto dzīvojamo ēku sektorā.</w:t>
            </w:r>
          </w:p>
        </w:tc>
      </w:tr>
      <w:tr w:rsidR="00776A1F" w14:paraId="72822A32" w14:textId="77777777">
        <w:trPr>
          <w:trHeight w:val="420"/>
        </w:trPr>
        <w:tc>
          <w:tcPr>
            <w:tcW w:w="1135" w:type="dxa"/>
            <w:shd w:val="clear" w:color="auto" w:fill="C4EFCE"/>
            <w:vAlign w:val="center"/>
            <w:hideMark/>
          </w:tcPr>
          <w:p w14:paraId="3B3EBACC" w14:textId="77777777" w:rsidR="00776A1F" w:rsidRDefault="00D8574B">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7090E9CA" w14:textId="77777777" w:rsidR="00776A1F" w:rsidRDefault="00D8574B">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0265E7BE"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A781328" w14:textId="77777777" w:rsidR="00776A1F" w:rsidRDefault="00D8574B">
            <w:pPr>
              <w:pStyle w:val="P68B1DB1-Normal8"/>
              <w:spacing w:after="0" w:line="240" w:lineRule="auto"/>
              <w:jc w:val="both"/>
              <w:rPr>
                <w:rFonts w:eastAsia="Times New Roman" w:cs="Calibri"/>
                <w:noProof/>
              </w:rPr>
            </w:pPr>
            <w:r>
              <w:rPr>
                <w:noProof/>
              </w:rPr>
              <w:t>Centrālās valdības ēku energoefektivitātes renovācija</w:t>
            </w:r>
          </w:p>
        </w:tc>
        <w:tc>
          <w:tcPr>
            <w:tcW w:w="1275" w:type="dxa"/>
            <w:shd w:val="clear" w:color="auto" w:fill="C4EFCE"/>
            <w:noWrap/>
            <w:vAlign w:val="center"/>
            <w:hideMark/>
          </w:tcPr>
          <w:p w14:paraId="0B83A2AE"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40499B8" w14:textId="77777777" w:rsidR="00776A1F" w:rsidRDefault="00D8574B">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4F89FDA3"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7BD42F3A" w14:textId="77777777" w:rsidR="00776A1F" w:rsidRDefault="00D8574B">
            <w:pPr>
              <w:pStyle w:val="P68B1DB1-Normal8"/>
              <w:spacing w:after="0" w:line="240" w:lineRule="auto"/>
              <w:jc w:val="both"/>
              <w:rPr>
                <w:rFonts w:eastAsia="Times New Roman" w:cs="Calibri"/>
                <w:noProof/>
              </w:rPr>
            </w:pPr>
            <w:r>
              <w:rPr>
                <w:noProof/>
              </w:rPr>
              <w:t>1 065 000</w:t>
            </w:r>
          </w:p>
        </w:tc>
        <w:tc>
          <w:tcPr>
            <w:tcW w:w="426" w:type="dxa"/>
            <w:shd w:val="clear" w:color="auto" w:fill="C4EFCE"/>
            <w:noWrap/>
            <w:vAlign w:val="center"/>
            <w:hideMark/>
          </w:tcPr>
          <w:p w14:paraId="1624BC2F" w14:textId="77777777" w:rsidR="00776A1F" w:rsidRDefault="00D8574B">
            <w:pPr>
              <w:pStyle w:val="P68B1DB1-Normal8"/>
              <w:spacing w:after="0" w:line="240" w:lineRule="auto"/>
              <w:jc w:val="both"/>
              <w:rPr>
                <w:rFonts w:eastAsia="Times New Roman" w:cs="Calibri"/>
                <w:noProof/>
              </w:rPr>
            </w:pPr>
            <w:r>
              <w:rPr>
                <w:noProof/>
              </w:rPr>
              <w:t>1. CET.</w:t>
            </w:r>
          </w:p>
        </w:tc>
        <w:tc>
          <w:tcPr>
            <w:tcW w:w="708" w:type="dxa"/>
            <w:shd w:val="clear" w:color="auto" w:fill="C4EFCE"/>
            <w:noWrap/>
            <w:vAlign w:val="center"/>
            <w:hideMark/>
          </w:tcPr>
          <w:p w14:paraId="1A541125"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26228984" w14:textId="77777777" w:rsidR="00776A1F" w:rsidRDefault="00776A1F">
            <w:pPr>
              <w:spacing w:after="0" w:line="240" w:lineRule="auto"/>
              <w:jc w:val="both"/>
              <w:rPr>
                <w:rFonts w:ascii="Calibri" w:eastAsia="Times New Roman" w:hAnsi="Calibri" w:cs="Calibri"/>
                <w:noProof/>
                <w:sz w:val="16"/>
              </w:rPr>
            </w:pPr>
          </w:p>
          <w:p w14:paraId="160254F6" w14:textId="77777777" w:rsidR="00776A1F" w:rsidRDefault="00D8574B">
            <w:pPr>
              <w:pStyle w:val="P68B1DB1-Normal8"/>
              <w:spacing w:after="0" w:line="240" w:lineRule="auto"/>
              <w:jc w:val="both"/>
              <w:rPr>
                <w:rFonts w:eastAsia="Times New Roman" w:cs="Calibri"/>
                <w:noProof/>
              </w:rPr>
            </w:pPr>
            <w:r>
              <w:rPr>
                <w:noProof/>
              </w:rPr>
              <w:t>Centrālās valdības renovēto ēku platība. Ar energoefektivitātes renovāciju vidēji panāk vismaz vidēja līmeņa renovāciju, kā noteikts Komisijas Ieteikumā (ES) 2019/786 par ēku renovāciju.</w:t>
            </w:r>
          </w:p>
        </w:tc>
      </w:tr>
      <w:tr w:rsidR="00776A1F" w14:paraId="3AB1A080" w14:textId="77777777">
        <w:trPr>
          <w:trHeight w:val="420"/>
        </w:trPr>
        <w:tc>
          <w:tcPr>
            <w:tcW w:w="1135" w:type="dxa"/>
            <w:shd w:val="clear" w:color="auto" w:fill="C4EFCE"/>
            <w:vAlign w:val="center"/>
            <w:hideMark/>
          </w:tcPr>
          <w:p w14:paraId="60E0C01F" w14:textId="77777777" w:rsidR="00776A1F" w:rsidRDefault="00D8574B">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293744CC" w14:textId="77777777" w:rsidR="00776A1F" w:rsidRDefault="00D8574B">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4857104A"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F18B9FA" w14:textId="77777777" w:rsidR="00776A1F" w:rsidRDefault="00D8574B">
            <w:pPr>
              <w:pStyle w:val="P68B1DB1-Normal8"/>
              <w:spacing w:after="0" w:line="240" w:lineRule="auto"/>
              <w:jc w:val="both"/>
              <w:rPr>
                <w:rFonts w:eastAsia="Times New Roman" w:cs="Calibri"/>
                <w:noProof/>
              </w:rPr>
            </w:pPr>
            <w:r>
              <w:rPr>
                <w:noProof/>
              </w:rPr>
              <w:t xml:space="preserve">Centrālās valdības ēku energoefektivitātes renovācija </w:t>
            </w:r>
          </w:p>
        </w:tc>
        <w:tc>
          <w:tcPr>
            <w:tcW w:w="1275" w:type="dxa"/>
            <w:shd w:val="clear" w:color="auto" w:fill="C4EFCE"/>
            <w:noWrap/>
            <w:vAlign w:val="center"/>
            <w:hideMark/>
          </w:tcPr>
          <w:p w14:paraId="02A39686"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8D238F8" w14:textId="77777777" w:rsidR="00776A1F" w:rsidRDefault="00D8574B">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3E054F8" w14:textId="62C82D65" w:rsidR="00776A1F" w:rsidRDefault="00D8574B">
            <w:pPr>
              <w:pStyle w:val="P68B1DB1-Normal8"/>
              <w:spacing w:after="0" w:line="240" w:lineRule="auto"/>
              <w:jc w:val="center"/>
              <w:rPr>
                <w:rFonts w:eastAsia="Times New Roman" w:cs="Calibri"/>
                <w:noProof/>
              </w:rPr>
            </w:pPr>
            <w:r>
              <w:rPr>
                <w:noProof/>
              </w:rPr>
              <w:t>1 065 000</w:t>
            </w:r>
          </w:p>
        </w:tc>
        <w:tc>
          <w:tcPr>
            <w:tcW w:w="992" w:type="dxa"/>
            <w:shd w:val="clear" w:color="auto" w:fill="C4EFCE"/>
            <w:noWrap/>
            <w:vAlign w:val="center"/>
            <w:hideMark/>
          </w:tcPr>
          <w:p w14:paraId="20287487" w14:textId="77777777" w:rsidR="00776A1F" w:rsidRDefault="00D8574B">
            <w:pPr>
              <w:pStyle w:val="P68B1DB1-Normal8"/>
              <w:spacing w:after="0" w:line="240" w:lineRule="auto"/>
              <w:jc w:val="both"/>
              <w:rPr>
                <w:rFonts w:eastAsia="Times New Roman" w:cs="Calibri"/>
                <w:noProof/>
              </w:rPr>
            </w:pPr>
            <w:r>
              <w:rPr>
                <w:noProof/>
              </w:rPr>
              <w:t>1 255 000</w:t>
            </w:r>
          </w:p>
        </w:tc>
        <w:tc>
          <w:tcPr>
            <w:tcW w:w="426" w:type="dxa"/>
            <w:shd w:val="clear" w:color="auto" w:fill="C4EFCE"/>
            <w:noWrap/>
            <w:vAlign w:val="center"/>
            <w:hideMark/>
          </w:tcPr>
          <w:p w14:paraId="4B0B2EFE" w14:textId="77777777" w:rsidR="00776A1F" w:rsidRDefault="00D8574B">
            <w:pPr>
              <w:pStyle w:val="P68B1DB1-Normal8"/>
              <w:spacing w:after="0" w:line="240" w:lineRule="auto"/>
              <w:jc w:val="both"/>
              <w:rPr>
                <w:rFonts w:eastAsia="Times New Roman" w:cs="Calibri"/>
                <w:noProof/>
              </w:rPr>
            </w:pPr>
            <w:r>
              <w:rPr>
                <w:noProof/>
              </w:rPr>
              <w:t>4. CET.</w:t>
            </w:r>
          </w:p>
        </w:tc>
        <w:tc>
          <w:tcPr>
            <w:tcW w:w="708" w:type="dxa"/>
            <w:shd w:val="clear" w:color="auto" w:fill="C4EFCE"/>
            <w:noWrap/>
            <w:vAlign w:val="center"/>
            <w:hideMark/>
          </w:tcPr>
          <w:p w14:paraId="071698D9"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8F276C1" w14:textId="77777777" w:rsidR="00776A1F" w:rsidRDefault="00776A1F">
            <w:pPr>
              <w:spacing w:after="0" w:line="240" w:lineRule="auto"/>
              <w:jc w:val="both"/>
              <w:rPr>
                <w:rFonts w:ascii="Calibri" w:eastAsia="Times New Roman" w:hAnsi="Calibri" w:cs="Calibri"/>
                <w:noProof/>
                <w:sz w:val="16"/>
              </w:rPr>
            </w:pPr>
          </w:p>
          <w:p w14:paraId="58C28D3F" w14:textId="77777777" w:rsidR="00776A1F" w:rsidRDefault="00D8574B">
            <w:pPr>
              <w:pStyle w:val="P68B1DB1-Normal8"/>
              <w:spacing w:after="0" w:line="240" w:lineRule="auto"/>
              <w:jc w:val="both"/>
              <w:rPr>
                <w:rFonts w:eastAsia="Times New Roman" w:cs="Calibri"/>
                <w:noProof/>
              </w:rPr>
            </w:pPr>
            <w:r>
              <w:rPr>
                <w:noProof/>
              </w:rPr>
              <w:t>Centrālās valdības renovēto ēku platība. Ar energoefektivitātes renovāciju vidēji panāk vismaz vidēja līmeņa renovāciju, kā noteikts Komisijas Ieteikumā (ES) 2019/786 par ēku renovāciju.</w:t>
            </w:r>
          </w:p>
        </w:tc>
      </w:tr>
      <w:tr w:rsidR="00776A1F" w14:paraId="6107EFB2" w14:textId="77777777">
        <w:trPr>
          <w:trHeight w:val="1791"/>
        </w:trPr>
        <w:tc>
          <w:tcPr>
            <w:tcW w:w="1135" w:type="dxa"/>
            <w:shd w:val="clear" w:color="auto" w:fill="C4EFCE"/>
            <w:vAlign w:val="center"/>
            <w:hideMark/>
          </w:tcPr>
          <w:p w14:paraId="6E63D5C7" w14:textId="77777777" w:rsidR="00776A1F" w:rsidRDefault="00D8574B">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070D1DC5" w14:textId="77777777" w:rsidR="00776A1F" w:rsidRDefault="00D8574B">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1D3BC664"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936AA2B" w14:textId="77777777" w:rsidR="00776A1F" w:rsidRDefault="00D8574B">
            <w:pPr>
              <w:pStyle w:val="P68B1DB1-Normal8"/>
              <w:spacing w:after="0" w:line="240" w:lineRule="auto"/>
              <w:jc w:val="both"/>
              <w:rPr>
                <w:rFonts w:eastAsia="Times New Roman" w:cs="Calibri"/>
                <w:noProof/>
              </w:rPr>
            </w:pPr>
            <w:r>
              <w:rPr>
                <w:noProof/>
              </w:rPr>
              <w:t xml:space="preserve">Papildu atjaunīgās enerģijas ražošanas jauda pašpatēriņam un izmantošanai atjaunojamo energoresursu energokopienās centrālās valdības ēkās </w:t>
            </w:r>
          </w:p>
        </w:tc>
        <w:tc>
          <w:tcPr>
            <w:tcW w:w="1275" w:type="dxa"/>
            <w:shd w:val="clear" w:color="auto" w:fill="C4EFCE"/>
            <w:noWrap/>
            <w:vAlign w:val="center"/>
            <w:hideMark/>
          </w:tcPr>
          <w:p w14:paraId="612B042B"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4A4BC993" w14:textId="77777777" w:rsidR="00776A1F" w:rsidRDefault="00D8574B">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5880F214"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65D3D5C3" w14:textId="77777777" w:rsidR="00776A1F" w:rsidRDefault="00D8574B">
            <w:pPr>
              <w:pStyle w:val="P68B1DB1-Normal8"/>
              <w:spacing w:after="0" w:line="240" w:lineRule="auto"/>
              <w:jc w:val="both"/>
              <w:rPr>
                <w:rFonts w:eastAsia="Times New Roman" w:cs="Calibri"/>
                <w:noProof/>
              </w:rPr>
            </w:pPr>
            <w:r>
              <w:rPr>
                <w:noProof/>
              </w:rPr>
              <w:t>28</w:t>
            </w:r>
          </w:p>
        </w:tc>
        <w:tc>
          <w:tcPr>
            <w:tcW w:w="426" w:type="dxa"/>
            <w:shd w:val="clear" w:color="auto" w:fill="C4EFCE"/>
            <w:noWrap/>
            <w:vAlign w:val="center"/>
            <w:hideMark/>
          </w:tcPr>
          <w:p w14:paraId="0ABC7448" w14:textId="77777777" w:rsidR="00776A1F" w:rsidRDefault="00D8574B">
            <w:pPr>
              <w:pStyle w:val="P68B1DB1-Normal8"/>
              <w:spacing w:after="0" w:line="240" w:lineRule="auto"/>
              <w:jc w:val="both"/>
              <w:rPr>
                <w:rFonts w:eastAsia="Times New Roman" w:cs="Calibri"/>
                <w:noProof/>
              </w:rPr>
            </w:pPr>
            <w:r>
              <w:rPr>
                <w:noProof/>
              </w:rPr>
              <w:t>4. CET.</w:t>
            </w:r>
          </w:p>
        </w:tc>
        <w:tc>
          <w:tcPr>
            <w:tcW w:w="708" w:type="dxa"/>
            <w:shd w:val="clear" w:color="auto" w:fill="C4EFCE"/>
            <w:noWrap/>
            <w:vAlign w:val="center"/>
            <w:hideMark/>
          </w:tcPr>
          <w:p w14:paraId="7AC5AAD8"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C38259F" w14:textId="77777777" w:rsidR="00776A1F" w:rsidRDefault="00D8574B">
            <w:pPr>
              <w:pStyle w:val="P68B1DB1-Normal8"/>
              <w:spacing w:after="0" w:line="240" w:lineRule="auto"/>
              <w:jc w:val="both"/>
              <w:rPr>
                <w:rFonts w:eastAsia="Times New Roman" w:cs="Calibri"/>
                <w:noProof/>
              </w:rPr>
            </w:pPr>
            <w:r>
              <w:rPr>
                <w:noProof/>
              </w:rPr>
              <w:t xml:space="preserve">Papildu atjaunīgās enerģijas ražošanas jauda (piemēram, fotoelementu paneļi un akumulatori, kad šī tehnoloģija nobriedusi) pašpatēriņam un izmantošanai centrālās valdības ēku atjaunojamās enerģijas kopienās. </w:t>
            </w:r>
          </w:p>
        </w:tc>
      </w:tr>
      <w:tr w:rsidR="00776A1F" w14:paraId="315A0896" w14:textId="77777777">
        <w:trPr>
          <w:trHeight w:val="630"/>
        </w:trPr>
        <w:tc>
          <w:tcPr>
            <w:tcW w:w="1135" w:type="dxa"/>
            <w:shd w:val="clear" w:color="auto" w:fill="C4EFCE"/>
            <w:vAlign w:val="center"/>
            <w:hideMark/>
          </w:tcPr>
          <w:p w14:paraId="08835C94" w14:textId="77777777" w:rsidR="00776A1F" w:rsidRDefault="00D8574B">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hideMark/>
          </w:tcPr>
          <w:p w14:paraId="3283563C" w14:textId="77777777" w:rsidR="00776A1F" w:rsidRDefault="00D8574B">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39005AC"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7369B6E" w14:textId="77777777" w:rsidR="00776A1F" w:rsidRDefault="00D8574B">
            <w:pPr>
              <w:pStyle w:val="P68B1DB1-Normal8"/>
              <w:spacing w:after="0" w:line="240" w:lineRule="auto"/>
              <w:jc w:val="both"/>
              <w:rPr>
                <w:rFonts w:eastAsia="Times New Roman" w:cs="Calibri"/>
                <w:noProof/>
              </w:rPr>
            </w:pPr>
            <w:r>
              <w:rPr>
                <w:noProof/>
              </w:rPr>
              <w:t>Privāto pakalpojumu ēku energoefektivitātes renovācija</w:t>
            </w:r>
          </w:p>
        </w:tc>
        <w:tc>
          <w:tcPr>
            <w:tcW w:w="1275" w:type="dxa"/>
            <w:shd w:val="clear" w:color="auto" w:fill="C4EFCE"/>
            <w:noWrap/>
            <w:vAlign w:val="center"/>
            <w:hideMark/>
          </w:tcPr>
          <w:p w14:paraId="04F5C639"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63C2248A" w14:textId="77777777" w:rsidR="00776A1F" w:rsidRDefault="00D8574B">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2A00A5F0"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75EABFED" w14:textId="77777777" w:rsidR="00776A1F" w:rsidRDefault="00D8574B">
            <w:pPr>
              <w:pStyle w:val="P68B1DB1-Normal8"/>
              <w:spacing w:after="0" w:line="240" w:lineRule="auto"/>
              <w:jc w:val="both"/>
              <w:rPr>
                <w:rFonts w:eastAsia="Times New Roman" w:cs="Calibri"/>
                <w:noProof/>
              </w:rPr>
            </w:pPr>
            <w:r>
              <w:rPr>
                <w:noProof/>
              </w:rPr>
              <w:t>315 000</w:t>
            </w:r>
          </w:p>
        </w:tc>
        <w:tc>
          <w:tcPr>
            <w:tcW w:w="426" w:type="dxa"/>
            <w:shd w:val="clear" w:color="auto" w:fill="C4EFCE"/>
            <w:noWrap/>
            <w:vAlign w:val="center"/>
            <w:hideMark/>
          </w:tcPr>
          <w:p w14:paraId="49D1DBD6" w14:textId="77777777" w:rsidR="00776A1F" w:rsidRDefault="00D8574B">
            <w:pPr>
              <w:pStyle w:val="P68B1DB1-Normal8"/>
              <w:spacing w:after="0" w:line="240" w:lineRule="auto"/>
              <w:jc w:val="both"/>
              <w:rPr>
                <w:rFonts w:eastAsia="Times New Roman" w:cs="Calibri"/>
                <w:noProof/>
              </w:rPr>
            </w:pPr>
            <w:r>
              <w:rPr>
                <w:noProof/>
              </w:rPr>
              <w:t>1. CET.</w:t>
            </w:r>
          </w:p>
        </w:tc>
        <w:tc>
          <w:tcPr>
            <w:tcW w:w="708" w:type="dxa"/>
            <w:shd w:val="clear" w:color="auto" w:fill="C4EFCE"/>
            <w:noWrap/>
            <w:vAlign w:val="center"/>
            <w:hideMark/>
          </w:tcPr>
          <w:p w14:paraId="12EB7A96"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6ECA77CC" w14:textId="77777777" w:rsidR="00776A1F" w:rsidRDefault="00776A1F">
            <w:pPr>
              <w:spacing w:after="0" w:line="240" w:lineRule="auto"/>
              <w:jc w:val="both"/>
              <w:rPr>
                <w:rFonts w:ascii="Calibri" w:eastAsia="Times New Roman" w:hAnsi="Calibri" w:cs="Calibri"/>
                <w:noProof/>
                <w:sz w:val="16"/>
              </w:rPr>
            </w:pPr>
          </w:p>
          <w:p w14:paraId="6862CCDC" w14:textId="77777777" w:rsidR="00776A1F" w:rsidRDefault="00D8574B">
            <w:pPr>
              <w:pStyle w:val="P68B1DB1-Normal8"/>
              <w:spacing w:after="0" w:line="240" w:lineRule="auto"/>
              <w:jc w:val="both"/>
              <w:rPr>
                <w:rFonts w:eastAsia="Times New Roman" w:cs="Calibri"/>
                <w:noProof/>
              </w:rPr>
            </w:pPr>
            <w:r>
              <w:rPr>
                <w:noProof/>
              </w:rPr>
              <w:t>Renovēto ēku platība, ko izmanto privātie dienesti. Ar energoefektivitātes renovāciju vidēji panāk vismaz vidēja līmeņa renovāciju, kā noteikts Komisijas Ieteikumā (ES) 2019/786 par ēku renovāciju.</w:t>
            </w:r>
          </w:p>
        </w:tc>
      </w:tr>
      <w:tr w:rsidR="00776A1F" w14:paraId="7CEEEEA3" w14:textId="77777777">
        <w:trPr>
          <w:trHeight w:val="630"/>
        </w:trPr>
        <w:tc>
          <w:tcPr>
            <w:tcW w:w="1135" w:type="dxa"/>
            <w:shd w:val="clear" w:color="auto" w:fill="C4EFCE"/>
            <w:vAlign w:val="center"/>
            <w:hideMark/>
          </w:tcPr>
          <w:p w14:paraId="1558A3B7" w14:textId="77777777" w:rsidR="00776A1F" w:rsidRDefault="00D8574B">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048D644C" w14:textId="77777777" w:rsidR="00776A1F" w:rsidRDefault="00D8574B">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3F4D6FA8"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8C154C7" w14:textId="77777777" w:rsidR="00776A1F" w:rsidRDefault="00D8574B">
            <w:pPr>
              <w:pStyle w:val="P68B1DB1-Normal8"/>
              <w:spacing w:after="0" w:line="240" w:lineRule="auto"/>
              <w:jc w:val="both"/>
              <w:rPr>
                <w:rFonts w:eastAsia="Times New Roman" w:cs="Calibri"/>
                <w:noProof/>
              </w:rPr>
            </w:pPr>
            <w:r>
              <w:rPr>
                <w:noProof/>
              </w:rPr>
              <w:t>Privāto pakalpojumu ēku energoefektivitātes renovācija</w:t>
            </w:r>
          </w:p>
        </w:tc>
        <w:tc>
          <w:tcPr>
            <w:tcW w:w="1275" w:type="dxa"/>
            <w:shd w:val="clear" w:color="auto" w:fill="C4EFCE"/>
            <w:noWrap/>
            <w:vAlign w:val="center"/>
            <w:hideMark/>
          </w:tcPr>
          <w:p w14:paraId="4BDE1A7A"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22AA9F67" w14:textId="77777777" w:rsidR="00776A1F" w:rsidRDefault="00D8574B">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06B1E72C" w14:textId="77777777" w:rsidR="00776A1F" w:rsidRDefault="00D8574B">
            <w:pPr>
              <w:pStyle w:val="P68B1DB1-Normal8"/>
              <w:spacing w:after="0" w:line="240" w:lineRule="auto"/>
              <w:jc w:val="center"/>
              <w:rPr>
                <w:rFonts w:eastAsia="Times New Roman" w:cs="Calibri"/>
                <w:noProof/>
              </w:rPr>
            </w:pPr>
            <w:r>
              <w:rPr>
                <w:noProof/>
              </w:rPr>
              <w:t>315 000</w:t>
            </w:r>
          </w:p>
        </w:tc>
        <w:tc>
          <w:tcPr>
            <w:tcW w:w="992" w:type="dxa"/>
            <w:shd w:val="clear" w:color="auto" w:fill="C4EFCE"/>
            <w:noWrap/>
            <w:vAlign w:val="center"/>
            <w:hideMark/>
          </w:tcPr>
          <w:p w14:paraId="71FE31A9" w14:textId="77777777" w:rsidR="00776A1F" w:rsidRDefault="00D8574B">
            <w:pPr>
              <w:pStyle w:val="P68B1DB1-Normal8"/>
              <w:spacing w:after="0" w:line="240" w:lineRule="auto"/>
              <w:jc w:val="both"/>
              <w:rPr>
                <w:rFonts w:eastAsia="Times New Roman" w:cs="Calibri"/>
                <w:noProof/>
              </w:rPr>
            </w:pPr>
            <w:r>
              <w:rPr>
                <w:noProof/>
              </w:rPr>
              <w:t>360 000</w:t>
            </w:r>
          </w:p>
        </w:tc>
        <w:tc>
          <w:tcPr>
            <w:tcW w:w="426" w:type="dxa"/>
            <w:shd w:val="clear" w:color="auto" w:fill="C4EFCE"/>
            <w:noWrap/>
            <w:vAlign w:val="center"/>
            <w:hideMark/>
          </w:tcPr>
          <w:p w14:paraId="3FC426D1" w14:textId="77777777" w:rsidR="00776A1F" w:rsidRDefault="00D8574B">
            <w:pPr>
              <w:pStyle w:val="P68B1DB1-Normal8"/>
              <w:spacing w:after="0" w:line="240" w:lineRule="auto"/>
              <w:jc w:val="both"/>
              <w:rPr>
                <w:rFonts w:eastAsia="Times New Roman" w:cs="Calibri"/>
                <w:noProof/>
              </w:rPr>
            </w:pPr>
            <w:r>
              <w:rPr>
                <w:noProof/>
              </w:rPr>
              <w:t>4. CET.</w:t>
            </w:r>
          </w:p>
        </w:tc>
        <w:tc>
          <w:tcPr>
            <w:tcW w:w="708" w:type="dxa"/>
            <w:shd w:val="clear" w:color="auto" w:fill="C4EFCE"/>
            <w:noWrap/>
            <w:vAlign w:val="center"/>
            <w:hideMark/>
          </w:tcPr>
          <w:p w14:paraId="6311F4AB"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42E42EAB" w14:textId="77777777" w:rsidR="00776A1F" w:rsidRDefault="00776A1F">
            <w:pPr>
              <w:spacing w:after="0" w:line="240" w:lineRule="auto"/>
              <w:jc w:val="both"/>
              <w:rPr>
                <w:rFonts w:ascii="Calibri" w:eastAsia="Times New Roman" w:hAnsi="Calibri" w:cs="Calibri"/>
                <w:noProof/>
                <w:sz w:val="16"/>
              </w:rPr>
            </w:pPr>
          </w:p>
          <w:p w14:paraId="46DF3B33" w14:textId="77777777" w:rsidR="00776A1F" w:rsidRDefault="00D8574B">
            <w:pPr>
              <w:pStyle w:val="P68B1DB1-Normal8"/>
              <w:spacing w:after="0" w:line="240" w:lineRule="auto"/>
              <w:jc w:val="both"/>
              <w:rPr>
                <w:rFonts w:eastAsia="Times New Roman" w:cs="Calibri"/>
                <w:noProof/>
              </w:rPr>
            </w:pPr>
            <w:r>
              <w:rPr>
                <w:noProof/>
              </w:rPr>
              <w:t>Privāto pakalpojumu sektorā izmantoto renovēto ēku platība. Ar energoefektivitātes renovāciju vidēji panāk vismaz vidēja līmeņa renovāciju, kā noteikts Komisijas Ieteikumā (ES) 2019/786 par ēku renovāciju.</w:t>
            </w:r>
          </w:p>
        </w:tc>
      </w:tr>
      <w:tr w:rsidR="00776A1F" w14:paraId="5F36D45E" w14:textId="77777777">
        <w:trPr>
          <w:trHeight w:val="1995"/>
        </w:trPr>
        <w:tc>
          <w:tcPr>
            <w:tcW w:w="1135" w:type="dxa"/>
            <w:shd w:val="clear" w:color="auto" w:fill="C4EFCE"/>
            <w:vAlign w:val="center"/>
            <w:hideMark/>
          </w:tcPr>
          <w:p w14:paraId="4985012C" w14:textId="77777777" w:rsidR="00776A1F" w:rsidRDefault="00D8574B">
            <w:pPr>
              <w:pStyle w:val="P68B1DB1-Normal7"/>
              <w:spacing w:after="0" w:line="240" w:lineRule="auto"/>
              <w:jc w:val="center"/>
              <w:rPr>
                <w:rFonts w:eastAsia="Times New Roman" w:cs="Calibri"/>
                <w:noProof/>
              </w:rPr>
            </w:pPr>
            <w:r>
              <w:rPr>
                <w:noProof/>
              </w:rPr>
              <w:t>13.10</w:t>
            </w:r>
          </w:p>
        </w:tc>
        <w:tc>
          <w:tcPr>
            <w:tcW w:w="1276" w:type="dxa"/>
            <w:shd w:val="clear" w:color="auto" w:fill="C4EFCE"/>
            <w:noWrap/>
            <w:vAlign w:val="center"/>
            <w:hideMark/>
          </w:tcPr>
          <w:p w14:paraId="0E8ACC47" w14:textId="77777777" w:rsidR="00776A1F" w:rsidRDefault="00D8574B">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DCB8AB8" w14:textId="77777777" w:rsidR="00776A1F" w:rsidRDefault="00D8574B">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0495A743" w14:textId="77777777" w:rsidR="00776A1F" w:rsidRDefault="00D8574B">
            <w:pPr>
              <w:pStyle w:val="P68B1DB1-Normal8"/>
              <w:spacing w:after="0" w:line="240" w:lineRule="auto"/>
              <w:jc w:val="both"/>
              <w:rPr>
                <w:rFonts w:eastAsia="Times New Roman" w:cs="Calibri"/>
                <w:noProof/>
              </w:rPr>
            </w:pPr>
            <w:r>
              <w:rPr>
                <w:noProof/>
              </w:rPr>
              <w:t xml:space="preserve">Papildu atjaunīgās enerģijas ražošanas jauda pašpatēriņam un izmantošanai atjaunojamo energoresursu energokopienās privāto pakalpojumu sektorā </w:t>
            </w:r>
          </w:p>
        </w:tc>
        <w:tc>
          <w:tcPr>
            <w:tcW w:w="1275" w:type="dxa"/>
            <w:shd w:val="clear" w:color="auto" w:fill="C4EFCE"/>
            <w:noWrap/>
            <w:vAlign w:val="center"/>
            <w:hideMark/>
          </w:tcPr>
          <w:p w14:paraId="7C3E76E6" w14:textId="77777777" w:rsidR="00776A1F" w:rsidRDefault="00D8574B">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0364534A" w14:textId="77777777" w:rsidR="00776A1F" w:rsidRDefault="00D8574B">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3ADBE991" w14:textId="77777777" w:rsidR="00776A1F" w:rsidRDefault="00D8574B">
            <w:pPr>
              <w:pStyle w:val="P68B1DB1-Normal8"/>
              <w:spacing w:after="0" w:line="240" w:lineRule="auto"/>
              <w:jc w:val="both"/>
              <w:rPr>
                <w:rFonts w:eastAsia="Times New Roman" w:cs="Calibri"/>
                <w:noProof/>
              </w:rPr>
            </w:pPr>
            <w:r>
              <w:rPr>
                <w:noProof/>
              </w:rPr>
              <w:t>0</w:t>
            </w:r>
          </w:p>
        </w:tc>
        <w:tc>
          <w:tcPr>
            <w:tcW w:w="992" w:type="dxa"/>
            <w:shd w:val="clear" w:color="auto" w:fill="C4EFCE"/>
            <w:noWrap/>
            <w:vAlign w:val="center"/>
            <w:hideMark/>
          </w:tcPr>
          <w:p w14:paraId="219C358C" w14:textId="77777777" w:rsidR="00776A1F" w:rsidRDefault="00D8574B">
            <w:pPr>
              <w:pStyle w:val="P68B1DB1-Normal8"/>
              <w:spacing w:after="0" w:line="240" w:lineRule="auto"/>
              <w:jc w:val="both"/>
              <w:rPr>
                <w:rFonts w:eastAsia="Times New Roman" w:cs="Calibri"/>
                <w:noProof/>
              </w:rPr>
            </w:pPr>
            <w:r>
              <w:rPr>
                <w:noProof/>
              </w:rPr>
              <w:t>30</w:t>
            </w:r>
          </w:p>
        </w:tc>
        <w:tc>
          <w:tcPr>
            <w:tcW w:w="426" w:type="dxa"/>
            <w:shd w:val="clear" w:color="auto" w:fill="C4EFCE"/>
            <w:noWrap/>
            <w:vAlign w:val="center"/>
            <w:hideMark/>
          </w:tcPr>
          <w:p w14:paraId="00BEF57C" w14:textId="77777777" w:rsidR="00776A1F" w:rsidRDefault="00D8574B">
            <w:pPr>
              <w:pStyle w:val="P68B1DB1-Normal8"/>
              <w:spacing w:after="0" w:line="240" w:lineRule="auto"/>
              <w:jc w:val="both"/>
              <w:rPr>
                <w:rFonts w:eastAsia="Times New Roman" w:cs="Calibri"/>
                <w:noProof/>
              </w:rPr>
            </w:pPr>
            <w:r>
              <w:rPr>
                <w:noProof/>
              </w:rPr>
              <w:t>4. CET.</w:t>
            </w:r>
          </w:p>
        </w:tc>
        <w:tc>
          <w:tcPr>
            <w:tcW w:w="708" w:type="dxa"/>
            <w:shd w:val="clear" w:color="auto" w:fill="C4EFCE"/>
            <w:noWrap/>
            <w:vAlign w:val="center"/>
            <w:hideMark/>
          </w:tcPr>
          <w:p w14:paraId="38DC3D4F" w14:textId="77777777" w:rsidR="00776A1F" w:rsidRDefault="00D8574B">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7428E06E" w14:textId="77777777" w:rsidR="00776A1F" w:rsidRDefault="00D8574B">
            <w:pPr>
              <w:pStyle w:val="P68B1DB1-Normal8"/>
              <w:spacing w:after="0" w:line="240" w:lineRule="auto"/>
              <w:jc w:val="both"/>
              <w:rPr>
                <w:rFonts w:eastAsia="Times New Roman" w:cs="Calibri"/>
                <w:noProof/>
              </w:rPr>
            </w:pPr>
            <w:r>
              <w:rPr>
                <w:noProof/>
              </w:rPr>
              <w:t>Papildu atjaunīgās enerģijas ražošanas jauda (piemēram, fotoelementu paneļi un akumulatori, kad šī tehnoloģija nobriedusi) pašpatēriņam un izmantošanai atjaunojamo energoresursu energokopienās privāto pakalpojumu sektorā.</w:t>
            </w:r>
          </w:p>
        </w:tc>
      </w:tr>
    </w:tbl>
    <w:p w14:paraId="557E1674" w14:textId="77777777" w:rsidR="00776A1F" w:rsidRDefault="00776A1F">
      <w:pPr>
        <w:spacing w:before="40" w:after="0" w:line="259" w:lineRule="auto"/>
        <w:jc w:val="both"/>
        <w:rPr>
          <w:rFonts w:ascii="Times New Roman" w:eastAsiaTheme="minorEastAsia" w:hAnsi="Times New Roman" w:cs="Times New Roman"/>
          <w:noProof/>
          <w:sz w:val="24"/>
        </w:rPr>
      </w:pPr>
    </w:p>
    <w:p w14:paraId="61304717" w14:textId="77777777" w:rsidR="00776A1F" w:rsidRDefault="00776A1F">
      <w:pPr>
        <w:spacing w:before="40" w:after="0" w:line="259" w:lineRule="auto"/>
        <w:jc w:val="both"/>
        <w:rPr>
          <w:rFonts w:ascii="Times New Roman" w:eastAsiaTheme="minorEastAsia" w:hAnsi="Times New Roman" w:cs="Times New Roman"/>
          <w:noProof/>
          <w:sz w:val="24"/>
        </w:rPr>
      </w:pPr>
    </w:p>
    <w:p w14:paraId="2EA2F20F" w14:textId="77777777" w:rsidR="00776A1F" w:rsidRDefault="00776A1F">
      <w:pPr>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264"/>
          <w:headerReference w:type="default" r:id="rId265"/>
          <w:footerReference w:type="even" r:id="rId266"/>
          <w:footerReference w:type="default" r:id="rId267"/>
          <w:headerReference w:type="first" r:id="rId268"/>
          <w:footerReference w:type="first" r:id="rId269"/>
          <w:pgSz w:w="16839" w:h="11907" w:orient="landscape"/>
          <w:pgMar w:top="1134" w:right="1134" w:bottom="1134" w:left="1134" w:header="567" w:footer="567" w:gutter="0"/>
          <w:cols w:space="720"/>
          <w:docGrid w:linePitch="360"/>
        </w:sectPr>
      </w:pPr>
    </w:p>
    <w:p w14:paraId="3C2CFB1F"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N. 14. SASTĀVDAĻA: Ūdeņradis un atjaunojamie energoresursi</w:t>
      </w:r>
    </w:p>
    <w:p w14:paraId="24AAADA7" w14:textId="77777777" w:rsidR="00776A1F" w:rsidRDefault="00D8574B">
      <w:pPr>
        <w:pStyle w:val="P68B1DB1-Normal4"/>
        <w:spacing w:before="40" w:after="0" w:line="259" w:lineRule="auto"/>
        <w:jc w:val="both"/>
        <w:rPr>
          <w:rFonts w:eastAsiaTheme="minorEastAsia" w:cs="Times New Roman"/>
          <w:noProof/>
        </w:rPr>
      </w:pPr>
      <w:r>
        <w:rPr>
          <w:noProof/>
        </w:rPr>
        <w:t>Portugāle ir apņēmusies līdz 2050. gadam panākt oglekļneitralitāti, pozicionējot valsti starp tiem, kas saskaņā ar Parīzes nolīgumu uzņemas vadību cīņā pret klimata pārmaiņām. Oglekļa neitralitātes ceļvedī 2050. gadam (RNC 2050) kā dekarbonizācijas mērķi ir noteikts, ka emisijas jāsamazina par vairāk nekā 85 % salīdzinājumā ar 2005. gada emisijām un 13000000 tonnu oglekļa sekvestrēšanas jauda. Komponents pievēršas tā dēvētajām grūti dekarbonizējamām nozarēm, veicinot atjaunīgā ūdeņraža ieviešanu.</w:t>
      </w:r>
    </w:p>
    <w:p w14:paraId="42D4ADE5" w14:textId="77777777" w:rsidR="00776A1F" w:rsidRDefault="00D8574B">
      <w:pPr>
        <w:pStyle w:val="P68B1DB1-Normal4"/>
        <w:spacing w:before="40" w:after="0" w:line="259" w:lineRule="auto"/>
        <w:jc w:val="both"/>
        <w:rPr>
          <w:rFonts w:eastAsiaTheme="minorEastAsia" w:cs="Times New Roman"/>
          <w:noProof/>
        </w:rPr>
      </w:pPr>
      <w:r>
        <w:rPr>
          <w:noProof/>
        </w:rPr>
        <w:t>Komponenta mērķi ir veicināt enerģētikas pārkārtošanu un rūpniecības un transporta dekarbonizāciju, īpašu uzmanību pievēršot atjaunīgā ūdeņraža un citu atjaunīgo gāzu ražošanai. Autonomo reģionu gadījumā galvenā uzmanība tiek pievērsta atjaunīgās enerģijas (ģeotermālā, vēja, fotoelementu un hidroenerģija) izvēršanai un uzkrāšanai. Šim komponentam ir būtiska nozīme, lai samazinātu valstu energoatkarību, ražojot enerģiju no vietējiem avotiem, uzlabotu tirdzniecības bilanci un uzlabotu iekšzemes ekonomikas noturību.</w:t>
      </w:r>
    </w:p>
    <w:p w14:paraId="741FF5F1" w14:textId="77777777" w:rsidR="00776A1F" w:rsidRDefault="00D8574B">
      <w:pPr>
        <w:pStyle w:val="P68B1DB1-Normal4"/>
        <w:spacing w:before="40" w:after="0" w:line="259" w:lineRule="auto"/>
        <w:jc w:val="both"/>
        <w:rPr>
          <w:rFonts w:eastAsiaTheme="minorEastAsia" w:cs="Times New Roman"/>
          <w:noProof/>
        </w:rPr>
      </w:pPr>
      <w:r>
        <w:rPr>
          <w:noProof/>
        </w:rPr>
        <w:t>Komponents atbalsta konkrētai valstij adresētā ieteikuma īstenošanu, lai koncentrētu investīcijas uz klimatisko pārkārtošanos, galveno uzmanību pievēršot atjaunīgās enerģijas ražošanai (valsts īpašais ieteikums Nr. 3 2019 un 2020).</w:t>
      </w:r>
    </w:p>
    <w:p w14:paraId="092B10E5"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5433DBDC"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N.1. Neatmaksājamam finansiālajam atbalstam pieteikto reformu un investīciju apraksts</w:t>
      </w:r>
    </w:p>
    <w:p w14:paraId="64866960"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TC-r29 reforma: Nacionālā ūdeņraža stratēģija (EN-H2)</w:t>
      </w:r>
    </w:p>
    <w:p w14:paraId="13857BA4" w14:textId="77777777" w:rsidR="00776A1F" w:rsidRDefault="00D8574B">
      <w:pPr>
        <w:pStyle w:val="P68B1DB1-Normal4"/>
        <w:spacing w:before="40" w:after="0" w:line="259" w:lineRule="auto"/>
        <w:jc w:val="both"/>
        <w:rPr>
          <w:rFonts w:eastAsiaTheme="minorEastAsia" w:cs="Times New Roman"/>
          <w:noProof/>
        </w:rPr>
      </w:pPr>
      <w:r>
        <w:rPr>
          <w:noProof/>
        </w:rPr>
        <w:t>Pasākuma mērķis ir ieviest stimulu un stabilitātes elementu enerģētikas nozarē, veicinot atjaunīgā ūdeņraža pakāpenisku ieviešanu kā ilgtspējīgu pīlāru visaptverošākā stratēģijā pārejai uz dekarbonizētu ekonomiku. Šī stratēģija nosaka ūdeņraža pašreizējo un turpmāko lomu energosistēmā un ierosina pasākumu un mērķu kopumu ūdeņraža iekļaušanai dažādās ekonomikas nozarēs. Tas ietver arī nepieciešamo apstākļu radīšanu šai pārejai, tostarp tiesību aktus un regulējumu, drošību, standartus, inovāciju un attīstību, kā arī finansēšanu. Pasākums attiecas uz grozītajiem noteikumiem par valsts gāzes pārvades tīklu un Valsts gāzes sadales tīkla noteikumiem, kas jāapstiprina Enerģētikas un ģeoloģijas ģenerāldirektorātam. Grozītā regula ļauj noteikt nosacījumus savienojumiem ar gāzes pārvades infrastruktūrām, jo īpaši attiecībā uz atjaunīgo gāzu, tostarp atjaunīgā ūdeņraža un mazoglekļa gāzu, iesūknēšanu, kā arī noteikt minimālo un maksimālo procentuālo daļu šo gāzu iesūknēšanai tīklos. Turklāt grozītajā regulā iekļauj vajadzīgos grozījumus tehniskajos standartos, kas nodrošina pakalpojuma kvalitāti un šo infrastruktūru drošu izmantošanu visiem lietotājiem.</w:t>
      </w:r>
    </w:p>
    <w:p w14:paraId="02E50E69" w14:textId="77777777" w:rsidR="00776A1F" w:rsidRDefault="00D8574B">
      <w:pPr>
        <w:pStyle w:val="P68B1DB1-Normal4"/>
        <w:spacing w:before="40" w:after="0" w:line="259" w:lineRule="auto"/>
        <w:jc w:val="both"/>
        <w:rPr>
          <w:rFonts w:eastAsiaTheme="minorEastAsia" w:cs="Times New Roman"/>
          <w:noProof/>
        </w:rPr>
      </w:pPr>
      <w:r>
        <w:rPr>
          <w:noProof/>
        </w:rPr>
        <w:t>Reformas īstenošanu pabeidz līdz 2021. gada 30. septembrim.</w:t>
      </w:r>
    </w:p>
    <w:p w14:paraId="28667EBB"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Ieguldījums TC-C14-i01: Ūdeņradis un atjaunīgās gāzes</w:t>
      </w:r>
    </w:p>
    <w:p w14:paraId="7F188255" w14:textId="77777777" w:rsidR="00776A1F" w:rsidRDefault="00D8574B">
      <w:pPr>
        <w:pStyle w:val="P68B1DB1-Normal4"/>
        <w:spacing w:before="40" w:after="0" w:line="259" w:lineRule="auto"/>
        <w:jc w:val="both"/>
        <w:rPr>
          <w:rFonts w:eastAsiaTheme="minorEastAsia" w:cs="Times New Roman"/>
          <w:noProof/>
        </w:rPr>
      </w:pPr>
      <w:r>
        <w:rPr>
          <w:noProof/>
        </w:rPr>
        <w:t>Pasākuma mērķis ir atbalstīt privātus projektus atjaunīgā ūdeņraža un citu atjaunīgo gāzu ražošanai pašu patēriņam vai ievadīšanai tīklā.</w:t>
      </w:r>
    </w:p>
    <w:p w14:paraId="6A4CE2C6" w14:textId="77777777" w:rsidR="00776A1F" w:rsidRDefault="00D8574B">
      <w:pPr>
        <w:pStyle w:val="P68B1DB1-Normal4"/>
        <w:spacing w:before="40" w:after="0" w:line="259" w:lineRule="auto"/>
        <w:jc w:val="both"/>
        <w:rPr>
          <w:rFonts w:eastAsiaTheme="minorEastAsia" w:cs="Times New Roman"/>
          <w:noProof/>
        </w:rPr>
      </w:pPr>
      <w:r>
        <w:rPr>
          <w:noProof/>
        </w:rPr>
        <w:t xml:space="preserve">Investīcijas ietver darbības, kuru mērķis ir veicināt atjaunīgo gāzu ražošanu, uzglabāšanu, transportēšanu un sadali un kuru mērķis ir palielināt atjaunīgo gāzu devumu enerģijas patēriņā, samazināt SEG emisijas, samazināt energoatkarību un uzlabot energoapgādes drošību. Tiek atbalstīti dažādi lietojumi, piemēram, atjaunīgo gāzu izmantošana transportam un atjaunīgo gāzu ievadīšana dabasgāzes tīklā. </w:t>
      </w:r>
    </w:p>
    <w:p w14:paraId="22A4B55A" w14:textId="77777777" w:rsidR="00776A1F" w:rsidRDefault="00D8574B">
      <w:pPr>
        <w:pStyle w:val="P68B1DB1-Normal4"/>
        <w:spacing w:before="40" w:after="0" w:line="259" w:lineRule="auto"/>
        <w:jc w:val="both"/>
        <w:rPr>
          <w:rFonts w:eastAsiaTheme="minorEastAsia" w:cs="Times New Roman"/>
          <w:noProof/>
        </w:rPr>
      </w:pPr>
      <w:r>
        <w:rPr>
          <w:noProof/>
        </w:rPr>
        <w:t>Atjaunīgo gāzu, piemēram, atjaunīgā ūdeņraža vai biometāna, ražošanā, izmantojot tikai atjaunojamos energoresursus, var izmantot dažādas tehnoloģijas, piemēram: Elektrolīze; Termoķīmiskie un hidrotermiskie procesi; Bioloģiskie procesi (biofotolīze un fermentācija); Biogāzes bagātināšana no biomasas materiālu anaerobās noārdīšanās (neietverot biogāzes ražošanu); un metanizācija (atjaunīgais ūdeņradis apvienojumā ar reciklētu oglekļa dioksīdu).</w:t>
      </w:r>
    </w:p>
    <w:p w14:paraId="23CDF4FF" w14:textId="348261AB" w:rsidR="00776A1F" w:rsidRDefault="00D8574B">
      <w:pPr>
        <w:pStyle w:val="P68B1DB1-Normal4"/>
        <w:spacing w:before="40" w:after="0" w:line="259" w:lineRule="auto"/>
        <w:jc w:val="both"/>
        <w:rPr>
          <w:rFonts w:eastAsiaTheme="minorEastAsia" w:cs="Times New Roman"/>
          <w:noProof/>
        </w:rPr>
      </w:pPr>
      <w:r>
        <w:rPr>
          <w:noProof/>
        </w:rPr>
        <w:t>Investīcijām ir ļoti īpaša uzmanība, un to mērķis ir palielināt uzstādīto jaudu atjaunīgā ūdeņraža un citu atjaunīgo gāzu ražošanai, tostarp uzstādīto jaudu elektrolīzeros atjaunīgā ūdeņraža ražošanai. Projektu īsteno, izmantojot atklātus un nediskriminējošus uzaicinājumus iesniegt piedāvājumus, kuru mērķis ir atbalstīt projektus, nepārsniedzot EUR 15000000 vienam projektam.</w:t>
      </w:r>
    </w:p>
    <w:p w14:paraId="2F3C9010" w14:textId="0A561EF2" w:rsidR="00776A1F" w:rsidRDefault="00D8574B">
      <w:pPr>
        <w:pStyle w:val="P68B1DB1-Normal4"/>
        <w:spacing w:before="40" w:after="0" w:line="259" w:lineRule="auto"/>
        <w:jc w:val="both"/>
        <w:rPr>
          <w:rFonts w:eastAsiaTheme="minorEastAsia" w:cs="Times New Roman"/>
          <w:noProof/>
        </w:rPr>
      </w:pPr>
      <w:r>
        <w:rPr>
          <w:noProof/>
        </w:rPr>
        <w:t>Investīciju īstenošanu pabeidz līdz 2026. gada 31. martam.</w:t>
      </w:r>
    </w:p>
    <w:p w14:paraId="416F7CD8"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Ieguldījums TC-C14-i02-RAM: Atjaunojamās elektroenerģijas potenciācija Madeiras arhipelāgā</w:t>
      </w:r>
    </w:p>
    <w:p w14:paraId="6D154BCC" w14:textId="77777777" w:rsidR="00776A1F" w:rsidRDefault="00D8574B">
      <w:pPr>
        <w:pStyle w:val="P68B1DB1-Normal4"/>
        <w:spacing w:before="40" w:after="0" w:line="259" w:lineRule="auto"/>
        <w:jc w:val="both"/>
        <w:rPr>
          <w:rFonts w:eastAsiaTheme="minorEastAsia" w:cs="Times New Roman"/>
          <w:noProof/>
        </w:rPr>
      </w:pPr>
      <w:r>
        <w:rPr>
          <w:noProof/>
        </w:rPr>
        <w:t xml:space="preserve">Pasākuma mērķis ir atbalstīt atjaunojamās enerģijas ražošanu, uzglabāšanu, pārvadi un sadali. Šajos ieguldījumos iekļautie projekti ļauj palielināt no atjaunojamajiem energoresursiem saražotās elektroenerģijas īpatsvaru, kas ir pieejams katrā salā. Šīs investīcijas palīdz īstenot elektroenerģijas ražošanas dekarbonizācijas stratēģiju, uzlabojot vietējās ekonomikas noturību. </w:t>
      </w:r>
    </w:p>
    <w:p w14:paraId="6509CF70" w14:textId="77777777" w:rsidR="00776A1F" w:rsidRDefault="00D8574B">
      <w:pPr>
        <w:pStyle w:val="P68B1DB1-Normal4"/>
        <w:spacing w:before="40" w:after="0" w:line="259" w:lineRule="auto"/>
        <w:jc w:val="both"/>
        <w:rPr>
          <w:rFonts w:eastAsiaTheme="minorEastAsia" w:cs="Times New Roman"/>
          <w:noProof/>
        </w:rPr>
      </w:pPr>
      <w:r>
        <w:rPr>
          <w:noProof/>
        </w:rPr>
        <w:t xml:space="preserve">Ieguldījums sastāv no šādiem apakšieguldījumiem: </w:t>
      </w:r>
    </w:p>
    <w:p w14:paraId="4467DF1E"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Ūdens Serra hidroelektrostacijas un Calheta I hidroelektrostacijas pilnīga atjaunošana un renovācija, atjaunojot uzstādīto jaudu 6,2 MW un palielinot uzstādīto jaudu, pievienojot 4 MW;</w:t>
      </w:r>
    </w:p>
    <w:p w14:paraId="5FE75D29"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Palielināt akumulatoru uzkrāšanas sistēmās uzstādīto jaudu, pievienojot uzglabāšanas jaudu vismaz 21 MW/27MWh apmērā;</w:t>
      </w:r>
    </w:p>
    <w:p w14:paraId="49EDD0E0"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Uzstāda jaunu sinhrono kompensatoru ar jaudu vismaz 15 MVAr;</w:t>
      </w:r>
    </w:p>
    <w:p w14:paraId="4372F931"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Palielināt elektroenerģijas tīkla jaudu, lai elektroenerģijas sistēmās atjaunojamos energoresursos integrētu jaunu uzstādīto jaudu vismaz 48 MW apmērā (40 MW Madeira + 8 MW Porto Santo);</w:t>
      </w:r>
    </w:p>
    <w:p w14:paraId="2CCEA225"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130000 savienotu viedo skaitītāju uzstādīšana un 8750 ielu apgaismojuma punktu nomaiņa ar zema enerģijas patēriņa risinājumiem (tostarp ielu apgaismojuma pārvaldības uzlabošana).</w:t>
      </w:r>
    </w:p>
    <w:p w14:paraId="0E2F3B03" w14:textId="77777777"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2025. gada 31. decembrim.</w:t>
      </w:r>
    </w:p>
    <w:p w14:paraId="44F7A633"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Ieguldījums TC-C14-i03-RAA: Enerģētikas pārkārtošana Azoru salās</w:t>
      </w:r>
    </w:p>
    <w:p w14:paraId="6BAFD0A3" w14:textId="77777777" w:rsidR="00776A1F" w:rsidRDefault="00D8574B">
      <w:pPr>
        <w:pStyle w:val="P68B1DB1-Normal4"/>
        <w:spacing w:before="40" w:after="0" w:line="259" w:lineRule="auto"/>
        <w:jc w:val="both"/>
        <w:rPr>
          <w:rFonts w:eastAsiaTheme="minorEastAsia" w:cs="Times New Roman"/>
          <w:noProof/>
        </w:rPr>
      </w:pPr>
      <w:r>
        <w:rPr>
          <w:noProof/>
        </w:rPr>
        <w:t>Pasākuma mērķis ir attīstīt modernu elektroenerģijas infrastruktūru un īstenot projektus ar inovatīviem tehniskiem risinājumiem, lai palielinātu enerģētisko pašpietiekamību. Azoru salās elektroenerģijas ražošana no atjaunojamiem energoresursiem pašlaik veido aptuveni 40 % no reģiona kopējās vērtības, no kuriem aptuveni 24 % veido ģeotermālā enerģija divās lielākajās arhipelāga salās. Atlikušie 60 % elektroenerģijas tiek saražoti no fosilajiem kurināmajiem, degvieleļļas un dīzeļdegvielas, kas veido lielus gada rēķinus ne tikai degvielas iepirkuma vērtības dēļ, bet arī tāpēc, ka tās tiek transportētas pa jūru no kontinentālās daļas uz salām, kā arī ar sadali starp salām. Šāda veida ražošana papildus ar to saistītajām augstajām izmaksām rada lielu ārējo atkarību, kas valsts vai starptautiskas krīzes situācijās var apdraudēt spēju apmierināt arhipelāga enerģijas vajadzības.</w:t>
      </w:r>
    </w:p>
    <w:p w14:paraId="52E3DC73" w14:textId="77777777" w:rsidR="00776A1F" w:rsidRDefault="00D8574B">
      <w:pPr>
        <w:pStyle w:val="P68B1DB1-Normal4"/>
        <w:spacing w:before="40" w:after="0" w:line="259" w:lineRule="auto"/>
        <w:jc w:val="both"/>
        <w:rPr>
          <w:rFonts w:eastAsiaTheme="minorEastAsia" w:cs="Times New Roman"/>
          <w:noProof/>
        </w:rPr>
      </w:pPr>
      <w:r>
        <w:rPr>
          <w:noProof/>
        </w:rPr>
        <w:t>Ieguldījums sastāv no šādiem apakšieguldījumiem:</w:t>
      </w:r>
    </w:p>
    <w:p w14:paraId="0A8CFC86"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Par 12 MW palielināt uzstādīto atjaunojamo energoresursu ražošanas jaudu, galvenokārt ģeotermālo enerģiju, un par 5 MW atdzīvināt jau uzstādīto ģeotermālo elektrostaciju;</w:t>
      </w:r>
    </w:p>
    <w:p w14:paraId="5DC064DD" w14:textId="24EDE81B"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Palielināt uzstādīto jaudu elektroenerģijas ražošanai no atjaunojamiem energoresursiem Korvas salā, uzstādot fotoelementu un vēja enerģijas parku par 850 kW;</w:t>
      </w:r>
    </w:p>
    <w:p w14:paraId="38EA575D" w14:textId="77777777"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Jaunu elektroenerģijas uzkrāšanas sistēmu uzstādīšana Santa Maria, São Jorge, Pico, Faial, Flores un Korvo salās vismaz par 20 MW;</w:t>
      </w:r>
    </w:p>
    <w:p w14:paraId="112665E7" w14:textId="55EE2481" w:rsidR="00776A1F" w:rsidRDefault="00D8574B">
      <w:pPr>
        <w:pStyle w:val="P68B1DB1-Normal4"/>
        <w:keepNext/>
        <w:numPr>
          <w:ilvl w:val="0"/>
          <w:numId w:val="31"/>
        </w:numPr>
        <w:spacing w:before="40" w:after="160" w:line="259" w:lineRule="auto"/>
        <w:contextualSpacing/>
        <w:jc w:val="both"/>
        <w:rPr>
          <w:rFonts w:eastAsiaTheme="minorEastAsia" w:cs="Times New Roman"/>
          <w:noProof/>
        </w:rPr>
      </w:pPr>
      <w:r>
        <w:rPr>
          <w:noProof/>
        </w:rPr>
        <w:t>Uzstādīt jaunas mazas fotoelementu elektroenerģijas ražošanas iekārtas decentralizētai ražošanai un patēriņam ar kopējo ekvivalentu 11,2 MW.</w:t>
      </w:r>
    </w:p>
    <w:p w14:paraId="091FFD9A" w14:textId="64D57B8C"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2026. gada 30. jūnijam.</w:t>
      </w:r>
    </w:p>
    <w:p w14:paraId="151D3F34" w14:textId="77777777" w:rsidR="00776A1F" w:rsidRDefault="00776A1F">
      <w:pPr>
        <w:spacing w:before="40" w:after="0" w:line="259" w:lineRule="auto"/>
        <w:jc w:val="both"/>
        <w:rPr>
          <w:rFonts w:ascii="Times New Roman" w:eastAsiaTheme="minorEastAsia" w:hAnsi="Times New Roman" w:cs="Times New Roman"/>
          <w:noProof/>
          <w:sz w:val="24"/>
        </w:rPr>
        <w:sectPr w:rsidR="00776A1F" w:rsidSect="00E00EDD">
          <w:headerReference w:type="even" r:id="rId270"/>
          <w:headerReference w:type="default" r:id="rId271"/>
          <w:footerReference w:type="even" r:id="rId272"/>
          <w:footerReference w:type="default" r:id="rId273"/>
          <w:headerReference w:type="first" r:id="rId274"/>
          <w:footerReference w:type="first" r:id="rId275"/>
          <w:pgSz w:w="11907" w:h="16839"/>
          <w:pgMar w:top="1134" w:right="1134" w:bottom="1134" w:left="1134" w:header="567" w:footer="567" w:gutter="0"/>
          <w:cols w:space="720"/>
          <w:docGrid w:linePitch="360"/>
        </w:sectPr>
      </w:pPr>
    </w:p>
    <w:p w14:paraId="1E0E5F58"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N.2. Atskaites punkti, mērķrādītāji, citi rādītāji un neatmaksājamā finansiālā atbalsta uzraudzības un īstenošanas grafiks</w:t>
      </w:r>
    </w:p>
    <w:p w14:paraId="286C8850" w14:textId="77777777" w:rsidR="00776A1F" w:rsidRDefault="00776A1F">
      <w:pPr>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776A1F" w14:paraId="3CFBE898" w14:textId="77777777">
        <w:trPr>
          <w:trHeight w:val="830"/>
          <w:tblHeader/>
        </w:trPr>
        <w:tc>
          <w:tcPr>
            <w:tcW w:w="1135" w:type="dxa"/>
            <w:vMerge w:val="restart"/>
            <w:shd w:val="clear" w:color="auto" w:fill="BDD6EE"/>
            <w:vAlign w:val="center"/>
            <w:hideMark/>
          </w:tcPr>
          <w:p w14:paraId="66B63AA1"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77F41CF5"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05EA6259" w14:textId="77777777" w:rsidR="00776A1F" w:rsidRDefault="00D8574B">
            <w:pPr>
              <w:pStyle w:val="P68B1DB1-Normal6"/>
              <w:spacing w:after="0" w:line="240" w:lineRule="auto"/>
              <w:jc w:val="center"/>
              <w:rPr>
                <w:rFonts w:ascii="Calibri" w:eastAsia="Times New Roman" w:hAnsi="Calibri" w:cs="Calibri"/>
                <w:noProof/>
                <w:sz w:val="16"/>
              </w:rPr>
            </w:pPr>
            <w:r>
              <w:rPr>
                <w:noProof/>
              </w:rPr>
              <w:t>Stūrakmens/</w:t>
            </w:r>
          </w:p>
          <w:p w14:paraId="6B07E77A" w14:textId="0BCBAF46" w:rsidR="00776A1F" w:rsidRDefault="00D8574B">
            <w:pPr>
              <w:pStyle w:val="P68B1DB1-Normal6"/>
              <w:spacing w:after="0" w:line="240" w:lineRule="auto"/>
              <w:jc w:val="center"/>
              <w:rPr>
                <w:rFonts w:ascii="Calibri" w:eastAsia="Times New Roman" w:hAnsi="Calibri" w:cs="Calibri"/>
                <w:noProof/>
                <w:sz w:val="16"/>
              </w:rPr>
            </w:pPr>
            <w:r>
              <w:rPr>
                <w:noProof/>
              </w:rPr>
              <w:t>Mērķa</w:t>
            </w:r>
          </w:p>
        </w:tc>
        <w:tc>
          <w:tcPr>
            <w:tcW w:w="1701" w:type="dxa"/>
            <w:vMerge w:val="restart"/>
            <w:shd w:val="clear" w:color="auto" w:fill="BDD6EE"/>
            <w:vAlign w:val="center"/>
            <w:hideMark/>
          </w:tcPr>
          <w:p w14:paraId="2948128E" w14:textId="77777777" w:rsidR="00776A1F" w:rsidRDefault="00D8574B">
            <w:pPr>
              <w:pStyle w:val="P68B1DB1-Normal6"/>
              <w:spacing w:after="0" w:line="240" w:lineRule="auto"/>
              <w:jc w:val="center"/>
              <w:rPr>
                <w:rFonts w:ascii="Calibri" w:eastAsia="Times New Roman" w:hAnsi="Calibri" w:cs="Calibri"/>
                <w:noProof/>
                <w:sz w:val="16"/>
              </w:rPr>
            </w:pPr>
            <w:r>
              <w:rPr>
                <w:noProof/>
              </w:rPr>
              <w:t>Uzvārds</w:t>
            </w:r>
          </w:p>
        </w:tc>
        <w:tc>
          <w:tcPr>
            <w:tcW w:w="1275" w:type="dxa"/>
            <w:vMerge w:val="restart"/>
            <w:shd w:val="clear" w:color="auto" w:fill="BDD6EE"/>
            <w:vAlign w:val="center"/>
            <w:hideMark/>
          </w:tcPr>
          <w:p w14:paraId="4CFCA654" w14:textId="77777777" w:rsidR="00776A1F" w:rsidRDefault="00D8574B">
            <w:pPr>
              <w:pStyle w:val="P68B1DB1-Normal6"/>
              <w:spacing w:after="0" w:line="240" w:lineRule="auto"/>
              <w:jc w:val="center"/>
              <w:rPr>
                <w:rFonts w:ascii="Calibri" w:eastAsia="Times New Roman" w:hAnsi="Calibri" w:cs="Calibri"/>
                <w:noProof/>
                <w:sz w:val="16"/>
              </w:rPr>
            </w:pPr>
            <w:r>
              <w:rPr>
                <w:noProof/>
              </w:rPr>
              <w:t>Kvalitatīvie rādītāji (atskaites punktiem)</w:t>
            </w:r>
          </w:p>
        </w:tc>
        <w:tc>
          <w:tcPr>
            <w:tcW w:w="2694" w:type="dxa"/>
            <w:gridSpan w:val="3"/>
            <w:shd w:val="clear" w:color="auto" w:fill="BDD6EE"/>
            <w:vAlign w:val="center"/>
            <w:hideMark/>
          </w:tcPr>
          <w:p w14:paraId="1385CF11"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0F657DE5"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439B6EF1" w14:textId="77777777" w:rsidR="00776A1F" w:rsidRDefault="00D8574B">
            <w:pPr>
              <w:pStyle w:val="P68B1DB1-Normal6"/>
              <w:spacing w:after="0" w:line="240" w:lineRule="auto"/>
              <w:jc w:val="center"/>
              <w:rPr>
                <w:rFonts w:ascii="Calibri" w:eastAsia="Times New Roman" w:hAnsi="Calibri" w:cs="Calibri"/>
                <w:noProof/>
                <w:sz w:val="16"/>
              </w:rPr>
            </w:pPr>
            <w:r>
              <w:rPr>
                <w:noProof/>
              </w:rPr>
              <w:t>Katra atskaites punkta un mērķrādītāja apraksts un skaidra definīcija</w:t>
            </w:r>
          </w:p>
        </w:tc>
      </w:tr>
      <w:tr w:rsidR="00776A1F" w14:paraId="55300FC2" w14:textId="77777777">
        <w:trPr>
          <w:trHeight w:val="430"/>
          <w:tblHeader/>
        </w:trPr>
        <w:tc>
          <w:tcPr>
            <w:tcW w:w="1135" w:type="dxa"/>
            <w:vMerge/>
            <w:vAlign w:val="center"/>
            <w:hideMark/>
          </w:tcPr>
          <w:p w14:paraId="2716EF47"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35E64B63" w14:textId="77777777" w:rsidR="00776A1F" w:rsidRDefault="00776A1F">
            <w:pPr>
              <w:spacing w:after="0" w:line="240" w:lineRule="auto"/>
              <w:rPr>
                <w:rFonts w:ascii="Calibri" w:eastAsia="Times New Roman" w:hAnsi="Calibri" w:cs="Calibri"/>
                <w:b/>
                <w:noProof/>
                <w:sz w:val="16"/>
              </w:rPr>
            </w:pPr>
          </w:p>
        </w:tc>
        <w:tc>
          <w:tcPr>
            <w:tcW w:w="1134" w:type="dxa"/>
            <w:vMerge/>
            <w:shd w:val="clear" w:color="auto" w:fill="BDD6EE"/>
            <w:vAlign w:val="center"/>
            <w:hideMark/>
          </w:tcPr>
          <w:p w14:paraId="5EE6F193" w14:textId="4E289509" w:rsidR="00776A1F" w:rsidRDefault="00776A1F">
            <w:pPr>
              <w:spacing w:after="0" w:line="240" w:lineRule="auto"/>
              <w:jc w:val="center"/>
              <w:rPr>
                <w:rFonts w:ascii="Calibri" w:eastAsia="Times New Roman" w:hAnsi="Calibri" w:cs="Calibri"/>
                <w:b/>
                <w:noProof/>
                <w:sz w:val="16"/>
              </w:rPr>
            </w:pPr>
          </w:p>
        </w:tc>
        <w:tc>
          <w:tcPr>
            <w:tcW w:w="1701" w:type="dxa"/>
            <w:vMerge/>
            <w:vAlign w:val="center"/>
            <w:hideMark/>
          </w:tcPr>
          <w:p w14:paraId="5CCE81B9" w14:textId="77777777" w:rsidR="00776A1F" w:rsidRDefault="00776A1F">
            <w:pPr>
              <w:spacing w:after="0" w:line="240" w:lineRule="auto"/>
              <w:rPr>
                <w:rFonts w:ascii="Calibri" w:eastAsia="Times New Roman" w:hAnsi="Calibri" w:cs="Calibri"/>
                <w:b/>
                <w:noProof/>
                <w:sz w:val="16"/>
              </w:rPr>
            </w:pPr>
          </w:p>
        </w:tc>
        <w:tc>
          <w:tcPr>
            <w:tcW w:w="1275" w:type="dxa"/>
            <w:vMerge/>
            <w:vAlign w:val="center"/>
            <w:hideMark/>
          </w:tcPr>
          <w:p w14:paraId="79537091" w14:textId="77777777" w:rsidR="00776A1F" w:rsidRDefault="00776A1F">
            <w:pPr>
              <w:spacing w:after="0" w:line="240" w:lineRule="auto"/>
              <w:rPr>
                <w:rFonts w:ascii="Calibri" w:eastAsia="Times New Roman" w:hAnsi="Calibri" w:cs="Calibri"/>
                <w:b/>
                <w:noProof/>
                <w:sz w:val="16"/>
              </w:rPr>
            </w:pPr>
          </w:p>
        </w:tc>
        <w:tc>
          <w:tcPr>
            <w:tcW w:w="993" w:type="dxa"/>
            <w:shd w:val="clear" w:color="auto" w:fill="BDD6EE"/>
            <w:vAlign w:val="center"/>
            <w:hideMark/>
          </w:tcPr>
          <w:p w14:paraId="11126D21"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0AF1479C"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vAlign w:val="center"/>
            <w:hideMark/>
          </w:tcPr>
          <w:p w14:paraId="6554DD1F"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03B3E9F9"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2823A4AA"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7A70D1DD" w14:textId="77777777" w:rsidR="00776A1F" w:rsidRDefault="00776A1F">
            <w:pPr>
              <w:spacing w:after="0" w:line="240" w:lineRule="auto"/>
              <w:rPr>
                <w:rFonts w:ascii="Calibri" w:eastAsia="Times New Roman" w:hAnsi="Calibri" w:cs="Calibri"/>
                <w:b/>
                <w:noProof/>
                <w:sz w:val="16"/>
              </w:rPr>
            </w:pPr>
          </w:p>
        </w:tc>
      </w:tr>
      <w:tr w:rsidR="00776A1F" w14:paraId="152A9A27" w14:textId="77777777">
        <w:trPr>
          <w:trHeight w:val="840"/>
        </w:trPr>
        <w:tc>
          <w:tcPr>
            <w:tcW w:w="1135" w:type="dxa"/>
            <w:shd w:val="clear" w:color="auto" w:fill="C4EFCE"/>
            <w:vAlign w:val="center"/>
            <w:hideMark/>
          </w:tcPr>
          <w:p w14:paraId="2FD964B6" w14:textId="77777777" w:rsidR="00776A1F" w:rsidRDefault="00D8574B">
            <w:pPr>
              <w:pStyle w:val="P68B1DB1-Normal7"/>
              <w:spacing w:after="0" w:line="240" w:lineRule="auto"/>
              <w:jc w:val="center"/>
              <w:rPr>
                <w:rFonts w:eastAsia="Times New Roman" w:cs="Calibri"/>
                <w:noProof/>
              </w:rPr>
            </w:pPr>
            <w:r>
              <w:rPr>
                <w:noProof/>
              </w:rPr>
              <w:t>14.1</w:t>
            </w:r>
          </w:p>
        </w:tc>
        <w:tc>
          <w:tcPr>
            <w:tcW w:w="1276" w:type="dxa"/>
            <w:shd w:val="clear" w:color="auto" w:fill="C4EFCE"/>
            <w:noWrap/>
            <w:vAlign w:val="center"/>
            <w:hideMark/>
          </w:tcPr>
          <w:p w14:paraId="41F96EC9" w14:textId="77777777" w:rsidR="00776A1F" w:rsidRDefault="00D8574B">
            <w:pPr>
              <w:pStyle w:val="P68B1DB1-Normal8"/>
              <w:spacing w:after="0" w:line="240" w:lineRule="auto"/>
              <w:jc w:val="center"/>
              <w:rPr>
                <w:rFonts w:eastAsia="Times New Roman" w:cs="Calibri"/>
                <w:noProof/>
              </w:rPr>
            </w:pPr>
            <w:r>
              <w:rPr>
                <w:noProof/>
              </w:rPr>
              <w:t>TC-C14-r29</w:t>
            </w:r>
          </w:p>
        </w:tc>
        <w:tc>
          <w:tcPr>
            <w:tcW w:w="1134" w:type="dxa"/>
            <w:shd w:val="clear" w:color="auto" w:fill="C4EFCE"/>
            <w:noWrap/>
            <w:vAlign w:val="center"/>
            <w:hideMark/>
          </w:tcPr>
          <w:p w14:paraId="191BF89A"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11CEEC8" w14:textId="77777777" w:rsidR="00776A1F" w:rsidRDefault="00D8574B">
            <w:pPr>
              <w:pStyle w:val="P68B1DB1-Normal8"/>
              <w:spacing w:after="0" w:line="240" w:lineRule="auto"/>
              <w:jc w:val="center"/>
              <w:rPr>
                <w:rFonts w:eastAsia="Times New Roman" w:cs="Calibri"/>
                <w:noProof/>
              </w:rPr>
            </w:pPr>
            <w:r>
              <w:rPr>
                <w:noProof/>
              </w:rPr>
              <w:t>Valsts gāzes pārvades tīkla regulas un Valsts gāzes sadales tīkla regulas stāšanās spēkā</w:t>
            </w:r>
          </w:p>
        </w:tc>
        <w:tc>
          <w:tcPr>
            <w:tcW w:w="1275" w:type="dxa"/>
            <w:shd w:val="clear" w:color="auto" w:fill="C4EFCE"/>
            <w:noWrap/>
            <w:vAlign w:val="center"/>
            <w:hideMark/>
          </w:tcPr>
          <w:p w14:paraId="2E014965" w14:textId="77777777" w:rsidR="00776A1F" w:rsidRDefault="00D8574B">
            <w:pPr>
              <w:pStyle w:val="P68B1DB1-Normal8"/>
              <w:spacing w:after="0" w:line="240" w:lineRule="auto"/>
              <w:jc w:val="center"/>
              <w:rPr>
                <w:rFonts w:eastAsia="Times New Roman" w:cs="Calibri"/>
                <w:noProof/>
              </w:rPr>
            </w:pPr>
            <w:r>
              <w:rPr>
                <w:noProof/>
              </w:rPr>
              <w:t>Valsts gāzes pārvades tīkla regulas un Valsts gāzes sadales tīkla regulas stāšanās spēkā</w:t>
            </w:r>
          </w:p>
        </w:tc>
        <w:tc>
          <w:tcPr>
            <w:tcW w:w="993" w:type="dxa"/>
            <w:shd w:val="clear" w:color="auto" w:fill="C4EFCE"/>
            <w:noWrap/>
            <w:vAlign w:val="center"/>
            <w:hideMark/>
          </w:tcPr>
          <w:p w14:paraId="02698043"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46A3247"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917A085"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A75C6D0"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5358F1C1"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04872AD" w14:textId="77777777" w:rsidR="00776A1F" w:rsidRDefault="00D8574B">
            <w:pPr>
              <w:pStyle w:val="P68B1DB1-Normal8"/>
              <w:spacing w:after="0" w:line="240" w:lineRule="auto"/>
              <w:jc w:val="both"/>
              <w:rPr>
                <w:rFonts w:eastAsia="Times New Roman" w:cs="Calibri"/>
                <w:noProof/>
              </w:rPr>
            </w:pPr>
            <w:r>
              <w:rPr>
                <w:noProof/>
              </w:rPr>
              <w:t xml:space="preserve">Valsts gāzes pārvades tīkla grozītās regulas un Valsts gāzes sadales tīkla regulas stāšanās spēkā. Grozījumus Valsts gāzes pārvades tīkla noteikumos un Valsts gāzes sadales tīkla noteikumos apstiprina Enerģētikas un ģeoloģijas ģenerāldirektorāts. </w:t>
            </w:r>
          </w:p>
          <w:p w14:paraId="163F4AF0" w14:textId="0CC86E9F" w:rsidR="00776A1F" w:rsidRDefault="00D8574B">
            <w:pPr>
              <w:pStyle w:val="P68B1DB1-Normal8"/>
              <w:spacing w:after="0" w:line="240" w:lineRule="auto"/>
              <w:jc w:val="both"/>
              <w:rPr>
                <w:rFonts w:eastAsia="Times New Roman" w:cs="Calibri"/>
                <w:noProof/>
              </w:rPr>
            </w:pPr>
            <w:r>
              <w:rPr>
                <w:noProof/>
              </w:rPr>
              <w:t>Regulas ļauj paredzēt nosacījumus savienojumiem ar gāzes pārvades infrastruktūrām, jo īpaši attiecībā uz atjaunīgo gāzu, tostarp atjaunīgā ūdeņraža, iesūknēšanu, kā arī noteikt minimālo un maksimālo procentuālo daļu šo gāzu iesūknēšanai tīklos. Turklāt tie ietver nepieciešamos grozījumus tehniskajos standartos, kas nodrošina pakalpojuma kvalitāti un šo infrastruktūru drošu izmantošanu visiem lietotājiem.</w:t>
            </w:r>
          </w:p>
        </w:tc>
      </w:tr>
      <w:tr w:rsidR="00776A1F" w14:paraId="67119968" w14:textId="77777777">
        <w:trPr>
          <w:trHeight w:val="430"/>
        </w:trPr>
        <w:tc>
          <w:tcPr>
            <w:tcW w:w="1135" w:type="dxa"/>
            <w:shd w:val="clear" w:color="auto" w:fill="C4EFCE"/>
            <w:vAlign w:val="center"/>
            <w:hideMark/>
          </w:tcPr>
          <w:p w14:paraId="57E1192A" w14:textId="77777777" w:rsidR="00776A1F" w:rsidRDefault="00D8574B">
            <w:pPr>
              <w:pStyle w:val="P68B1DB1-Normal7"/>
              <w:spacing w:after="0" w:line="240" w:lineRule="auto"/>
              <w:jc w:val="center"/>
              <w:rPr>
                <w:rFonts w:eastAsia="Times New Roman" w:cs="Calibri"/>
                <w:noProof/>
              </w:rPr>
            </w:pPr>
            <w:r>
              <w:rPr>
                <w:noProof/>
              </w:rPr>
              <w:t>14.2</w:t>
            </w:r>
          </w:p>
        </w:tc>
        <w:tc>
          <w:tcPr>
            <w:tcW w:w="1276" w:type="dxa"/>
            <w:shd w:val="clear" w:color="auto" w:fill="C4EFCE"/>
            <w:noWrap/>
            <w:vAlign w:val="center"/>
            <w:hideMark/>
          </w:tcPr>
          <w:p w14:paraId="718F4CD4" w14:textId="77777777" w:rsidR="00776A1F" w:rsidRDefault="00D8574B">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2183426D"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398082B" w14:textId="77777777" w:rsidR="00776A1F" w:rsidRDefault="00D8574B">
            <w:pPr>
              <w:pStyle w:val="P68B1DB1-Normal8"/>
              <w:spacing w:after="0" w:line="240" w:lineRule="auto"/>
              <w:jc w:val="center"/>
              <w:rPr>
                <w:rFonts w:eastAsia="Times New Roman" w:cs="Calibri"/>
                <w:noProof/>
              </w:rPr>
            </w:pPr>
            <w:r>
              <w:rPr>
                <w:noProof/>
              </w:rPr>
              <w:t>Pirmais uzaicinājums iesniegt piedāvājumus atjaunojamās gāzes ražošanas projektiem</w:t>
            </w:r>
          </w:p>
        </w:tc>
        <w:tc>
          <w:tcPr>
            <w:tcW w:w="1275" w:type="dxa"/>
            <w:shd w:val="clear" w:color="auto" w:fill="C4EFCE"/>
            <w:noWrap/>
            <w:vAlign w:val="center"/>
            <w:hideMark/>
          </w:tcPr>
          <w:p w14:paraId="3A7E38C8" w14:textId="77777777" w:rsidR="00776A1F" w:rsidRDefault="00D8574B">
            <w:pPr>
              <w:pStyle w:val="P68B1DB1-Normal8"/>
              <w:spacing w:after="0" w:line="240" w:lineRule="auto"/>
              <w:jc w:val="center"/>
              <w:rPr>
                <w:rFonts w:eastAsia="Times New Roman" w:cs="Calibri"/>
                <w:noProof/>
              </w:rPr>
            </w:pPr>
            <w:r>
              <w:rPr>
                <w:noProof/>
              </w:rPr>
              <w:t>Izsludināts pirmais uzaicinājums uz konkursu</w:t>
            </w:r>
          </w:p>
        </w:tc>
        <w:tc>
          <w:tcPr>
            <w:tcW w:w="993" w:type="dxa"/>
            <w:shd w:val="clear" w:color="auto" w:fill="C4EFCE"/>
            <w:noWrap/>
            <w:vAlign w:val="center"/>
            <w:hideMark/>
          </w:tcPr>
          <w:p w14:paraId="17551E5C"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7A70C3" w14:textId="77777777" w:rsidR="00776A1F" w:rsidRDefault="00D8574B">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6F44AB4C"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86C873C"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368CCFC1"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530AF97A" w14:textId="77777777" w:rsidR="00776A1F" w:rsidRDefault="00D8574B">
            <w:pPr>
              <w:pStyle w:val="P68B1DB1-Normal8"/>
              <w:spacing w:after="0" w:line="240" w:lineRule="auto"/>
              <w:jc w:val="both"/>
              <w:rPr>
                <w:rFonts w:eastAsia="Times New Roman" w:cs="Calibri"/>
                <w:noProof/>
              </w:rPr>
            </w:pPr>
            <w:r>
              <w:rPr>
                <w:noProof/>
              </w:rPr>
              <w:t>Pirmā uzaicinājuma izsludināšana atbalstīto projektu atlasei attiecībā uz vismaz 88 MW jaunu uzstādītu atjaunīgā ūdeņraža un atjaunīgo gāzu enerģijas jaudu ar nulli vai tuvu nullei aprites cikla SEG emisijām.</w:t>
            </w:r>
          </w:p>
        </w:tc>
      </w:tr>
      <w:tr w:rsidR="00776A1F" w14:paraId="54E877CC" w14:textId="77777777">
        <w:trPr>
          <w:trHeight w:val="430"/>
        </w:trPr>
        <w:tc>
          <w:tcPr>
            <w:tcW w:w="1135" w:type="dxa"/>
            <w:shd w:val="clear" w:color="auto" w:fill="C4EFCE"/>
            <w:vAlign w:val="center"/>
            <w:hideMark/>
          </w:tcPr>
          <w:p w14:paraId="29370DB0" w14:textId="77777777" w:rsidR="00776A1F" w:rsidRDefault="00D8574B">
            <w:pPr>
              <w:pStyle w:val="P68B1DB1-Normal7"/>
              <w:spacing w:after="0" w:line="240" w:lineRule="auto"/>
              <w:jc w:val="center"/>
              <w:rPr>
                <w:rFonts w:eastAsia="Times New Roman" w:cs="Calibri"/>
                <w:noProof/>
              </w:rPr>
            </w:pPr>
            <w:r>
              <w:rPr>
                <w:noProof/>
              </w:rPr>
              <w:t>14.3</w:t>
            </w:r>
          </w:p>
        </w:tc>
        <w:tc>
          <w:tcPr>
            <w:tcW w:w="1276" w:type="dxa"/>
            <w:shd w:val="clear" w:color="auto" w:fill="C4EFCE"/>
            <w:noWrap/>
            <w:vAlign w:val="center"/>
            <w:hideMark/>
          </w:tcPr>
          <w:p w14:paraId="4014E9C9" w14:textId="77777777" w:rsidR="00776A1F" w:rsidRDefault="00D8574B">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7D599D7B"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1FB733D" w14:textId="77777777" w:rsidR="00776A1F" w:rsidRDefault="00D8574B">
            <w:pPr>
              <w:pStyle w:val="P68B1DB1-Normal8"/>
              <w:spacing w:after="0" w:line="240" w:lineRule="auto"/>
              <w:jc w:val="center"/>
              <w:rPr>
                <w:rFonts w:eastAsia="Times New Roman" w:cs="Calibri"/>
                <w:noProof/>
              </w:rPr>
            </w:pPr>
            <w:r>
              <w:rPr>
                <w:noProof/>
              </w:rPr>
              <w:t>Atjaunīgā ūdeņraža un atjaunīgās gāzes ražošanas papildu jauda</w:t>
            </w:r>
          </w:p>
        </w:tc>
        <w:tc>
          <w:tcPr>
            <w:tcW w:w="1275" w:type="dxa"/>
            <w:shd w:val="clear" w:color="auto" w:fill="C4EFCE"/>
            <w:noWrap/>
            <w:vAlign w:val="center"/>
            <w:hideMark/>
          </w:tcPr>
          <w:p w14:paraId="5680D93B"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81A7FD5"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BA6C83A"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85C153C" w14:textId="6CF1971A" w:rsidR="00776A1F" w:rsidRDefault="00D8574B">
            <w:pPr>
              <w:pStyle w:val="P68B1DB1-Normal8"/>
              <w:spacing w:after="0" w:line="240" w:lineRule="auto"/>
              <w:jc w:val="center"/>
              <w:rPr>
                <w:rFonts w:eastAsia="Times New Roman" w:cs="Calibri"/>
                <w:noProof/>
              </w:rPr>
            </w:pPr>
            <w:r>
              <w:rPr>
                <w:noProof/>
              </w:rPr>
              <w:t>200</w:t>
            </w:r>
          </w:p>
        </w:tc>
        <w:tc>
          <w:tcPr>
            <w:tcW w:w="567" w:type="dxa"/>
            <w:shd w:val="clear" w:color="auto" w:fill="C4EFCE"/>
            <w:noWrap/>
            <w:vAlign w:val="center"/>
            <w:hideMark/>
          </w:tcPr>
          <w:p w14:paraId="2FA79988" w14:textId="0B3EBA35"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4BB9BE1D" w14:textId="007A3D2D"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FBF31DB" w14:textId="77777777" w:rsidR="00776A1F" w:rsidRDefault="00D8574B">
            <w:pPr>
              <w:pStyle w:val="P68B1DB1-Normal8"/>
              <w:spacing w:after="0" w:line="240" w:lineRule="auto"/>
              <w:jc w:val="both"/>
              <w:rPr>
                <w:rFonts w:eastAsia="Times New Roman" w:cs="Calibri"/>
                <w:noProof/>
              </w:rPr>
            </w:pPr>
            <w:r>
              <w:rPr>
                <w:noProof/>
              </w:rPr>
              <w:t xml:space="preserve">Papildu atjaunīgā ūdeņraža un atjaunīgo gāzu ražošanas jauda, kas uzstādīta ar nulles vai tuvu nullei aprites cikla SEG emisijām. </w:t>
            </w:r>
          </w:p>
        </w:tc>
      </w:tr>
      <w:tr w:rsidR="00776A1F" w14:paraId="4E5061F1" w14:textId="77777777">
        <w:trPr>
          <w:trHeight w:val="473"/>
        </w:trPr>
        <w:tc>
          <w:tcPr>
            <w:tcW w:w="1135" w:type="dxa"/>
            <w:shd w:val="clear" w:color="auto" w:fill="C4EFCE"/>
            <w:vAlign w:val="center"/>
            <w:hideMark/>
          </w:tcPr>
          <w:p w14:paraId="7548B3C2" w14:textId="77777777" w:rsidR="00776A1F" w:rsidRDefault="00D8574B">
            <w:pPr>
              <w:pStyle w:val="P68B1DB1-Normal7"/>
              <w:spacing w:after="0" w:line="240" w:lineRule="auto"/>
              <w:jc w:val="center"/>
              <w:rPr>
                <w:rFonts w:eastAsia="Times New Roman" w:cs="Calibri"/>
                <w:noProof/>
              </w:rPr>
            </w:pPr>
            <w:r>
              <w:rPr>
                <w:noProof/>
              </w:rPr>
              <w:t>14.4</w:t>
            </w:r>
          </w:p>
        </w:tc>
        <w:tc>
          <w:tcPr>
            <w:tcW w:w="1276" w:type="dxa"/>
            <w:shd w:val="clear" w:color="auto" w:fill="C4EFCE"/>
            <w:noWrap/>
            <w:vAlign w:val="center"/>
            <w:hideMark/>
          </w:tcPr>
          <w:p w14:paraId="012513D7"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0676C40D"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4BC8E5" w14:textId="77777777" w:rsidR="00776A1F" w:rsidRDefault="00D8574B">
            <w:pPr>
              <w:pStyle w:val="P68B1DB1-Normal8"/>
              <w:spacing w:after="0" w:line="240" w:lineRule="auto"/>
              <w:jc w:val="center"/>
              <w:rPr>
                <w:rFonts w:eastAsia="Times New Roman" w:cs="Calibri"/>
                <w:noProof/>
              </w:rPr>
            </w:pPr>
            <w:r>
              <w:rPr>
                <w:noProof/>
              </w:rPr>
              <w:t xml:space="preserve">Jauna sinhronā kompensatora uzstādīšana </w:t>
            </w:r>
          </w:p>
        </w:tc>
        <w:tc>
          <w:tcPr>
            <w:tcW w:w="1275" w:type="dxa"/>
            <w:shd w:val="clear" w:color="auto" w:fill="C4EFCE"/>
            <w:noWrap/>
            <w:vAlign w:val="center"/>
            <w:hideMark/>
          </w:tcPr>
          <w:p w14:paraId="1766B193" w14:textId="6C89AA7B" w:rsidR="00776A1F" w:rsidRDefault="00D8574B">
            <w:pPr>
              <w:pStyle w:val="P68B1DB1-Normal8"/>
              <w:spacing w:after="0" w:line="240" w:lineRule="auto"/>
              <w:jc w:val="center"/>
              <w:rPr>
                <w:rFonts w:eastAsia="Times New Roman" w:cs="Calibri"/>
                <w:noProof/>
              </w:rPr>
            </w:pPr>
            <w:r>
              <w:rPr>
                <w:noProof/>
              </w:rPr>
              <w:t>Jauna sinhronā kompensatora uzstādīšana</w:t>
            </w:r>
          </w:p>
        </w:tc>
        <w:tc>
          <w:tcPr>
            <w:tcW w:w="993" w:type="dxa"/>
            <w:shd w:val="clear" w:color="auto" w:fill="C4EFCE"/>
            <w:noWrap/>
            <w:vAlign w:val="center"/>
            <w:hideMark/>
          </w:tcPr>
          <w:p w14:paraId="59B70755" w14:textId="77777777" w:rsidR="00776A1F" w:rsidRDefault="00D8574B">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5DA13D59" w14:textId="77777777" w:rsidR="00776A1F" w:rsidRDefault="00D8574B">
            <w:pPr>
              <w:pStyle w:val="P68B1DB1-Normal9"/>
              <w:spacing w:after="0" w:line="240" w:lineRule="auto"/>
              <w:rPr>
                <w:rFonts w:eastAsia="Times New Roman" w:cs="Calibri"/>
                <w:noProof/>
              </w:rPr>
            </w:pPr>
            <w:r>
              <w:rPr>
                <w:noProof/>
              </w:rPr>
              <w:t> </w:t>
            </w:r>
          </w:p>
        </w:tc>
        <w:tc>
          <w:tcPr>
            <w:tcW w:w="709" w:type="dxa"/>
            <w:shd w:val="clear" w:color="auto" w:fill="C4EFCE"/>
            <w:noWrap/>
            <w:vAlign w:val="center"/>
            <w:hideMark/>
          </w:tcPr>
          <w:p w14:paraId="0DBB59D9" w14:textId="77777777" w:rsidR="00776A1F" w:rsidRDefault="00D8574B">
            <w:pPr>
              <w:pStyle w:val="P68B1DB1-Normal9"/>
              <w:spacing w:after="0" w:line="240" w:lineRule="auto"/>
              <w:rPr>
                <w:rFonts w:eastAsia="Times New Roman" w:cs="Calibri"/>
                <w:noProof/>
              </w:rPr>
            </w:pPr>
            <w:r>
              <w:rPr>
                <w:noProof/>
              </w:rPr>
              <w:t> </w:t>
            </w:r>
          </w:p>
        </w:tc>
        <w:tc>
          <w:tcPr>
            <w:tcW w:w="567" w:type="dxa"/>
            <w:shd w:val="clear" w:color="auto" w:fill="C4EFCE"/>
            <w:noWrap/>
            <w:vAlign w:val="center"/>
            <w:hideMark/>
          </w:tcPr>
          <w:p w14:paraId="67729D7D"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3310C570" w14:textId="785E274B"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5732B49" w14:textId="77777777" w:rsidR="00776A1F" w:rsidRDefault="00D8574B">
            <w:pPr>
              <w:pStyle w:val="P68B1DB1-Normal8"/>
              <w:spacing w:after="0" w:line="240" w:lineRule="auto"/>
              <w:jc w:val="both"/>
              <w:rPr>
                <w:rFonts w:eastAsia="Times New Roman" w:cs="Calibri"/>
                <w:noProof/>
              </w:rPr>
            </w:pPr>
            <w:r>
              <w:rPr>
                <w:noProof/>
              </w:rPr>
              <w:t>Viena jauna sinhronā kompensatora iegāde un uzstādīšana ar vismaz 15 MVAr.</w:t>
            </w:r>
          </w:p>
        </w:tc>
      </w:tr>
      <w:tr w:rsidR="00776A1F" w14:paraId="22EE209C" w14:textId="77777777">
        <w:trPr>
          <w:trHeight w:val="1377"/>
        </w:trPr>
        <w:tc>
          <w:tcPr>
            <w:tcW w:w="1135" w:type="dxa"/>
            <w:shd w:val="clear" w:color="auto" w:fill="C4EFCE"/>
            <w:vAlign w:val="center"/>
            <w:hideMark/>
          </w:tcPr>
          <w:p w14:paraId="7CCA2CE5" w14:textId="77777777" w:rsidR="00776A1F" w:rsidRDefault="00D8574B">
            <w:pPr>
              <w:pStyle w:val="P68B1DB1-Normal7"/>
              <w:spacing w:after="0" w:line="240" w:lineRule="auto"/>
              <w:jc w:val="center"/>
              <w:rPr>
                <w:rFonts w:eastAsia="Times New Roman" w:cs="Calibri"/>
                <w:noProof/>
              </w:rPr>
            </w:pPr>
            <w:r>
              <w:rPr>
                <w:noProof/>
              </w:rPr>
              <w:t>14.5</w:t>
            </w:r>
          </w:p>
        </w:tc>
        <w:tc>
          <w:tcPr>
            <w:tcW w:w="1276" w:type="dxa"/>
            <w:shd w:val="clear" w:color="auto" w:fill="C4EFCE"/>
            <w:noWrap/>
            <w:vAlign w:val="center"/>
            <w:hideMark/>
          </w:tcPr>
          <w:p w14:paraId="73293EEE"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060267A"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3B0CD18" w14:textId="77777777" w:rsidR="00776A1F" w:rsidRDefault="00D8574B">
            <w:pPr>
              <w:pStyle w:val="P68B1DB1-Normal8"/>
              <w:spacing w:after="0" w:line="240" w:lineRule="auto"/>
              <w:jc w:val="center"/>
              <w:rPr>
                <w:rFonts w:eastAsia="Times New Roman" w:cs="Calibri"/>
                <w:noProof/>
              </w:rPr>
            </w:pPr>
            <w:r>
              <w:rPr>
                <w:noProof/>
              </w:rPr>
              <w:t>Papildu uzstādītā hidroenerģijas ražošanas jauda</w:t>
            </w:r>
          </w:p>
        </w:tc>
        <w:tc>
          <w:tcPr>
            <w:tcW w:w="1275" w:type="dxa"/>
            <w:shd w:val="clear" w:color="auto" w:fill="C4EFCE"/>
            <w:noWrap/>
            <w:vAlign w:val="center"/>
            <w:hideMark/>
          </w:tcPr>
          <w:p w14:paraId="40B8E317"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FECCD3D"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A8A5583"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7FF267A" w14:textId="77777777" w:rsidR="00776A1F" w:rsidRDefault="00D8574B">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127416C0" w14:textId="4F16624E"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0A99841E" w14:textId="28C62021"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E6E2780" w14:textId="77777777" w:rsidR="00776A1F" w:rsidRDefault="00D8574B">
            <w:pPr>
              <w:pStyle w:val="P68B1DB1-Normal8"/>
              <w:spacing w:after="0" w:line="240" w:lineRule="auto"/>
              <w:jc w:val="both"/>
              <w:rPr>
                <w:rFonts w:eastAsia="Times New Roman" w:cs="Calibri"/>
                <w:noProof/>
              </w:rPr>
            </w:pPr>
            <w:r>
              <w:rPr>
                <w:noProof/>
              </w:rPr>
              <w:t xml:space="preserve">Modernizētā ūdens Serra hidroelektrostacijas uzstādītās jaudas palielināšana. </w:t>
            </w:r>
          </w:p>
        </w:tc>
      </w:tr>
      <w:tr w:rsidR="00776A1F" w14:paraId="0D7AA8AD" w14:textId="77777777">
        <w:trPr>
          <w:trHeight w:val="290"/>
        </w:trPr>
        <w:tc>
          <w:tcPr>
            <w:tcW w:w="1135" w:type="dxa"/>
            <w:shd w:val="clear" w:color="auto" w:fill="C4EFCE"/>
            <w:vAlign w:val="center"/>
            <w:hideMark/>
          </w:tcPr>
          <w:p w14:paraId="2465C29C" w14:textId="77777777" w:rsidR="00776A1F" w:rsidRDefault="00D8574B">
            <w:pPr>
              <w:pStyle w:val="P68B1DB1-Normal7"/>
              <w:spacing w:after="0" w:line="240" w:lineRule="auto"/>
              <w:jc w:val="center"/>
              <w:rPr>
                <w:rFonts w:eastAsia="Times New Roman" w:cs="Calibri"/>
                <w:noProof/>
              </w:rPr>
            </w:pPr>
            <w:r>
              <w:rPr>
                <w:noProof/>
              </w:rPr>
              <w:t>14.6</w:t>
            </w:r>
          </w:p>
        </w:tc>
        <w:tc>
          <w:tcPr>
            <w:tcW w:w="1276" w:type="dxa"/>
            <w:shd w:val="clear" w:color="auto" w:fill="C4EFCE"/>
            <w:noWrap/>
            <w:vAlign w:val="center"/>
            <w:hideMark/>
          </w:tcPr>
          <w:p w14:paraId="6EE7AE84"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491EE19C"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0C1E7A0" w14:textId="77777777" w:rsidR="00776A1F" w:rsidRDefault="00D8574B">
            <w:pPr>
              <w:pStyle w:val="P68B1DB1-Normal8"/>
              <w:spacing w:after="0" w:line="240" w:lineRule="auto"/>
              <w:jc w:val="center"/>
              <w:rPr>
                <w:rFonts w:eastAsia="Times New Roman" w:cs="Calibri"/>
                <w:noProof/>
              </w:rPr>
            </w:pPr>
            <w:r>
              <w:rPr>
                <w:noProof/>
              </w:rPr>
              <w:t>Atjaunotā uzstādītā hidroenerģijas ražošanas jauda</w:t>
            </w:r>
          </w:p>
        </w:tc>
        <w:tc>
          <w:tcPr>
            <w:tcW w:w="1275" w:type="dxa"/>
            <w:shd w:val="clear" w:color="auto" w:fill="C4EFCE"/>
            <w:noWrap/>
            <w:vAlign w:val="center"/>
            <w:hideMark/>
          </w:tcPr>
          <w:p w14:paraId="69DFC9AD"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48E8E9"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D1BFE2D"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05F2BB6C" w14:textId="77777777" w:rsidR="00776A1F" w:rsidRDefault="00D8574B">
            <w:pPr>
              <w:pStyle w:val="P68B1DB1-Normal8"/>
              <w:spacing w:after="0" w:line="240" w:lineRule="auto"/>
              <w:jc w:val="center"/>
              <w:rPr>
                <w:rFonts w:eastAsia="Times New Roman" w:cs="Calibri"/>
                <w:noProof/>
              </w:rPr>
            </w:pPr>
            <w:r>
              <w:rPr>
                <w:noProof/>
              </w:rPr>
              <w:t>6,2</w:t>
            </w:r>
          </w:p>
        </w:tc>
        <w:tc>
          <w:tcPr>
            <w:tcW w:w="567" w:type="dxa"/>
            <w:shd w:val="clear" w:color="auto" w:fill="C4EFCE"/>
            <w:noWrap/>
            <w:vAlign w:val="center"/>
            <w:hideMark/>
          </w:tcPr>
          <w:p w14:paraId="4C0CE51E"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25BE834C"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62CFB3E" w14:textId="77777777" w:rsidR="00776A1F" w:rsidRDefault="00D8574B">
            <w:pPr>
              <w:pStyle w:val="P68B1DB1-Normal8"/>
              <w:spacing w:after="0" w:line="240" w:lineRule="auto"/>
              <w:jc w:val="both"/>
              <w:rPr>
                <w:rFonts w:eastAsia="Times New Roman" w:cs="Calibri"/>
                <w:noProof/>
              </w:rPr>
            </w:pPr>
            <w:r>
              <w:rPr>
                <w:noProof/>
              </w:rPr>
              <w:t xml:space="preserve">Šādu hidroelektrostaciju pilnīga atjaunošana: </w:t>
            </w:r>
          </w:p>
          <w:p w14:paraId="28A4644B" w14:textId="77777777" w:rsidR="00776A1F" w:rsidRDefault="00D8574B">
            <w:pPr>
              <w:pStyle w:val="P68B1DB1-Normal8"/>
              <w:spacing w:after="0" w:line="240" w:lineRule="auto"/>
              <w:jc w:val="both"/>
              <w:rPr>
                <w:rFonts w:eastAsia="Times New Roman" w:cs="Calibri"/>
                <w:noProof/>
              </w:rPr>
            </w:pPr>
            <w:r>
              <w:rPr>
                <w:noProof/>
              </w:rPr>
              <w:t xml:space="preserve">Ūdens Serra hidroelektrostacija: elektrisko un mehānisko iekārtu nomaiņa un modernizācija, uzturot tikai ēku. </w:t>
            </w:r>
          </w:p>
          <w:p w14:paraId="18BFB475" w14:textId="2EB31E76" w:rsidR="00776A1F" w:rsidRDefault="00D8574B">
            <w:pPr>
              <w:pStyle w:val="P68B1DB1-Normal8"/>
              <w:spacing w:after="0" w:line="240" w:lineRule="auto"/>
              <w:jc w:val="both"/>
              <w:rPr>
                <w:rFonts w:eastAsia="Times New Roman" w:cs="Calibri"/>
                <w:noProof/>
              </w:rPr>
            </w:pPr>
            <w:r>
              <w:rPr>
                <w:noProof/>
              </w:rPr>
              <w:t>Calheta I hidroelektrostacija: aizstāt lielāko daļu aktīvu, jo īpaši divas uzstādītās ražošanas iekārtas ar 0,5 MW jaudu un citas elektrosistēmas, izņemot ēku. Darbi ietver arī to kanālu atjaunošanu, kuru kopējais garums ir aptuveni 13 km.</w:t>
            </w:r>
          </w:p>
        </w:tc>
      </w:tr>
      <w:tr w:rsidR="00776A1F" w14:paraId="6E33C52D" w14:textId="77777777">
        <w:trPr>
          <w:trHeight w:val="290"/>
        </w:trPr>
        <w:tc>
          <w:tcPr>
            <w:tcW w:w="1135" w:type="dxa"/>
            <w:shd w:val="clear" w:color="auto" w:fill="C4EFCE"/>
            <w:vAlign w:val="center"/>
            <w:hideMark/>
          </w:tcPr>
          <w:p w14:paraId="40BC8F13" w14:textId="77777777" w:rsidR="00776A1F" w:rsidRDefault="00D8574B">
            <w:pPr>
              <w:pStyle w:val="P68B1DB1-Normal7"/>
              <w:spacing w:after="0" w:line="240" w:lineRule="auto"/>
              <w:jc w:val="center"/>
              <w:rPr>
                <w:rFonts w:eastAsia="Times New Roman" w:cs="Calibri"/>
                <w:noProof/>
              </w:rPr>
            </w:pPr>
            <w:r>
              <w:rPr>
                <w:noProof/>
              </w:rPr>
              <w:t>14.7</w:t>
            </w:r>
          </w:p>
        </w:tc>
        <w:tc>
          <w:tcPr>
            <w:tcW w:w="1276" w:type="dxa"/>
            <w:shd w:val="clear" w:color="auto" w:fill="C4EFCE"/>
            <w:noWrap/>
            <w:vAlign w:val="center"/>
            <w:hideMark/>
          </w:tcPr>
          <w:p w14:paraId="1CC99350"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7C251B82"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69D33F4" w14:textId="77777777" w:rsidR="00776A1F" w:rsidRDefault="00D8574B">
            <w:pPr>
              <w:pStyle w:val="P68B1DB1-Normal8"/>
              <w:spacing w:after="0" w:line="240" w:lineRule="auto"/>
              <w:jc w:val="center"/>
              <w:rPr>
                <w:rFonts w:eastAsia="Times New Roman" w:cs="Calibri"/>
                <w:noProof/>
              </w:rPr>
            </w:pPr>
            <w:r>
              <w:rPr>
                <w:noProof/>
              </w:rPr>
              <w:t>Papildu uzstādītā jauda akumulatoru uzkrāšanas sistēmā</w:t>
            </w:r>
          </w:p>
        </w:tc>
        <w:tc>
          <w:tcPr>
            <w:tcW w:w="1275" w:type="dxa"/>
            <w:shd w:val="clear" w:color="auto" w:fill="C4EFCE"/>
            <w:noWrap/>
            <w:vAlign w:val="center"/>
            <w:hideMark/>
          </w:tcPr>
          <w:p w14:paraId="47DED681"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AD7FBEA"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5AE80CCF"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3404202" w14:textId="77777777" w:rsidR="00776A1F" w:rsidRDefault="00D8574B">
            <w:pPr>
              <w:pStyle w:val="P68B1DB1-Normal8"/>
              <w:spacing w:after="0" w:line="240" w:lineRule="auto"/>
              <w:jc w:val="center"/>
              <w:rPr>
                <w:rFonts w:eastAsia="Times New Roman" w:cs="Calibri"/>
                <w:noProof/>
              </w:rPr>
            </w:pPr>
            <w:r>
              <w:rPr>
                <w:noProof/>
              </w:rPr>
              <w:t>21</w:t>
            </w:r>
          </w:p>
        </w:tc>
        <w:tc>
          <w:tcPr>
            <w:tcW w:w="567" w:type="dxa"/>
            <w:shd w:val="clear" w:color="auto" w:fill="C4EFCE"/>
            <w:noWrap/>
            <w:vAlign w:val="center"/>
            <w:hideMark/>
          </w:tcPr>
          <w:p w14:paraId="23311448"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2CE3C18F"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508188D" w14:textId="77777777" w:rsidR="00776A1F" w:rsidRDefault="00D8574B">
            <w:pPr>
              <w:pStyle w:val="P68B1DB1-Normal8"/>
              <w:spacing w:after="0" w:line="240" w:lineRule="auto"/>
              <w:jc w:val="both"/>
              <w:rPr>
                <w:rFonts w:eastAsia="Times New Roman" w:cs="Calibri"/>
                <w:noProof/>
              </w:rPr>
            </w:pPr>
            <w:r>
              <w:rPr>
                <w:noProof/>
              </w:rPr>
              <w:t xml:space="preserve">Palielināt elektroenerģijas uzkrāšanu, pievienojot uzstādīto jaudu akumulatoru sistēmās. </w:t>
            </w:r>
          </w:p>
          <w:p w14:paraId="388555A7" w14:textId="00D42124" w:rsidR="00776A1F" w:rsidRDefault="00D8574B">
            <w:pPr>
              <w:pStyle w:val="P68B1DB1-Normal8"/>
              <w:spacing w:after="0" w:line="240" w:lineRule="auto"/>
              <w:jc w:val="both"/>
              <w:rPr>
                <w:rFonts w:eastAsia="Times New Roman" w:cs="Calibri"/>
                <w:noProof/>
              </w:rPr>
            </w:pPr>
            <w:r>
              <w:rPr>
                <w:noProof/>
              </w:rPr>
              <w:t>Pievienotā jauda ir vismaz 21 MW/27 MWh.</w:t>
            </w:r>
          </w:p>
        </w:tc>
      </w:tr>
      <w:tr w:rsidR="00776A1F" w14:paraId="1948699A" w14:textId="77777777">
        <w:trPr>
          <w:trHeight w:val="430"/>
        </w:trPr>
        <w:tc>
          <w:tcPr>
            <w:tcW w:w="1135" w:type="dxa"/>
            <w:shd w:val="clear" w:color="auto" w:fill="C4EFCE"/>
            <w:vAlign w:val="center"/>
            <w:hideMark/>
          </w:tcPr>
          <w:p w14:paraId="2C554E92" w14:textId="77777777" w:rsidR="00776A1F" w:rsidRDefault="00D8574B">
            <w:pPr>
              <w:pStyle w:val="P68B1DB1-Normal7"/>
              <w:spacing w:after="0" w:line="240" w:lineRule="auto"/>
              <w:jc w:val="center"/>
              <w:rPr>
                <w:rFonts w:eastAsia="Times New Roman" w:cs="Calibri"/>
                <w:noProof/>
              </w:rPr>
            </w:pPr>
            <w:r>
              <w:rPr>
                <w:noProof/>
              </w:rPr>
              <w:t>14.8</w:t>
            </w:r>
          </w:p>
        </w:tc>
        <w:tc>
          <w:tcPr>
            <w:tcW w:w="1276" w:type="dxa"/>
            <w:shd w:val="clear" w:color="auto" w:fill="C4EFCE"/>
            <w:noWrap/>
            <w:vAlign w:val="center"/>
            <w:hideMark/>
          </w:tcPr>
          <w:p w14:paraId="5FB40C15"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94061B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5F07188" w14:textId="77777777" w:rsidR="00776A1F" w:rsidRDefault="00D8574B">
            <w:pPr>
              <w:pStyle w:val="P68B1DB1-Normal8"/>
              <w:spacing w:after="0" w:line="240" w:lineRule="auto"/>
              <w:jc w:val="center"/>
              <w:rPr>
                <w:rFonts w:eastAsia="Times New Roman" w:cs="Calibri"/>
                <w:noProof/>
              </w:rPr>
            </w:pPr>
            <w:r>
              <w:rPr>
                <w:noProof/>
              </w:rPr>
              <w:t>Papildu jauda jaunas uzstādītās jaudas integrēšanai elektroenerģijas sistēmā</w:t>
            </w:r>
          </w:p>
        </w:tc>
        <w:tc>
          <w:tcPr>
            <w:tcW w:w="1275" w:type="dxa"/>
            <w:shd w:val="clear" w:color="auto" w:fill="C4EFCE"/>
            <w:noWrap/>
            <w:vAlign w:val="center"/>
            <w:hideMark/>
          </w:tcPr>
          <w:p w14:paraId="04404B06"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18AC5C6"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33D2174B"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DD47456" w14:textId="77777777" w:rsidR="00776A1F" w:rsidRDefault="00D8574B">
            <w:pPr>
              <w:pStyle w:val="P68B1DB1-Normal8"/>
              <w:spacing w:after="0" w:line="240" w:lineRule="auto"/>
              <w:jc w:val="center"/>
              <w:rPr>
                <w:rFonts w:eastAsia="Times New Roman" w:cs="Calibri"/>
                <w:noProof/>
              </w:rPr>
            </w:pPr>
            <w:r>
              <w:rPr>
                <w:noProof/>
              </w:rPr>
              <w:t>48</w:t>
            </w:r>
          </w:p>
        </w:tc>
        <w:tc>
          <w:tcPr>
            <w:tcW w:w="567" w:type="dxa"/>
            <w:shd w:val="clear" w:color="auto" w:fill="C4EFCE"/>
            <w:noWrap/>
            <w:vAlign w:val="center"/>
            <w:hideMark/>
          </w:tcPr>
          <w:p w14:paraId="7A7FC3C8" w14:textId="77777777"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1286C6DF"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7880C30" w14:textId="53A5D4C2" w:rsidR="00776A1F" w:rsidRDefault="00D8574B">
            <w:pPr>
              <w:pStyle w:val="P68B1DB1-Normal8"/>
              <w:spacing w:after="0" w:line="240" w:lineRule="auto"/>
              <w:jc w:val="both"/>
              <w:rPr>
                <w:rFonts w:eastAsia="Times New Roman" w:cs="Calibri"/>
                <w:noProof/>
              </w:rPr>
            </w:pPr>
            <w:r>
              <w:rPr>
                <w:noProof/>
              </w:rPr>
              <w:t>Atjaunojamo energoresursu integrēšanas jaudas palielināšana AZM elektroenerģijas sistēmā. Uzlabojums sasniedz 8 MW Porto Santo un 40 MW Madeirā.</w:t>
            </w:r>
          </w:p>
        </w:tc>
      </w:tr>
      <w:tr w:rsidR="00776A1F" w14:paraId="7777E58F" w14:textId="77777777">
        <w:trPr>
          <w:trHeight w:val="430"/>
        </w:trPr>
        <w:tc>
          <w:tcPr>
            <w:tcW w:w="1135" w:type="dxa"/>
            <w:shd w:val="clear" w:color="auto" w:fill="C4EFCE"/>
            <w:vAlign w:val="center"/>
            <w:hideMark/>
          </w:tcPr>
          <w:p w14:paraId="0A07FC76" w14:textId="77777777" w:rsidR="00776A1F" w:rsidRDefault="00D8574B">
            <w:pPr>
              <w:pStyle w:val="P68B1DB1-Normal7"/>
              <w:spacing w:after="0" w:line="240" w:lineRule="auto"/>
              <w:jc w:val="center"/>
              <w:rPr>
                <w:rFonts w:eastAsia="Times New Roman" w:cs="Calibri"/>
                <w:noProof/>
              </w:rPr>
            </w:pPr>
            <w:r>
              <w:rPr>
                <w:noProof/>
              </w:rPr>
              <w:t>14.9</w:t>
            </w:r>
          </w:p>
        </w:tc>
        <w:tc>
          <w:tcPr>
            <w:tcW w:w="1276" w:type="dxa"/>
            <w:shd w:val="clear" w:color="auto" w:fill="C4EFCE"/>
            <w:noWrap/>
            <w:vAlign w:val="center"/>
            <w:hideMark/>
          </w:tcPr>
          <w:p w14:paraId="6F6CE13A"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3F096E46"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D8452D" w14:textId="77777777" w:rsidR="00776A1F" w:rsidRDefault="00D8574B">
            <w:pPr>
              <w:pStyle w:val="P68B1DB1-Normal8"/>
              <w:spacing w:after="0" w:line="240" w:lineRule="auto"/>
              <w:jc w:val="center"/>
              <w:rPr>
                <w:rFonts w:eastAsia="Times New Roman" w:cs="Calibri"/>
                <w:noProof/>
              </w:rPr>
            </w:pPr>
            <w:r>
              <w:rPr>
                <w:noProof/>
              </w:rPr>
              <w:t xml:space="preserve">Viedo skaitītāju uzstādīšana </w:t>
            </w:r>
          </w:p>
        </w:tc>
        <w:tc>
          <w:tcPr>
            <w:tcW w:w="1275" w:type="dxa"/>
            <w:shd w:val="clear" w:color="auto" w:fill="C4EFCE"/>
            <w:noWrap/>
            <w:vAlign w:val="center"/>
            <w:hideMark/>
          </w:tcPr>
          <w:p w14:paraId="6EE2AFB4"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97B7CDD"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6171D01F"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64A2B0C" w14:textId="53CB6B01" w:rsidR="00776A1F" w:rsidRDefault="00D8574B">
            <w:pPr>
              <w:pStyle w:val="P68B1DB1-Normal8"/>
              <w:spacing w:after="0" w:line="240" w:lineRule="auto"/>
              <w:jc w:val="center"/>
              <w:rPr>
                <w:rFonts w:eastAsia="Times New Roman" w:cs="Calibri"/>
                <w:noProof/>
              </w:rPr>
            </w:pPr>
            <w:r>
              <w:rPr>
                <w:noProof/>
              </w:rPr>
              <w:t>130 000</w:t>
            </w:r>
          </w:p>
        </w:tc>
        <w:tc>
          <w:tcPr>
            <w:tcW w:w="567" w:type="dxa"/>
            <w:shd w:val="clear" w:color="auto" w:fill="C4EFCE"/>
            <w:noWrap/>
            <w:vAlign w:val="center"/>
            <w:hideMark/>
          </w:tcPr>
          <w:p w14:paraId="466259E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461EE381"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A0AB2BE" w14:textId="77777777" w:rsidR="00776A1F" w:rsidRDefault="00D8574B">
            <w:pPr>
              <w:pStyle w:val="P68B1DB1-Normal8"/>
              <w:spacing w:after="0" w:line="240" w:lineRule="auto"/>
              <w:jc w:val="both"/>
              <w:rPr>
                <w:rFonts w:eastAsia="Times New Roman" w:cs="Calibri"/>
                <w:noProof/>
              </w:rPr>
            </w:pPr>
            <w:r>
              <w:rPr>
                <w:noProof/>
              </w:rPr>
              <w:t>Jaunu viedo skaitītāju nodrošināšana un uzstādīšana (elektroskaitītāji, kas reģistrē informāciju par patēriņu un ir pieslēgti sakaru tīklam)</w:t>
            </w:r>
          </w:p>
        </w:tc>
      </w:tr>
      <w:tr w:rsidR="00776A1F" w14:paraId="085247C8" w14:textId="77777777">
        <w:trPr>
          <w:trHeight w:val="300"/>
        </w:trPr>
        <w:tc>
          <w:tcPr>
            <w:tcW w:w="1135" w:type="dxa"/>
            <w:shd w:val="clear" w:color="auto" w:fill="C4EFCE"/>
            <w:vAlign w:val="center"/>
            <w:hideMark/>
          </w:tcPr>
          <w:p w14:paraId="4DAE842D" w14:textId="77777777" w:rsidR="00776A1F" w:rsidRDefault="00D8574B">
            <w:pPr>
              <w:pStyle w:val="P68B1DB1-Normal7"/>
              <w:spacing w:after="0" w:line="240" w:lineRule="auto"/>
              <w:jc w:val="center"/>
              <w:rPr>
                <w:rFonts w:eastAsia="Times New Roman" w:cs="Calibri"/>
                <w:noProof/>
              </w:rPr>
            </w:pPr>
            <w:r>
              <w:rPr>
                <w:noProof/>
              </w:rPr>
              <w:t>14.10</w:t>
            </w:r>
          </w:p>
        </w:tc>
        <w:tc>
          <w:tcPr>
            <w:tcW w:w="1276" w:type="dxa"/>
            <w:shd w:val="clear" w:color="auto" w:fill="C4EFCE"/>
            <w:noWrap/>
            <w:vAlign w:val="center"/>
            <w:hideMark/>
          </w:tcPr>
          <w:p w14:paraId="3B119B79" w14:textId="77777777" w:rsidR="00776A1F" w:rsidRDefault="00D8574B">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2D8644BA"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3077042" w14:textId="77777777" w:rsidR="00776A1F" w:rsidRDefault="00D8574B">
            <w:pPr>
              <w:pStyle w:val="P68B1DB1-Normal8"/>
              <w:spacing w:after="0" w:line="240" w:lineRule="auto"/>
              <w:jc w:val="center"/>
              <w:rPr>
                <w:rFonts w:eastAsia="Times New Roman" w:cs="Calibri"/>
                <w:noProof/>
              </w:rPr>
            </w:pPr>
            <w:r>
              <w:rPr>
                <w:noProof/>
              </w:rPr>
              <w:t xml:space="preserve">Ielu apgaismojuma punktu nomaiņa </w:t>
            </w:r>
          </w:p>
        </w:tc>
        <w:tc>
          <w:tcPr>
            <w:tcW w:w="1275" w:type="dxa"/>
            <w:shd w:val="clear" w:color="auto" w:fill="C4EFCE"/>
            <w:noWrap/>
            <w:vAlign w:val="center"/>
            <w:hideMark/>
          </w:tcPr>
          <w:p w14:paraId="1F6A61E8"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3AB129"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19AB4E5C"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5BE9D871" w14:textId="77777777" w:rsidR="00776A1F" w:rsidRDefault="00D8574B">
            <w:pPr>
              <w:pStyle w:val="P68B1DB1-Normal8"/>
              <w:spacing w:after="0" w:line="240" w:lineRule="auto"/>
              <w:jc w:val="center"/>
              <w:rPr>
                <w:rFonts w:eastAsia="Times New Roman" w:cs="Calibri"/>
                <w:noProof/>
              </w:rPr>
            </w:pPr>
            <w:r>
              <w:rPr>
                <w:noProof/>
              </w:rPr>
              <w:t>8 750</w:t>
            </w:r>
          </w:p>
        </w:tc>
        <w:tc>
          <w:tcPr>
            <w:tcW w:w="567" w:type="dxa"/>
            <w:shd w:val="clear" w:color="auto" w:fill="C4EFCE"/>
            <w:noWrap/>
            <w:vAlign w:val="center"/>
            <w:hideMark/>
          </w:tcPr>
          <w:p w14:paraId="352149A8"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9138D5E"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233918" w14:textId="77777777" w:rsidR="00776A1F" w:rsidRDefault="00D8574B">
            <w:pPr>
              <w:pStyle w:val="P68B1DB1-Normal8"/>
              <w:spacing w:after="0" w:line="240" w:lineRule="auto"/>
              <w:jc w:val="both"/>
              <w:rPr>
                <w:rFonts w:eastAsia="Times New Roman" w:cs="Calibri"/>
                <w:noProof/>
              </w:rPr>
            </w:pPr>
            <w:r>
              <w:rPr>
                <w:noProof/>
              </w:rPr>
              <w:t>Publiskā apgaismojuma tīkla aizstāšana ar zemas enerģijas LED apgaismojumu un tā pārvaldības sistēmu</w:t>
            </w:r>
          </w:p>
        </w:tc>
      </w:tr>
      <w:tr w:rsidR="00776A1F" w14:paraId="49C49B34" w14:textId="77777777">
        <w:trPr>
          <w:trHeight w:val="630"/>
        </w:trPr>
        <w:tc>
          <w:tcPr>
            <w:tcW w:w="1135" w:type="dxa"/>
            <w:shd w:val="clear" w:color="auto" w:fill="C4EFCE"/>
            <w:vAlign w:val="center"/>
            <w:hideMark/>
          </w:tcPr>
          <w:p w14:paraId="57987303" w14:textId="77777777" w:rsidR="00776A1F" w:rsidRDefault="00D8574B">
            <w:pPr>
              <w:pStyle w:val="P68B1DB1-Normal7"/>
              <w:spacing w:after="0" w:line="240" w:lineRule="auto"/>
              <w:jc w:val="center"/>
              <w:rPr>
                <w:rFonts w:eastAsia="Times New Roman" w:cs="Calibri"/>
                <w:noProof/>
              </w:rPr>
            </w:pPr>
            <w:r>
              <w:rPr>
                <w:noProof/>
              </w:rPr>
              <w:t>14.11</w:t>
            </w:r>
          </w:p>
        </w:tc>
        <w:tc>
          <w:tcPr>
            <w:tcW w:w="1276" w:type="dxa"/>
            <w:shd w:val="clear" w:color="auto" w:fill="C4EFCE"/>
            <w:noWrap/>
            <w:vAlign w:val="center"/>
            <w:hideMark/>
          </w:tcPr>
          <w:p w14:paraId="0E810C24" w14:textId="77777777" w:rsidR="00776A1F" w:rsidRDefault="00D8574B">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07BB7096"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CDAE41D" w14:textId="77777777" w:rsidR="00776A1F" w:rsidRDefault="00D8574B">
            <w:pPr>
              <w:pStyle w:val="P68B1DB1-Normal8"/>
              <w:spacing w:after="0" w:line="240" w:lineRule="auto"/>
              <w:jc w:val="center"/>
              <w:rPr>
                <w:rFonts w:eastAsia="Times New Roman" w:cs="Calibri"/>
                <w:noProof/>
              </w:rPr>
            </w:pPr>
            <w:r>
              <w:rPr>
                <w:noProof/>
              </w:rPr>
              <w:t>Papildu un atjaunotā uzstādītā ģeotermālā ražošanas jauda</w:t>
            </w:r>
          </w:p>
        </w:tc>
        <w:tc>
          <w:tcPr>
            <w:tcW w:w="1275" w:type="dxa"/>
            <w:shd w:val="clear" w:color="auto" w:fill="C4EFCE"/>
            <w:noWrap/>
            <w:vAlign w:val="center"/>
            <w:hideMark/>
          </w:tcPr>
          <w:p w14:paraId="346DFA29"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22D7A0"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25B70213"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8D74A92" w14:textId="77777777" w:rsidR="00776A1F" w:rsidRDefault="00D8574B">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7654C1AA" w14:textId="3DD4D71C"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2C969610" w14:textId="294D2D88"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615578BD" w14:textId="77777777" w:rsidR="00776A1F" w:rsidRDefault="00D8574B">
            <w:pPr>
              <w:pStyle w:val="P68B1DB1-Normal8"/>
              <w:spacing w:after="0" w:line="240" w:lineRule="auto"/>
              <w:jc w:val="both"/>
              <w:rPr>
                <w:rFonts w:eastAsia="Times New Roman" w:cs="Calibri"/>
                <w:noProof/>
              </w:rPr>
            </w:pPr>
            <w:r>
              <w:rPr>
                <w:noProof/>
              </w:rPr>
              <w:t xml:space="preserve">Palielināt elektroenerģijas ražošanas jaudu, izmantojot atjaunojamos energoresursus, jo īpaši ģeotermālo enerģiju. Papildu jaudu (12 MW) uzstāda Pico Alto ģeotermālajā rūpnīcā un Pico Vermelho ģeotermālajā rūpnīcā. </w:t>
            </w:r>
          </w:p>
          <w:p w14:paraId="2807AEAB" w14:textId="570B2349" w:rsidR="00776A1F" w:rsidRDefault="00D8574B">
            <w:pPr>
              <w:pStyle w:val="P68B1DB1-Normal8"/>
              <w:spacing w:after="0" w:line="240" w:lineRule="auto"/>
              <w:jc w:val="both"/>
              <w:rPr>
                <w:rFonts w:eastAsia="Times New Roman" w:cs="Calibri"/>
                <w:noProof/>
              </w:rPr>
            </w:pPr>
            <w:r>
              <w:rPr>
                <w:noProof/>
              </w:rPr>
              <w:t>Renovējot Ribeira Grande ģeotermālo spēkstaciju, tiks ieviestas trīs jaunas ģeotermālās akas, un esošās 2x2,5 MW ģeneratorvienības aizstāj ar efektīvāku 5 MW elektroenerģijas ražošanas vienību.</w:t>
            </w:r>
          </w:p>
        </w:tc>
      </w:tr>
      <w:tr w:rsidR="00776A1F" w14:paraId="6EB81417" w14:textId="77777777">
        <w:trPr>
          <w:trHeight w:val="430"/>
        </w:trPr>
        <w:tc>
          <w:tcPr>
            <w:tcW w:w="1135" w:type="dxa"/>
            <w:shd w:val="clear" w:color="auto" w:fill="C4EFCE"/>
            <w:vAlign w:val="center"/>
            <w:hideMark/>
          </w:tcPr>
          <w:p w14:paraId="3405F6EB" w14:textId="77777777" w:rsidR="00776A1F" w:rsidRDefault="00D8574B">
            <w:pPr>
              <w:pStyle w:val="P68B1DB1-Normal7"/>
              <w:spacing w:after="0" w:line="240" w:lineRule="auto"/>
              <w:jc w:val="center"/>
              <w:rPr>
                <w:rFonts w:eastAsia="Times New Roman" w:cs="Calibri"/>
                <w:noProof/>
              </w:rPr>
            </w:pPr>
            <w:r>
              <w:rPr>
                <w:noProof/>
              </w:rPr>
              <w:t>14.12</w:t>
            </w:r>
          </w:p>
        </w:tc>
        <w:tc>
          <w:tcPr>
            <w:tcW w:w="1276" w:type="dxa"/>
            <w:shd w:val="clear" w:color="auto" w:fill="C4EFCE"/>
            <w:noWrap/>
            <w:vAlign w:val="center"/>
            <w:hideMark/>
          </w:tcPr>
          <w:p w14:paraId="63DE5821" w14:textId="77777777" w:rsidR="00776A1F" w:rsidRDefault="00D8574B">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63E7E41F"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2755F2" w14:textId="77777777" w:rsidR="00776A1F" w:rsidRDefault="00D8574B">
            <w:pPr>
              <w:pStyle w:val="P68B1DB1-Normal8"/>
              <w:spacing w:after="0" w:line="240" w:lineRule="auto"/>
              <w:jc w:val="center"/>
              <w:rPr>
                <w:rFonts w:eastAsia="Times New Roman" w:cs="Calibri"/>
                <w:noProof/>
              </w:rPr>
            </w:pPr>
            <w:r>
              <w:rPr>
                <w:noProof/>
              </w:rPr>
              <w:t>Papildu atjaunīgās elektroenerģijas ražošana Korvā</w:t>
            </w:r>
          </w:p>
        </w:tc>
        <w:tc>
          <w:tcPr>
            <w:tcW w:w="1275" w:type="dxa"/>
            <w:shd w:val="clear" w:color="auto" w:fill="C4EFCE"/>
            <w:noWrap/>
            <w:vAlign w:val="center"/>
            <w:hideMark/>
          </w:tcPr>
          <w:p w14:paraId="4A191934"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FE8B622" w14:textId="77777777" w:rsidR="00776A1F" w:rsidRDefault="00D8574B">
            <w:pPr>
              <w:pStyle w:val="P68B1DB1-Normal8"/>
              <w:spacing w:after="0" w:line="240" w:lineRule="auto"/>
              <w:jc w:val="center"/>
              <w:rPr>
                <w:rFonts w:eastAsia="Times New Roman" w:cs="Calibri"/>
                <w:noProof/>
              </w:rPr>
            </w:pPr>
            <w:r>
              <w:rPr>
                <w:noProof/>
              </w:rPr>
              <w:t>kW</w:t>
            </w:r>
          </w:p>
        </w:tc>
        <w:tc>
          <w:tcPr>
            <w:tcW w:w="992" w:type="dxa"/>
            <w:shd w:val="clear" w:color="auto" w:fill="C4EFCE"/>
            <w:noWrap/>
            <w:vAlign w:val="center"/>
            <w:hideMark/>
          </w:tcPr>
          <w:p w14:paraId="5DA012D0"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0FE94F2" w14:textId="77777777" w:rsidR="00776A1F" w:rsidRDefault="00D8574B">
            <w:pPr>
              <w:pStyle w:val="P68B1DB1-Normal8"/>
              <w:spacing w:after="0" w:line="240" w:lineRule="auto"/>
              <w:jc w:val="center"/>
              <w:rPr>
                <w:rFonts w:eastAsia="Times New Roman" w:cs="Calibri"/>
                <w:noProof/>
              </w:rPr>
            </w:pPr>
            <w:r>
              <w:rPr>
                <w:noProof/>
              </w:rPr>
              <w:t>850</w:t>
            </w:r>
          </w:p>
        </w:tc>
        <w:tc>
          <w:tcPr>
            <w:tcW w:w="567" w:type="dxa"/>
            <w:shd w:val="clear" w:color="auto" w:fill="C4EFCE"/>
            <w:noWrap/>
            <w:vAlign w:val="center"/>
            <w:hideMark/>
          </w:tcPr>
          <w:p w14:paraId="21A4EA86" w14:textId="10D88483"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4EC5CBA7" w14:textId="5D6061B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522AF9F" w14:textId="5591984C" w:rsidR="00776A1F" w:rsidRDefault="00D8574B">
            <w:pPr>
              <w:pStyle w:val="P68B1DB1-Normal8"/>
              <w:spacing w:after="0" w:line="240" w:lineRule="auto"/>
              <w:jc w:val="both"/>
              <w:rPr>
                <w:rFonts w:eastAsia="Times New Roman" w:cs="Calibri"/>
                <w:noProof/>
              </w:rPr>
            </w:pPr>
            <w:r>
              <w:rPr>
                <w:noProof/>
              </w:rPr>
              <w:t>Palielināt uzstādīto jaudu elektroenerģijas ražošanai no atjaunojamiem energoresursiem Korvas salā, uzstādot fotoelementu un vēja enerģijas parku.</w:t>
            </w:r>
          </w:p>
        </w:tc>
      </w:tr>
      <w:tr w:rsidR="00776A1F" w14:paraId="4BF28A70" w14:textId="77777777">
        <w:trPr>
          <w:trHeight w:val="640"/>
        </w:trPr>
        <w:tc>
          <w:tcPr>
            <w:tcW w:w="1135" w:type="dxa"/>
            <w:shd w:val="clear" w:color="auto" w:fill="C4EFCE"/>
            <w:vAlign w:val="center"/>
            <w:hideMark/>
          </w:tcPr>
          <w:p w14:paraId="26E7B270" w14:textId="77777777" w:rsidR="00776A1F" w:rsidRDefault="00D8574B">
            <w:pPr>
              <w:pStyle w:val="P68B1DB1-Normal7"/>
              <w:spacing w:after="0" w:line="240" w:lineRule="auto"/>
              <w:jc w:val="center"/>
              <w:rPr>
                <w:rFonts w:eastAsia="Times New Roman" w:cs="Calibri"/>
                <w:noProof/>
              </w:rPr>
            </w:pPr>
            <w:r>
              <w:rPr>
                <w:noProof/>
              </w:rPr>
              <w:t>14.13</w:t>
            </w:r>
          </w:p>
        </w:tc>
        <w:tc>
          <w:tcPr>
            <w:tcW w:w="1276" w:type="dxa"/>
            <w:shd w:val="clear" w:color="auto" w:fill="C4EFCE"/>
            <w:noWrap/>
            <w:vAlign w:val="center"/>
            <w:hideMark/>
          </w:tcPr>
          <w:p w14:paraId="21B544BC" w14:textId="77777777" w:rsidR="00776A1F" w:rsidRDefault="00D8574B">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21AB62A"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5CB493E" w14:textId="77777777" w:rsidR="00776A1F" w:rsidRDefault="00D8574B">
            <w:pPr>
              <w:pStyle w:val="P68B1DB1-Normal8"/>
              <w:spacing w:after="0" w:line="240" w:lineRule="auto"/>
              <w:jc w:val="center"/>
              <w:rPr>
                <w:rFonts w:eastAsia="Times New Roman" w:cs="Calibri"/>
                <w:noProof/>
              </w:rPr>
            </w:pPr>
            <w:r>
              <w:rPr>
                <w:noProof/>
              </w:rPr>
              <w:t>Jaunas akumulatoru enerģijas uzkrāšanas sistēmas un energovadības sistēmas ARA</w:t>
            </w:r>
          </w:p>
        </w:tc>
        <w:tc>
          <w:tcPr>
            <w:tcW w:w="1275" w:type="dxa"/>
            <w:shd w:val="clear" w:color="auto" w:fill="C4EFCE"/>
            <w:noWrap/>
            <w:vAlign w:val="center"/>
            <w:hideMark/>
          </w:tcPr>
          <w:p w14:paraId="32C59D26"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22A9B89"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79DC3B8"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A6A215E" w14:textId="77777777" w:rsidR="00776A1F" w:rsidRDefault="00D8574B">
            <w:pPr>
              <w:pStyle w:val="P68B1DB1-Normal8"/>
              <w:spacing w:after="0" w:line="240" w:lineRule="auto"/>
              <w:jc w:val="center"/>
              <w:rPr>
                <w:rFonts w:eastAsia="Times New Roman" w:cs="Calibri"/>
                <w:noProof/>
              </w:rPr>
            </w:pPr>
            <w:r>
              <w:rPr>
                <w:noProof/>
              </w:rPr>
              <w:t>20</w:t>
            </w:r>
          </w:p>
        </w:tc>
        <w:tc>
          <w:tcPr>
            <w:tcW w:w="567" w:type="dxa"/>
            <w:shd w:val="clear" w:color="auto" w:fill="C4EFCE"/>
            <w:noWrap/>
            <w:vAlign w:val="center"/>
            <w:hideMark/>
          </w:tcPr>
          <w:p w14:paraId="748EDD79" w14:textId="4D8C8E40"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27D3725B" w14:textId="243A03A5" w:rsidR="00776A1F" w:rsidRDefault="00D8574B">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75D6C939" w14:textId="77777777" w:rsidR="00776A1F" w:rsidRDefault="00D8574B">
            <w:pPr>
              <w:pStyle w:val="P68B1DB1-Normal8"/>
              <w:spacing w:after="0" w:line="240" w:lineRule="auto"/>
              <w:jc w:val="both"/>
              <w:rPr>
                <w:rFonts w:eastAsia="Times New Roman" w:cs="Calibri"/>
                <w:noProof/>
              </w:rPr>
            </w:pPr>
            <w:r>
              <w:rPr>
                <w:noProof/>
              </w:rPr>
              <w:t>Jaunu akumulatoru enerģijas uzkrāšanas sistēmu un energovadības sistēmu uzstādīšana sešās salās, lai varētu vairāk integrēt atjaunojamos energoresursus, vienlaikus nodrošinot piegādes drošību un pakalpojumu kvalitāti, ar jaudas diapazonu no 20 MW līdz 30 MW kopā. ·</w:t>
            </w:r>
          </w:p>
        </w:tc>
      </w:tr>
      <w:tr w:rsidR="00776A1F" w14:paraId="1056362A" w14:textId="77777777">
        <w:trPr>
          <w:trHeight w:val="430"/>
        </w:trPr>
        <w:tc>
          <w:tcPr>
            <w:tcW w:w="1135" w:type="dxa"/>
            <w:shd w:val="clear" w:color="auto" w:fill="C4EFCE"/>
            <w:vAlign w:val="center"/>
            <w:hideMark/>
          </w:tcPr>
          <w:p w14:paraId="32B5D8E8" w14:textId="77777777" w:rsidR="00776A1F" w:rsidRDefault="00D8574B">
            <w:pPr>
              <w:pStyle w:val="P68B1DB1-Normal7"/>
              <w:spacing w:after="0" w:line="240" w:lineRule="auto"/>
              <w:jc w:val="center"/>
              <w:rPr>
                <w:rFonts w:eastAsia="Times New Roman" w:cs="Calibri"/>
                <w:noProof/>
              </w:rPr>
            </w:pPr>
            <w:r>
              <w:rPr>
                <w:noProof/>
              </w:rPr>
              <w:t>14.14</w:t>
            </w:r>
          </w:p>
        </w:tc>
        <w:tc>
          <w:tcPr>
            <w:tcW w:w="1276" w:type="dxa"/>
            <w:shd w:val="clear" w:color="auto" w:fill="C4EFCE"/>
            <w:noWrap/>
            <w:vAlign w:val="center"/>
            <w:hideMark/>
          </w:tcPr>
          <w:p w14:paraId="054F1D8B" w14:textId="77777777" w:rsidR="00776A1F" w:rsidRDefault="00D8574B">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72D082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9DC164" w14:textId="77777777" w:rsidR="00776A1F" w:rsidRDefault="00D8574B">
            <w:pPr>
              <w:pStyle w:val="P68B1DB1-Normal8"/>
              <w:spacing w:after="0" w:line="240" w:lineRule="auto"/>
              <w:jc w:val="center"/>
              <w:rPr>
                <w:rFonts w:eastAsia="Times New Roman" w:cs="Calibri"/>
                <w:noProof/>
              </w:rPr>
            </w:pPr>
            <w:r>
              <w:rPr>
                <w:noProof/>
              </w:rPr>
              <w:t>Mazu fotoelementu iekārtu uzstādīšana vietējai elektroenerģijas ražošanai un patēriņam</w:t>
            </w:r>
          </w:p>
        </w:tc>
        <w:tc>
          <w:tcPr>
            <w:tcW w:w="1275" w:type="dxa"/>
            <w:shd w:val="clear" w:color="auto" w:fill="C4EFCE"/>
            <w:noWrap/>
            <w:vAlign w:val="center"/>
            <w:hideMark/>
          </w:tcPr>
          <w:p w14:paraId="3010E648"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35F208A" w14:textId="77777777" w:rsidR="00776A1F" w:rsidRDefault="00D8574B">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43701371"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DA6B091" w14:textId="1611D817" w:rsidR="00776A1F" w:rsidRDefault="00D8574B">
            <w:pPr>
              <w:pStyle w:val="P68B1DB1-Normal8"/>
              <w:spacing w:after="0" w:line="240" w:lineRule="auto"/>
              <w:jc w:val="center"/>
              <w:rPr>
                <w:rFonts w:eastAsia="Times New Roman" w:cs="Calibri"/>
                <w:noProof/>
              </w:rPr>
            </w:pPr>
            <w:r>
              <w:rPr>
                <w:noProof/>
              </w:rPr>
              <w:t>11,2</w:t>
            </w:r>
          </w:p>
        </w:tc>
        <w:tc>
          <w:tcPr>
            <w:tcW w:w="567" w:type="dxa"/>
            <w:shd w:val="clear" w:color="auto" w:fill="C4EFCE"/>
            <w:noWrap/>
            <w:vAlign w:val="center"/>
            <w:hideMark/>
          </w:tcPr>
          <w:p w14:paraId="3ED06E56"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D25B3E7"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A739CE2" w14:textId="77777777" w:rsidR="00776A1F" w:rsidRDefault="00D8574B">
            <w:pPr>
              <w:pStyle w:val="P68B1DB1-Normal8"/>
              <w:spacing w:after="0" w:line="240" w:lineRule="auto"/>
              <w:jc w:val="both"/>
              <w:rPr>
                <w:rFonts w:eastAsia="Times New Roman" w:cs="Calibri"/>
                <w:noProof/>
              </w:rPr>
            </w:pPr>
            <w:r>
              <w:rPr>
                <w:noProof/>
              </w:rPr>
              <w:t>Jaunas uzstādītās elektroenerģijas jaudas uzstādīšana, ieguldot difūzās mazās fotoelementu iekārtās, kas paredzētas galvenokārt pašpatēriņam, pieņemot, ka atbalsta saņēmēji nefinansē.</w:t>
            </w:r>
          </w:p>
        </w:tc>
      </w:tr>
    </w:tbl>
    <w:p w14:paraId="5A094B69" w14:textId="77777777" w:rsidR="00776A1F" w:rsidRDefault="00776A1F">
      <w:pPr>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276"/>
          <w:headerReference w:type="default" r:id="rId277"/>
          <w:footerReference w:type="even" r:id="rId278"/>
          <w:footerReference w:type="default" r:id="rId279"/>
          <w:headerReference w:type="first" r:id="rId280"/>
          <w:footerReference w:type="first" r:id="rId281"/>
          <w:pgSz w:w="16839" w:h="11907" w:orient="landscape"/>
          <w:pgMar w:top="1134" w:right="1134" w:bottom="1134" w:left="1134" w:header="567" w:footer="567" w:gutter="0"/>
          <w:cols w:space="720"/>
          <w:docGrid w:linePitch="360"/>
        </w:sectPr>
      </w:pPr>
    </w:p>
    <w:p w14:paraId="319EDBBA" w14:textId="77777777" w:rsidR="00776A1F" w:rsidRDefault="00D8574B">
      <w:pPr>
        <w:pStyle w:val="P68B1DB1-Normal3"/>
        <w:keepNext/>
        <w:spacing w:before="40" w:after="0" w:line="259" w:lineRule="auto"/>
        <w:ind w:left="130" w:firstLine="720"/>
        <w:jc w:val="both"/>
        <w:outlineLvl w:val="1"/>
        <w:rPr>
          <w:rFonts w:eastAsiaTheme="minorEastAsia" w:cs="Times New Roman"/>
          <w:smallCaps/>
          <w:noProof/>
        </w:rPr>
      </w:pPr>
      <w:r>
        <w:rPr>
          <w:noProof/>
        </w:rPr>
        <w:t>O.</w:t>
      </w:r>
      <w:r>
        <w:rPr>
          <w:smallCaps/>
          <w:noProof/>
        </w:rPr>
        <w:t>SASTĀVDAĻA  1</w:t>
      </w:r>
      <w:r>
        <w:rPr>
          <w:noProof/>
        </w:rPr>
        <w:t>5</w:t>
      </w:r>
      <w:r>
        <w:rPr>
          <w:smallCaps/>
          <w:noProof/>
        </w:rPr>
        <w:t>:</w:t>
      </w:r>
      <w:r>
        <w:rPr>
          <w:noProof/>
        </w:rPr>
        <w:t xml:space="preserve"> Ilgtspējīga mobilitāte </w:t>
      </w:r>
    </w:p>
    <w:p w14:paraId="36604D95" w14:textId="77777777" w:rsidR="00776A1F" w:rsidRDefault="00D8574B">
      <w:pPr>
        <w:pStyle w:val="P68B1DB1-Normal4"/>
        <w:spacing w:before="40" w:after="0" w:line="259" w:lineRule="auto"/>
        <w:jc w:val="both"/>
        <w:rPr>
          <w:rFonts w:eastAsiaTheme="minorEastAsia" w:cs="Times New Roman"/>
          <w:noProof/>
        </w:rPr>
      </w:pPr>
      <w:r>
        <w:rPr>
          <w:noProof/>
        </w:rPr>
        <w:t>Šis Portugāles atveseļošanas un noturības plāna komponents risina vairākas transporta nozares problēmas: nepieciešamība samazināt siltumnīcefekta gāzu un piesārņotāju emisijas, nepieciešamība samazināt atkarību no privāta automobiļa un nepieciešamība nodrošināt labāku sociālo kohēziju pilsētu teritorijās.</w:t>
      </w:r>
    </w:p>
    <w:p w14:paraId="278D0CE5" w14:textId="77777777" w:rsidR="00776A1F" w:rsidRDefault="00D8574B">
      <w:pPr>
        <w:pStyle w:val="P68B1DB1-Normal4"/>
        <w:spacing w:before="40" w:after="0" w:line="259" w:lineRule="auto"/>
        <w:jc w:val="both"/>
        <w:rPr>
          <w:rFonts w:eastAsiaTheme="minorEastAsia" w:cs="Times New Roman"/>
          <w:noProof/>
        </w:rPr>
      </w:pPr>
      <w:r>
        <w:rPr>
          <w:noProof/>
        </w:rPr>
        <w:t xml:space="preserve">Šā komponenta mērķis ir samazināt emisijas un uzlabot sabiedrisko transportu, paplašinot tīklu, padarot to pieejamāku un stiprinot sabiedriskā transporta plānošanas spējas. Paredzams, ka tas palielinās sabiedriskā transporta lietotāju skaitu, veicinās pāreju no privātā automobiļa uz sabiedrisko transportu un veicinās labāku transporta pārvaldību un plānošanas spējas. Šajā nolūkā šo komponentu veido reformas un ieguldījumi, kas veicina ilgtspējīgu sabiedrisko transportu, paplašinot Lisabonas un Porto metro, izbūvējot vieglā dzelzceļa sistēmu Lisabonā, autobusu ātro tranzīta sistēmu Portu un bezemisiju autobusu iegādi sabiedriskajam transportam. </w:t>
      </w:r>
    </w:p>
    <w:p w14:paraId="693476C5" w14:textId="77777777" w:rsidR="00776A1F" w:rsidRDefault="00D8574B">
      <w:pPr>
        <w:pStyle w:val="P68B1DB1-Normal4"/>
        <w:spacing w:before="40" w:after="0" w:line="259" w:lineRule="auto"/>
        <w:jc w:val="both"/>
        <w:rPr>
          <w:rFonts w:eastAsiaTheme="minorEastAsia" w:cs="Times New Roman"/>
          <w:noProof/>
        </w:rPr>
      </w:pPr>
      <w:r>
        <w:rPr>
          <w:noProof/>
        </w:rPr>
        <w:t>Komponents palīdz īstenot konkrētai valstij adresēto ieteikumu par investīciju koncentrēšanu uz zaļo pārkārtošanos (valsts īpašais ieteikums Nr. 3 2020).</w:t>
      </w:r>
    </w:p>
    <w:p w14:paraId="1CBD4BA5" w14:textId="77777777" w:rsidR="00776A1F" w:rsidRDefault="00D8574B">
      <w:pPr>
        <w:pStyle w:val="P68B1DB1-Normal4"/>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250BB7E2" w14:textId="77777777" w:rsidR="00776A1F" w:rsidRDefault="00776A1F">
      <w:pPr>
        <w:spacing w:before="40" w:after="0" w:line="259" w:lineRule="auto"/>
        <w:jc w:val="both"/>
        <w:rPr>
          <w:rFonts w:ascii="Times New Roman" w:eastAsiaTheme="minorEastAsia" w:hAnsi="Times New Roman" w:cs="Times New Roman"/>
          <w:noProof/>
          <w:sz w:val="24"/>
        </w:rPr>
      </w:pPr>
    </w:p>
    <w:p w14:paraId="4D9A22C1" w14:textId="77777777" w:rsidR="00776A1F" w:rsidRDefault="00D8574B">
      <w:pPr>
        <w:pStyle w:val="P68B1DB1-Normal3"/>
        <w:spacing w:before="40" w:after="0" w:line="259" w:lineRule="auto"/>
        <w:ind w:left="130" w:firstLine="720"/>
        <w:jc w:val="both"/>
        <w:outlineLvl w:val="1"/>
        <w:rPr>
          <w:rFonts w:eastAsiaTheme="minorEastAsia" w:cs="Times New Roman"/>
          <w:i/>
          <w:noProof/>
        </w:rPr>
      </w:pPr>
      <w:r>
        <w:rPr>
          <w:noProof/>
        </w:rPr>
        <w:t xml:space="preserve">O.1. </w:t>
      </w:r>
      <w:r>
        <w:rPr>
          <w:noProof/>
        </w:rPr>
        <w:tab/>
        <w:t>Neatmaksājamam finansiālajam atbalstam pieteikto reformu un investīciju apraksts</w:t>
      </w:r>
    </w:p>
    <w:p w14:paraId="2D343529"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 xml:space="preserve">TC-r30 reforma: Transporta ekosistēmas reforma </w:t>
      </w:r>
    </w:p>
    <w:p w14:paraId="46E820B7" w14:textId="77777777" w:rsidR="00776A1F" w:rsidRDefault="00D8574B">
      <w:pPr>
        <w:pStyle w:val="P68B1DB1-Normal4"/>
        <w:spacing w:before="40" w:after="0" w:line="259" w:lineRule="auto"/>
        <w:jc w:val="both"/>
        <w:rPr>
          <w:rFonts w:eastAsiaTheme="minorEastAsia" w:cs="Times New Roman"/>
          <w:noProof/>
        </w:rPr>
      </w:pPr>
      <w:r>
        <w:rPr>
          <w:noProof/>
        </w:rPr>
        <w:t>Reformas mērķis ir stiprināt sabiedriskā transporta iestādes, to spējas un prasmes un tādējādi palielināt to spēju labāk plānot to pārvaldītās transporta sistēmas un veicināt sabiedriskā transporta izmantošanu. Tā veicina sabiedriskā transporta iestāžu spēju veidošanu, cita starpā atbalstot transporta sistēmu plānošanas un pārvaldības rīku iegādi, jaunus digitālos risinājumus, kas atvieglo sabiedriskā transporta izmantošanu, un atbalstu biļešu pārdošanas sistēmu modernizācijai un darbību uzraudzībai. Tā palīdz transporta pārvaldības iestādēm sagatavot, noslēgt un īstenot līgumus par sabiedriskā pasažieru transporta pakalpojumiem visās aglomerācijās (AM) un starppašvaldību kopienās (CIM) saskaņā ar Eiropas Parlamenta un Padomes Regulu (EK) Nr. 1370/2007 (2007. gada 23. oktobris) par sabiedriskā pasažieru transporta pakalpojumiem, izmantojot dzelzceļu un autoceļus, un ar ko atceļ Padomes Regulu (EEK) Nr. 1191/69 un Padomes Regulu (EEK) Nr. 1107/70. Tā uzlabo nosacījumus piekļuvei sabiedriskajam transportam, īstenojot programmas par samazinātiem tarifiem (</w:t>
      </w:r>
      <w:r>
        <w:rPr>
          <w:i/>
          <w:noProof/>
        </w:rPr>
        <w:t>Programa de Apoio à Redução do Tarifário dos Transportes Públicos</w:t>
      </w:r>
      <w:r>
        <w:rPr>
          <w:noProof/>
        </w:rPr>
        <w:t>, PART) un labākiem un klimatam draudzīgākiem transporta pakalpojumiem (programmas</w:t>
      </w:r>
      <w:r>
        <w:rPr>
          <w:i/>
          <w:noProof/>
        </w:rPr>
        <w:t>de Apoio à Densificação e Reforço da Oferta de Transporte Público</w:t>
      </w:r>
      <w:r>
        <w:rPr>
          <w:noProof/>
        </w:rPr>
        <w:t>, PROTransP) un īstenojot fiskālos pasākumus, kas dod labumu sabiedriskā transporta lietotājiem, piemēram, ar sabiedriskā transporta biļešu iegādi saistītā pievienotās vērtības nodokļa fiskālo atskaitījumu.</w:t>
      </w:r>
    </w:p>
    <w:p w14:paraId="523BD682" w14:textId="77777777" w:rsidR="00776A1F" w:rsidRDefault="00D8574B">
      <w:pPr>
        <w:pStyle w:val="P68B1DB1-Normal4"/>
        <w:spacing w:before="40" w:after="0" w:line="259" w:lineRule="auto"/>
        <w:jc w:val="both"/>
        <w:rPr>
          <w:rFonts w:eastAsiaTheme="minorEastAsia" w:cs="Times New Roman"/>
          <w:noProof/>
        </w:rPr>
      </w:pPr>
      <w:r>
        <w:rPr>
          <w:noProof/>
        </w:rPr>
        <w:t>Reformas īstenošanu pabeidz līdz 2023. gada 31. decembrim.</w:t>
      </w:r>
    </w:p>
    <w:p w14:paraId="5CA124BF" w14:textId="77777777" w:rsidR="00776A1F" w:rsidRDefault="00D8574B">
      <w:pPr>
        <w:pStyle w:val="P68B1DB1-Normal5"/>
        <w:widowControl w:val="0"/>
        <w:spacing w:before="240" w:after="0" w:line="259" w:lineRule="auto"/>
        <w:ind w:left="851"/>
        <w:jc w:val="both"/>
        <w:outlineLvl w:val="2"/>
        <w:rPr>
          <w:rFonts w:eastAsiaTheme="minorEastAsia" w:cs="Times New Roman"/>
          <w:noProof/>
        </w:rPr>
      </w:pPr>
      <w:r>
        <w:rPr>
          <w:noProof/>
        </w:rPr>
        <w:t xml:space="preserve">Ieguldījums TC15-i01: Lisabonas metro tīkla paplašināšana — Sarkanā līnija līdz Alcântarai </w:t>
      </w:r>
    </w:p>
    <w:p w14:paraId="2D0BA654" w14:textId="77777777" w:rsidR="00776A1F" w:rsidRDefault="00D8574B">
      <w:pPr>
        <w:pStyle w:val="P68B1DB1-Normal4"/>
        <w:widowControl w:val="0"/>
        <w:spacing w:before="40" w:after="0" w:line="259" w:lineRule="auto"/>
        <w:jc w:val="both"/>
        <w:rPr>
          <w:rFonts w:eastAsiaTheme="minorEastAsia" w:cs="Times New Roman"/>
          <w:noProof/>
        </w:rPr>
      </w:pPr>
      <w:r>
        <w:rPr>
          <w:noProof/>
        </w:rPr>
        <w:t>Pasākuma mērķis ir palielināt sabiedriskā transporta pievilcību Lisabonā un piesaistīt vairāk lietotāju, paplašinot metro tīklu.</w:t>
      </w:r>
    </w:p>
    <w:p w14:paraId="32F8B06B" w14:textId="77777777" w:rsidR="00776A1F" w:rsidRDefault="00D8574B">
      <w:pPr>
        <w:pStyle w:val="P68B1DB1-Normal4"/>
        <w:widowControl w:val="0"/>
        <w:spacing w:before="40" w:after="0" w:line="259" w:lineRule="auto"/>
        <w:jc w:val="both"/>
        <w:rPr>
          <w:rFonts w:eastAsiaTheme="minorEastAsia" w:cs="Times New Roman"/>
          <w:noProof/>
        </w:rPr>
      </w:pPr>
      <w:r>
        <w:rPr>
          <w:noProof/>
        </w:rPr>
        <w:t xml:space="preserve">Ieguldījums sastāv no Lisabonas metro tīkla paplašināšanas līdz Alcântarai, pievienojot tīklam 3,7 km un četras stacijas. Tas pārveido Alcântara par nozīmīgu jaunu transporta saskarni, kas nodrošina savienojumu starp metro tīklu un piepilsētas dzelzceļa pakalpojumiem. </w:t>
      </w:r>
    </w:p>
    <w:p w14:paraId="0994D2CA" w14:textId="3517EDB9" w:rsidR="00776A1F" w:rsidRDefault="00D8574B">
      <w:pPr>
        <w:pStyle w:val="P68B1DB1-Normal4"/>
        <w:widowControl w:val="0"/>
        <w:spacing w:before="40" w:after="0" w:line="259" w:lineRule="auto"/>
        <w:jc w:val="both"/>
        <w:rPr>
          <w:rFonts w:eastAsiaTheme="minorEastAsia" w:cs="Times New Roman"/>
          <w:noProof/>
        </w:rPr>
      </w:pPr>
      <w:r>
        <w:rPr>
          <w:noProof/>
        </w:rPr>
        <w:t>Ieguldījumu īstenošanu pabeidz līdz 2026. gada 30. jūnijam.</w:t>
      </w:r>
    </w:p>
    <w:p w14:paraId="2D6741A9"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TC-C15-i02: Porto metro tīkla paplašināšana — Casa da Música-Santo Ovídio</w:t>
      </w:r>
    </w:p>
    <w:p w14:paraId="6D4EC5A9" w14:textId="77777777" w:rsidR="00776A1F" w:rsidRDefault="00D8574B">
      <w:pPr>
        <w:pStyle w:val="P68B1DB1-Normal4"/>
        <w:keepNext/>
        <w:spacing w:before="40" w:after="0" w:line="259" w:lineRule="auto"/>
        <w:jc w:val="both"/>
        <w:rPr>
          <w:rFonts w:eastAsiaTheme="minorEastAsia" w:cs="Times New Roman"/>
          <w:noProof/>
        </w:rPr>
      </w:pPr>
      <w:r>
        <w:rPr>
          <w:noProof/>
        </w:rPr>
        <w:t>Pasākuma mērķis ir palielināt sabiedriskā transporta pievilcību Portu un piesaistīt vairāk lietotāju. Tās mērķis ir paplašināt metro tīkla teritoriālo pārklājumu un risināt Porto-Vila Nova de Gaia ass sastrēgumu problēmas.</w:t>
      </w:r>
    </w:p>
    <w:p w14:paraId="0201D95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Ieguldījumu veido metro tīkla paplašināšana Porto, izbūvējot jaunu 6,74 km garu divceļu līniju ar 8 jaunām stacijām starp Boavista/Casa da Música Porto un jaunu staciju, ko paredzēts būvēt Santo Ovídio (saskarne ar Amarelas līniju) Vila Nova de Gaia. </w:t>
      </w:r>
    </w:p>
    <w:p w14:paraId="1BFC66BB" w14:textId="4078E263"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3600650C" w14:textId="0045A331"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Ieguldījums TC-C15-i04: Autobusa ātrais tranzīts Boavista — Império </w:t>
      </w:r>
    </w:p>
    <w:p w14:paraId="483142D1"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Pasākuma mērķis ir palielināt sabiedriskā transporta pievilcību Portu un piesaistīt vairāk lietotāju. Tās mērķis ir samazināt siltumnīcefekta gāzu un piesārņotāju emisijas un veicināt modālo pārvirzi no ceļiem. </w:t>
      </w:r>
    </w:p>
    <w:p w14:paraId="24DD3461" w14:textId="2E7E71C1" w:rsidR="00776A1F" w:rsidRDefault="00D8574B">
      <w:pPr>
        <w:pStyle w:val="P68B1DB1-Normal4"/>
        <w:keepNext/>
        <w:spacing w:before="40" w:after="0" w:line="259" w:lineRule="auto"/>
        <w:jc w:val="both"/>
        <w:rPr>
          <w:rFonts w:eastAsiaTheme="minorEastAsia" w:cs="Times New Roman"/>
          <w:noProof/>
        </w:rPr>
      </w:pPr>
      <w:r>
        <w:rPr>
          <w:noProof/>
        </w:rPr>
        <w:t xml:space="preserve">Šo ieguldījumu veido jaunas autobusu ātrās tranzīta sistēmas izveide (joslas, kas galvenokārt paredzētas autobusiem) 3,8 km un 7 stacijām starp Praça do Império un Praça Mouzinho de Albuquerque Porto, nodrošinot savienojumu ar Porto metro tīklu. Autobusu ātrās tranzīta sistēmas darbību nodrošina bezemisiju autobusi (elektrotransports vai ūdeņradis). </w:t>
      </w:r>
    </w:p>
    <w:p w14:paraId="552F28A8" w14:textId="54BD3E6B"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2024. gada 30. septembrim.</w:t>
      </w:r>
    </w:p>
    <w:p w14:paraId="0D379072"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TC-C15-i05: Sabiedriskā transporta dekarbonizācija</w:t>
      </w:r>
    </w:p>
    <w:p w14:paraId="27AD2FF8"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Pasākuma mērķis ir atjaunot un dekarbonizēt sabiedriskā transporta parku Portugālē, nodrošinot bezemisiju autobusus. </w:t>
      </w:r>
    </w:p>
    <w:p w14:paraId="3A160CAB" w14:textId="7B1069C1" w:rsidR="00776A1F" w:rsidRDefault="00D8574B">
      <w:pPr>
        <w:pStyle w:val="P68B1DB1-Normal4"/>
        <w:keepNext/>
        <w:spacing w:before="40" w:after="0" w:line="259" w:lineRule="auto"/>
        <w:jc w:val="both"/>
        <w:rPr>
          <w:rFonts w:eastAsiaTheme="minorEastAsia" w:cs="Times New Roman"/>
          <w:noProof/>
        </w:rPr>
      </w:pPr>
      <w:r>
        <w:rPr>
          <w:noProof/>
        </w:rPr>
        <w:t xml:space="preserve">Investīcijas ietver finansiālu atbalstu 145 bezemisiju (elektrisko vai ūdeņraža) autobusu iegādei sabiedriskajam transportam un uzlādes infrastruktūrai to ekspluatācijai. Atbalstu sniedz neatmaksājamas dotācijas veidā, kas atbilst starpībai starp bezemisiju (elektriskā vai ūdeņraža) autobusa un dīzeļdegvielas ekvivalenta transportlīdzekļa (EURO VI) iegādes izmaksām. Autobusus izmanto sabiedriskā pasažieru transporta pakalpojumu sniegšanai saskaņā ar sabiedrisko pakalpojumu līgumiem Lisabonas un Porto metropoles teritorijās. </w:t>
      </w:r>
    </w:p>
    <w:p w14:paraId="30E9508A"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2023. gada 31. decembrim.</w:t>
      </w:r>
    </w:p>
    <w:p w14:paraId="3EA4262B" w14:textId="17791992" w:rsidR="00776A1F" w:rsidRDefault="00D8574B">
      <w:pPr>
        <w:pStyle w:val="P68B1DB1-Normal5"/>
        <w:keepNext/>
        <w:spacing w:before="240" w:after="0" w:line="259" w:lineRule="auto"/>
        <w:ind w:left="851"/>
        <w:jc w:val="both"/>
        <w:outlineLvl w:val="2"/>
        <w:rPr>
          <w:rFonts w:eastAsiaTheme="minorEastAsia" w:cs="Times New Roman"/>
          <w:noProof/>
        </w:rPr>
      </w:pPr>
      <w:bookmarkStart w:id="28" w:name="_Toc137472463"/>
      <w:r>
        <w:rPr>
          <w:noProof/>
        </w:rPr>
        <w:t>Ieguldījums TC-C15-i06: Dzelzceļa transporta digitalizācija</w:t>
      </w:r>
      <w:bookmarkEnd w:id="28"/>
    </w:p>
    <w:p w14:paraId="3A592227" w14:textId="2C1D33A4" w:rsidR="00776A1F" w:rsidRDefault="00D8574B">
      <w:pPr>
        <w:pStyle w:val="P68B1DB1-Normal4"/>
        <w:spacing w:before="40" w:after="0" w:line="259" w:lineRule="auto"/>
        <w:jc w:val="both"/>
        <w:rPr>
          <w:rFonts w:cs="Times New Roman"/>
          <w:noProof/>
        </w:rPr>
      </w:pPr>
      <w:r>
        <w:rPr>
          <w:noProof/>
        </w:rPr>
        <w:t>Šā ieguldījuma mērķis ir padarīt Valsts dzelzceļa tīkla (RFN) ziemeļu līniju saderīgu ar jauno ātrgaitas dzelzceļa līniju (LAV), aizstājot elektroniskās signalizācijas sistēmas. Paredzams, ka tas uzlabos RFN sadarbspēju ar vienoto Eiropas dzelzceļa telpu.</w:t>
      </w:r>
    </w:p>
    <w:p w14:paraId="0880068A" w14:textId="3E3F8752" w:rsidR="00776A1F" w:rsidRDefault="00D8574B">
      <w:pPr>
        <w:pStyle w:val="P68B1DB1-Normal4"/>
        <w:spacing w:before="40" w:after="0" w:line="259" w:lineRule="auto"/>
        <w:jc w:val="both"/>
        <w:rPr>
          <w:rFonts w:cs="Times New Roman"/>
          <w:noProof/>
        </w:rPr>
      </w:pPr>
      <w:r>
        <w:rPr>
          <w:noProof/>
        </w:rPr>
        <w:t>Šis ieguldījums ietver elektronisko signalizācijas sistēmu nomaiņu Campolide-Cintura, Oriente, Alverca un Azambuja stacijās, kas aptver 20 km garas dzelzceļa līnijas Lisabonas aglomerācijā.</w:t>
      </w:r>
    </w:p>
    <w:p w14:paraId="3287A3D7" w14:textId="77777777" w:rsidR="00776A1F" w:rsidRDefault="00D8574B">
      <w:pPr>
        <w:pStyle w:val="P68B1DB1-Normal4"/>
        <w:spacing w:before="40" w:after="0" w:line="259" w:lineRule="auto"/>
        <w:jc w:val="both"/>
        <w:rPr>
          <w:rFonts w:cs="Times New Roman"/>
          <w:noProof/>
        </w:rPr>
      </w:pPr>
      <w:r>
        <w:rPr>
          <w:noProof/>
        </w:rPr>
        <w:t>Ieguldījumu īstenošanu pabeidz līdz 2026. gada 30. jūnijam.</w:t>
      </w:r>
    </w:p>
    <w:p w14:paraId="39B0B8B1"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62B6A681" w14:textId="65744CBC"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20"/>
          <w:docGrid w:linePitch="360"/>
        </w:sectPr>
      </w:pPr>
    </w:p>
    <w:p w14:paraId="141E7B95"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 xml:space="preserve">O.2. </w:t>
      </w:r>
      <w:r>
        <w:rPr>
          <w:noProof/>
        </w:rPr>
        <w:tab/>
        <w:t>Atskaites punkti, mērķrādītāji, citi rādītāji un neatmaksājamā finansiālā atbalsta uzraudzības un īstenošanas grafiks</w:t>
      </w:r>
    </w:p>
    <w:p w14:paraId="7077B900"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776A1F" w14:paraId="7CC6D94E"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C0125D8"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315983A"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E7DAADC" w14:textId="22191D45"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6107FD4"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204D3E9"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3E428110"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85E208D"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E137D9D"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68581FC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38B8D7A"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BF832C"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180096" w14:textId="61D5DCDC" w:rsidR="00776A1F" w:rsidRDefault="00776A1F">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DB268C" w14:textId="77777777" w:rsidR="00776A1F" w:rsidRDefault="00776A1F">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2E62C192" w14:textId="77777777" w:rsidR="00776A1F" w:rsidRDefault="00776A1F">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DA8C97F"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46BD3D"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7D6BE88"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81423"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2096D69"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395" w:type="dxa"/>
            <w:vMerge/>
            <w:tcBorders>
              <w:top w:val="single" w:sz="4" w:space="0" w:color="auto"/>
              <w:bottom w:val="single" w:sz="4" w:space="0" w:color="auto"/>
              <w:right w:val="single" w:sz="4" w:space="0" w:color="auto"/>
            </w:tcBorders>
            <w:vAlign w:val="center"/>
            <w:hideMark/>
          </w:tcPr>
          <w:p w14:paraId="4EB74829" w14:textId="77777777" w:rsidR="00776A1F" w:rsidRDefault="00776A1F">
            <w:pPr>
              <w:spacing w:after="0" w:line="240" w:lineRule="auto"/>
              <w:rPr>
                <w:rFonts w:ascii="Times New Roman" w:eastAsia="Times New Roman" w:hAnsi="Times New Roman" w:cs="Times New Roman"/>
                <w:b/>
                <w:noProof/>
                <w:sz w:val="18"/>
              </w:rPr>
            </w:pPr>
          </w:p>
        </w:tc>
      </w:tr>
      <w:tr w:rsidR="00776A1F" w14:paraId="50AD3AE2"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7C77800" w14:textId="5F17094A" w:rsidR="00776A1F" w:rsidRDefault="00D8574B">
            <w:pPr>
              <w:pStyle w:val="P68B1DB1-Normal7"/>
              <w:spacing w:after="0" w:line="240" w:lineRule="auto"/>
              <w:jc w:val="center"/>
              <w:rPr>
                <w:rFonts w:eastAsia="Times New Roman" w:cs="Calibri"/>
                <w:noProof/>
              </w:rPr>
            </w:pPr>
            <w:r>
              <w:rPr>
                <w:noProof/>
              </w:rPr>
              <w:t>15.1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534AA6" w14:textId="77777777" w:rsidR="00776A1F" w:rsidRDefault="00D8574B">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863BA6A"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4F354DE" w14:textId="77777777" w:rsidR="00776A1F" w:rsidRDefault="00D8574B">
            <w:pPr>
              <w:pStyle w:val="P68B1DB1-Normal8"/>
              <w:spacing w:after="0" w:line="240" w:lineRule="auto"/>
              <w:jc w:val="center"/>
              <w:rPr>
                <w:rFonts w:eastAsia="Times New Roman" w:cs="Calibri"/>
                <w:noProof/>
              </w:rPr>
            </w:pPr>
            <w:r>
              <w:rPr>
                <w:noProof/>
              </w:rPr>
              <w:t>Lisabonas metro tīkla paplašināšanas līguma parakstīšana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0B92C0" w14:textId="77777777" w:rsidR="00776A1F" w:rsidRDefault="00D8574B">
            <w:pPr>
              <w:pStyle w:val="P68B1DB1-Normal8"/>
              <w:spacing w:after="0" w:line="240" w:lineRule="auto"/>
              <w:jc w:val="center"/>
              <w:rPr>
                <w:rFonts w:eastAsia="Times New Roman" w:cs="Calibri"/>
                <w:noProof/>
              </w:rPr>
            </w:pPr>
            <w:r>
              <w:rPr>
                <w:noProof/>
              </w:rPr>
              <w:t>Lisabonas metro tīkla paplašināšanas līguma parakstīšana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09C23E"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6D8CFA"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FC64576"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4639643" w14:textId="3FB61DFB" w:rsidR="00776A1F" w:rsidRDefault="00D8574B">
            <w:pPr>
              <w:pStyle w:val="P68B1DB1-Normal8"/>
              <w:spacing w:after="0" w:line="240" w:lineRule="auto"/>
              <w:jc w:val="center"/>
              <w:rPr>
                <w:rFonts w:eastAsia="Times New Roman" w:cs="Calibri"/>
                <w:noProof/>
              </w:rPr>
            </w:pPr>
            <w:r>
              <w:rPr>
                <w:noProof/>
              </w:rPr>
              <w:t>4.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B884C5F" w14:textId="48A8EC3E" w:rsidR="00776A1F" w:rsidRDefault="00D8574B">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6E6D604" w14:textId="77777777" w:rsidR="00776A1F" w:rsidRDefault="00D8574B">
            <w:pPr>
              <w:pStyle w:val="P68B1DB1-Normal8"/>
              <w:spacing w:after="0" w:line="240" w:lineRule="auto"/>
              <w:jc w:val="both"/>
              <w:rPr>
                <w:rFonts w:eastAsia="Times New Roman" w:cs="Calibri"/>
                <w:noProof/>
              </w:rPr>
            </w:pPr>
            <w:r>
              <w:rPr>
                <w:noProof/>
              </w:rPr>
              <w:t xml:space="preserve">Projekta īstenošanas līguma parakstīšana starp valsts iestādēm un konkursa procedūrā izraudzīto līgumslēdzēju. Līguma mērķis ir paplašināt Lisabonas metro tīklu (Red Line līdz Alcântara). </w:t>
            </w:r>
          </w:p>
        </w:tc>
      </w:tr>
      <w:tr w:rsidR="00776A1F" w14:paraId="40BA7885"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0B8CB5E" w14:textId="0618E02F" w:rsidR="00776A1F" w:rsidRDefault="00D8574B">
            <w:pPr>
              <w:pStyle w:val="P68B1DB1-Normal7"/>
              <w:spacing w:after="0" w:line="240" w:lineRule="auto"/>
              <w:jc w:val="center"/>
              <w:rPr>
                <w:rFonts w:eastAsia="Times New Roman" w:cs="Calibri"/>
                <w:noProof/>
              </w:rPr>
            </w:pPr>
            <w:r>
              <w:rPr>
                <w:noProof/>
              </w:rPr>
              <w:t>15.2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5E91C3" w14:textId="77777777" w:rsidR="00776A1F" w:rsidRDefault="00D8574B">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30AE406"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3DA6929" w14:textId="77777777" w:rsidR="00776A1F" w:rsidRDefault="00D8574B">
            <w:pPr>
              <w:pStyle w:val="P68B1DB1-Normal8"/>
              <w:spacing w:after="0" w:line="240" w:lineRule="auto"/>
              <w:jc w:val="center"/>
              <w:rPr>
                <w:rFonts w:eastAsia="Times New Roman" w:cs="Calibri"/>
                <w:noProof/>
              </w:rPr>
            </w:pPr>
            <w:r>
              <w:rPr>
                <w:noProof/>
              </w:rPr>
              <w:t xml:space="preserve">Progresa ziņojums par Lisabonas metro tīkla paplašināšanu </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D011F76" w14:textId="70D73D4F" w:rsidR="00776A1F" w:rsidRDefault="00D8574B">
            <w:pPr>
              <w:pStyle w:val="P68B1DB1-Normal8"/>
              <w:spacing w:after="0" w:line="240" w:lineRule="auto"/>
              <w:jc w:val="center"/>
              <w:rPr>
                <w:rFonts w:eastAsia="Times New Roman" w:cs="Calibri"/>
                <w:noProof/>
              </w:rPr>
            </w:pPr>
            <w:r>
              <w:rPr>
                <w:noProof/>
              </w:rPr>
              <w:t>Progresa ziņojums, kurā norādīts, ka darbi turpinās saskaņā ar grafiku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F20F358"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E244C04"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84EF25"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D75967" w14:textId="137BD9FF" w:rsidR="00776A1F" w:rsidRDefault="00D8574B">
            <w:pPr>
              <w:pStyle w:val="P68B1DB1-Normal8"/>
              <w:spacing w:after="0" w:line="240" w:lineRule="auto"/>
              <w:jc w:val="center"/>
              <w:rPr>
                <w:rFonts w:eastAsia="Times New Roman" w:cs="Calibri"/>
                <w:noProof/>
              </w:rPr>
            </w:pPr>
            <w:r>
              <w:rPr>
                <w:noProof/>
              </w:rPr>
              <w:t>1.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78D7ABE" w14:textId="1166CC74" w:rsidR="00776A1F" w:rsidRDefault="00D8574B">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AA98F4" w14:textId="30667D2A" w:rsidR="00776A1F" w:rsidRDefault="00D8574B">
            <w:pPr>
              <w:pStyle w:val="P68B1DB1-Normal8"/>
              <w:spacing w:after="0" w:line="240" w:lineRule="auto"/>
              <w:jc w:val="both"/>
              <w:rPr>
                <w:rFonts w:eastAsia="Times New Roman" w:cs="Calibri"/>
                <w:noProof/>
              </w:rPr>
            </w:pPr>
            <w:r>
              <w:rPr>
                <w:noProof/>
              </w:rPr>
              <w:t>Lisabonas metro tīkla paplašināšanas darbu attīstību un to izpildes grafika ievērošanu nosaka, izmantojot regulārus progresa ziņojumus visā darbu izpildes laikā. Tas ietver darba attīstības novērtējumu saskaņā ar plānoto grafiku, tostarp jau pabeigto darbību noteikšanu, veicamo darbību noteikšanu un ierosināto īstenošanas termiņu riska analīzi, vajadzības gadījumā pievienojot riska mazināšanas un ārkārtas rīcības plānu, lai nodrošinātu, ka līgums tiek pabeigts ierosinātajos termiņos. Atskaites punkts ir sasniegts, ja progresa ziņojumā norādīts, ka atskaites punkta īstenošanas laikā darbi turpinās saskaņā ar grafiku.</w:t>
            </w:r>
          </w:p>
        </w:tc>
      </w:tr>
      <w:tr w:rsidR="00776A1F" w14:paraId="21365F71"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AE62C7" w14:textId="77777777" w:rsidR="00776A1F" w:rsidRDefault="00D8574B">
            <w:pPr>
              <w:pStyle w:val="P68B1DB1-Normal7"/>
              <w:spacing w:after="0" w:line="240" w:lineRule="auto"/>
              <w:jc w:val="center"/>
              <w:rPr>
                <w:rFonts w:eastAsia="Times New Roman" w:cs="Calibri"/>
                <w:noProof/>
              </w:rPr>
            </w:pPr>
            <w:r>
              <w:rPr>
                <w:noProof/>
              </w:rPr>
              <w:t>15.3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104BAD" w14:textId="77777777" w:rsidR="00776A1F" w:rsidRDefault="00D8574B">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1340E7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51B537B" w14:textId="77777777" w:rsidR="00776A1F" w:rsidRDefault="00D8574B">
            <w:pPr>
              <w:pStyle w:val="P68B1DB1-Normal8"/>
              <w:spacing w:after="0" w:line="240" w:lineRule="auto"/>
              <w:jc w:val="center"/>
              <w:rPr>
                <w:rFonts w:eastAsia="Times New Roman" w:cs="Calibri"/>
                <w:noProof/>
              </w:rPr>
            </w:pPr>
            <w:r>
              <w:rPr>
                <w:noProof/>
              </w:rPr>
              <w:t>Pabeigta Lisabonas metro tīkla paplašināšana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45E5945" w14:textId="77777777" w:rsidR="00776A1F" w:rsidRDefault="00776A1F">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937FC3"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99318E"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0CFF" w14:textId="77777777" w:rsidR="00776A1F" w:rsidRDefault="00D8574B">
            <w:pPr>
              <w:pStyle w:val="P68B1DB1-Normal8"/>
              <w:spacing w:after="0" w:line="240" w:lineRule="auto"/>
              <w:jc w:val="center"/>
              <w:rPr>
                <w:rFonts w:eastAsia="Times New Roman" w:cs="Calibri"/>
                <w:noProof/>
              </w:rPr>
            </w:pPr>
            <w:r>
              <w:rPr>
                <w:noProof/>
              </w:rPr>
              <w:t>3,7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726894" w14:textId="2FBE3630" w:rsidR="00776A1F" w:rsidRDefault="00D8574B">
            <w:pPr>
              <w:pStyle w:val="P68B1DB1-Normal8"/>
              <w:spacing w:after="0" w:line="240" w:lineRule="auto"/>
              <w:jc w:val="center"/>
              <w:rPr>
                <w:rFonts w:eastAsia="Times New Roman" w:cs="Calibri"/>
                <w:noProof/>
              </w:rPr>
            </w:pPr>
            <w:r>
              <w:rPr>
                <w:noProof/>
              </w:rPr>
              <w:t>2.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722DCB8" w14:textId="2F31A42F" w:rsidR="00776A1F" w:rsidRDefault="00D8574B">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7A4859" w14:textId="77777777" w:rsidR="00776A1F" w:rsidRDefault="00D8574B">
            <w:pPr>
              <w:pStyle w:val="P68B1DB1-Normal8"/>
              <w:spacing w:after="0" w:line="240" w:lineRule="auto"/>
              <w:jc w:val="both"/>
              <w:rPr>
                <w:rFonts w:eastAsia="Times New Roman" w:cs="Calibri"/>
                <w:noProof/>
              </w:rPr>
            </w:pPr>
            <w:r>
              <w:rPr>
                <w:noProof/>
              </w:rPr>
              <w:t>Pabeigto būvdarbu garums Lisabonas metro tīkla paplašināšanai (3,3 km tunelī un 0,4 km cauruļvadā), pagarinot Sarkano līniju līdz Alcântarai. Paplašinātā metro līnija ir gatava tūlītējai plānoto transporta pakalpojumu sniegšanai.</w:t>
            </w:r>
          </w:p>
        </w:tc>
      </w:tr>
      <w:tr w:rsidR="00776A1F" w14:paraId="0A9DA7D4"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DF8351D" w14:textId="77777777" w:rsidR="00776A1F" w:rsidRDefault="00D8574B">
            <w:pPr>
              <w:pStyle w:val="P68B1DB1-Normal7"/>
              <w:spacing w:after="0" w:line="240" w:lineRule="auto"/>
              <w:jc w:val="center"/>
              <w:rPr>
                <w:rFonts w:eastAsia="Times New Roman" w:cs="Calibri"/>
                <w:noProof/>
              </w:rPr>
            </w:pPr>
            <w:r>
              <w:rPr>
                <w:noProof/>
              </w:rPr>
              <w:t>15.4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1A62D0" w14:textId="77777777" w:rsidR="00776A1F" w:rsidRDefault="00D8574B">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D4DB820"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9D997C" w14:textId="77777777" w:rsidR="00776A1F" w:rsidRDefault="00D8574B">
            <w:pPr>
              <w:pStyle w:val="P68B1DB1-Normal8"/>
              <w:spacing w:after="0" w:line="240" w:lineRule="auto"/>
              <w:jc w:val="center"/>
              <w:rPr>
                <w:rFonts w:eastAsia="Times New Roman" w:cs="Calibri"/>
                <w:noProof/>
              </w:rPr>
            </w:pPr>
            <w:r>
              <w:rPr>
                <w:noProof/>
              </w:rPr>
              <w:t>Līguma parakstīšana par Porto Metro tīkla paplašināšanu</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161F9D" w14:textId="77777777" w:rsidR="00776A1F" w:rsidRDefault="00D8574B">
            <w:pPr>
              <w:pStyle w:val="P68B1DB1-Normal8"/>
              <w:spacing w:after="0" w:line="240" w:lineRule="auto"/>
              <w:jc w:val="center"/>
              <w:rPr>
                <w:rFonts w:eastAsia="Times New Roman" w:cs="Calibri"/>
                <w:noProof/>
              </w:rPr>
            </w:pPr>
            <w:r>
              <w:rPr>
                <w:noProof/>
              </w:rPr>
              <w:t>Līguma parakstīšana par Porto Metro tīkla paplašināšanu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C77D4A" w14:textId="77777777" w:rsidR="00776A1F" w:rsidRDefault="00D8574B">
            <w:pPr>
              <w:pStyle w:val="P68B1DB1-Normal8"/>
              <w:spacing w:after="0" w:line="240" w:lineRule="auto"/>
              <w:jc w:val="center"/>
              <w:rPr>
                <w:rFonts w:eastAsia="Times New Roman" w:cs="Calibri"/>
                <w:noProof/>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1E3CA6"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09920F"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6352D8E" w14:textId="1E746343" w:rsidR="00776A1F" w:rsidRDefault="00D8574B">
            <w:pPr>
              <w:pStyle w:val="P68B1DB1-Normal8"/>
              <w:spacing w:after="0" w:line="240" w:lineRule="auto"/>
              <w:jc w:val="center"/>
              <w:rPr>
                <w:rFonts w:eastAsia="Times New Roman" w:cs="Calibri"/>
                <w:noProof/>
              </w:rPr>
            </w:pPr>
            <w:r>
              <w:rPr>
                <w:noProof/>
              </w:rPr>
              <w:t>4.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216DD7" w14:textId="77777777" w:rsidR="00776A1F" w:rsidRDefault="00D8574B">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8EFE" w14:textId="77777777" w:rsidR="00776A1F" w:rsidRDefault="00D8574B">
            <w:pPr>
              <w:pStyle w:val="P68B1DB1-Normal8"/>
              <w:spacing w:after="0" w:line="240" w:lineRule="auto"/>
              <w:jc w:val="both"/>
              <w:rPr>
                <w:rFonts w:eastAsia="Times New Roman" w:cs="Calibri"/>
                <w:noProof/>
              </w:rPr>
            </w:pPr>
            <w:r>
              <w:rPr>
                <w:noProof/>
              </w:rPr>
              <w:t xml:space="preserve">Projekta īstenošanas līguma parakstīšana starp valsts iestādēm un konkursa procedūrā izraudzīto līgumslēdzēju. Līguma mērķis ir paplašināt Porto Metro tīklu (Casa da Música-Santo Ovídio). </w:t>
            </w:r>
          </w:p>
        </w:tc>
      </w:tr>
      <w:tr w:rsidR="00776A1F" w14:paraId="46A67267"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D3C3147" w14:textId="45F98DA8" w:rsidR="00776A1F" w:rsidRDefault="00D8574B">
            <w:pPr>
              <w:pStyle w:val="P68B1DB1-Normal7"/>
              <w:spacing w:after="0" w:line="240" w:lineRule="auto"/>
              <w:jc w:val="center"/>
              <w:rPr>
                <w:rFonts w:eastAsia="Times New Roman" w:cs="Calibri"/>
                <w:noProof/>
              </w:rPr>
            </w:pPr>
            <w:r>
              <w:rPr>
                <w:noProof/>
              </w:rPr>
              <w:t>15.5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93B52A6" w14:textId="77777777" w:rsidR="00776A1F" w:rsidRDefault="00D8574B">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3DE8CB0"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C8025F" w14:textId="77777777" w:rsidR="00776A1F" w:rsidRDefault="00D8574B">
            <w:pPr>
              <w:pStyle w:val="P68B1DB1-Normal8"/>
              <w:spacing w:after="0" w:line="240" w:lineRule="auto"/>
              <w:jc w:val="center"/>
              <w:rPr>
                <w:rFonts w:eastAsia="Times New Roman" w:cs="Calibri"/>
                <w:noProof/>
              </w:rPr>
            </w:pPr>
            <w:r>
              <w:rPr>
                <w:noProof/>
              </w:rPr>
              <w:t>Progresa ziņojums par Porto Metro tīkla paplašināšanu</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C676" w14:textId="56A25A06" w:rsidR="00776A1F" w:rsidRDefault="00D8574B">
            <w:pPr>
              <w:pStyle w:val="P68B1DB1-Normal8"/>
              <w:spacing w:after="0" w:line="240" w:lineRule="auto"/>
              <w:jc w:val="center"/>
              <w:rPr>
                <w:rFonts w:eastAsia="Times New Roman" w:cs="Calibri"/>
                <w:noProof/>
              </w:rPr>
            </w:pPr>
            <w:r>
              <w:rPr>
                <w:noProof/>
              </w:rPr>
              <w:t>Progresa ziņojums, kurā norādīts, ka darbi turpinās saskaņā ar grafiku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3D6F6F"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E8FBF8"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1742AA"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A657169" w14:textId="7210C00D" w:rsidR="00776A1F" w:rsidRDefault="00D8574B">
            <w:pPr>
              <w:pStyle w:val="P68B1DB1-Normal8"/>
              <w:spacing w:after="0" w:line="240" w:lineRule="auto"/>
              <w:jc w:val="center"/>
              <w:rPr>
                <w:rFonts w:eastAsia="Times New Roman" w:cs="Calibri"/>
                <w:noProof/>
              </w:rPr>
            </w:pPr>
            <w:r>
              <w:rPr>
                <w:noProof/>
              </w:rPr>
              <w:t>4.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0BCBA83" w14:textId="77777777" w:rsidR="00776A1F" w:rsidRDefault="00D8574B">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C069C" w14:textId="2D1BCCAB" w:rsidR="00776A1F" w:rsidRDefault="00D8574B">
            <w:pPr>
              <w:pStyle w:val="P68B1DB1-Normal8"/>
              <w:spacing w:after="0" w:line="240" w:lineRule="auto"/>
              <w:jc w:val="both"/>
              <w:rPr>
                <w:rFonts w:eastAsia="Times New Roman" w:cs="Calibri"/>
                <w:noProof/>
              </w:rPr>
            </w:pPr>
            <w:r>
              <w:rPr>
                <w:noProof/>
              </w:rPr>
              <w:t>Porto Metro tīkla paplašināšanas darbu attīstību un to izpildes grafika ievērošanu nosaka, izmantojot regulārus progresa ziņojumus visā darbu izpildes laikā. Tas ietver darba attīstības novērtējumu saskaņā ar plānoto grafiku, tostarp jau pabeigto darbību noteikšanu, veicamo darbību noteikšanu un ierosināto īstenošanas termiņu riska analīzi, vajadzības gadījumā pievienojot riska mazināšanas un ārkārtas rīcības plānu, lai nodrošinātu, ka līgums tiek pabeigts ierosinātajos termiņos. Atskaites punkts ir sasniegts, ja progresa ziņojumā norādīts, ka atskaites punkta īstenošanas laikā darbi turpinās saskaņā ar grafiku.</w:t>
            </w:r>
          </w:p>
        </w:tc>
      </w:tr>
      <w:tr w:rsidR="00776A1F" w14:paraId="69619D3F"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AA43" w14:textId="77777777" w:rsidR="00776A1F" w:rsidRDefault="00D8574B">
            <w:pPr>
              <w:pStyle w:val="P68B1DB1-Normal7"/>
              <w:spacing w:after="0" w:line="240" w:lineRule="auto"/>
              <w:jc w:val="center"/>
              <w:rPr>
                <w:rFonts w:eastAsia="Times New Roman" w:cs="Calibri"/>
                <w:noProof/>
              </w:rPr>
            </w:pPr>
            <w:r>
              <w:rPr>
                <w:noProof/>
              </w:rPr>
              <w:t>15.6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B3CC2C" w14:textId="77777777" w:rsidR="00776A1F" w:rsidRDefault="00D8574B">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AC62F7"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A5D734C" w14:textId="77777777" w:rsidR="00776A1F" w:rsidRDefault="00D8574B">
            <w:pPr>
              <w:pStyle w:val="P68B1DB1-Normal8"/>
              <w:spacing w:after="0" w:line="240" w:lineRule="auto"/>
              <w:jc w:val="center"/>
              <w:rPr>
                <w:rFonts w:eastAsia="Times New Roman" w:cs="Calibri"/>
                <w:noProof/>
              </w:rPr>
            </w:pPr>
            <w:r>
              <w:rPr>
                <w:noProof/>
              </w:rPr>
              <w:t>Porto Metro tīkla paplašināšana pabeigta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1D1514" w14:textId="77777777" w:rsidR="00776A1F" w:rsidRDefault="00776A1F">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BEA4BD"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C2C5E4"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2EB6DC" w14:textId="77777777" w:rsidR="00776A1F" w:rsidRDefault="00D8574B">
            <w:pPr>
              <w:pStyle w:val="P68B1DB1-Normal8"/>
              <w:spacing w:after="0" w:line="240" w:lineRule="auto"/>
              <w:jc w:val="center"/>
              <w:rPr>
                <w:rFonts w:eastAsia="Times New Roman" w:cs="Calibri"/>
                <w:noProof/>
              </w:rPr>
            </w:pPr>
            <w:r>
              <w:rPr>
                <w:noProof/>
              </w:rPr>
              <w:t>6,7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229F9A8" w14:textId="07A4B434" w:rsidR="00776A1F" w:rsidRDefault="00D8574B">
            <w:pPr>
              <w:pStyle w:val="P68B1DB1-Normal8"/>
              <w:spacing w:after="0" w:line="240" w:lineRule="auto"/>
              <w:jc w:val="center"/>
              <w:rPr>
                <w:rFonts w:eastAsia="Times New Roman" w:cs="Calibri"/>
                <w:noProof/>
              </w:rPr>
            </w:pPr>
            <w:r>
              <w:rPr>
                <w:noProof/>
              </w:rPr>
              <w:t>2.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5B4C70" w14:textId="54A1DD92" w:rsidR="00776A1F" w:rsidRDefault="00D8574B">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C905D8D" w14:textId="77777777" w:rsidR="00776A1F" w:rsidRDefault="00D8574B">
            <w:pPr>
              <w:pStyle w:val="P68B1DB1-Normal8"/>
              <w:spacing w:after="0" w:line="240" w:lineRule="auto"/>
              <w:jc w:val="both"/>
              <w:rPr>
                <w:rFonts w:eastAsia="Times New Roman" w:cs="Calibri"/>
                <w:noProof/>
              </w:rPr>
            </w:pPr>
            <w:r>
              <w:rPr>
                <w:noProof/>
              </w:rPr>
              <w:t xml:space="preserve">Pabeigto Porto Metro tīkla paplašināšanas būvdarbu ilgums, izbūvējot jaunu līniju starp Casa da Música (Porto) un Santo Ovídio (Vila Nova de Gaia). Jaunā metro līnija ir gatava tūlītējai plānoto transporta pakalpojumu sniegšanai. </w:t>
            </w:r>
          </w:p>
        </w:tc>
      </w:tr>
      <w:tr w:rsidR="00776A1F" w14:paraId="79B5E05D" w14:textId="77777777">
        <w:trPr>
          <w:trHeight w:val="2398"/>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2A7FBF" w14:textId="77777777" w:rsidR="00776A1F" w:rsidRDefault="00D8574B">
            <w:pPr>
              <w:pStyle w:val="P68B1DB1-Normal7"/>
              <w:spacing w:after="0" w:line="240" w:lineRule="auto"/>
              <w:jc w:val="center"/>
              <w:rPr>
                <w:rFonts w:eastAsia="Times New Roman" w:cs="Calibri"/>
                <w:noProof/>
              </w:rPr>
            </w:pPr>
            <w:r>
              <w:rPr>
                <w:noProof/>
              </w:rPr>
              <w:t>15.10</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7379D6" w14:textId="77777777" w:rsidR="00776A1F" w:rsidRDefault="00D8574B">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15CA19"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F72C9A" w14:textId="77777777" w:rsidR="00776A1F" w:rsidRDefault="00D8574B">
            <w:pPr>
              <w:pStyle w:val="P68B1DB1-Normal8"/>
              <w:spacing w:after="0" w:line="240" w:lineRule="auto"/>
              <w:jc w:val="center"/>
              <w:rPr>
                <w:rFonts w:eastAsia="Times New Roman" w:cs="Calibri"/>
                <w:noProof/>
              </w:rPr>
            </w:pPr>
            <w:r>
              <w:rPr>
                <w:noProof/>
              </w:rPr>
              <w:t>Līguma parakstīšana par Bus ātrās tranzīta līnijas būvniecību starp Praça do Império un Praça Albuquerque Mouzinho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276CBD1" w14:textId="77777777" w:rsidR="00776A1F" w:rsidRDefault="00D8574B">
            <w:pPr>
              <w:pStyle w:val="P68B1DB1-Normal8"/>
              <w:spacing w:after="0" w:line="240" w:lineRule="auto"/>
              <w:jc w:val="center"/>
              <w:rPr>
                <w:rFonts w:eastAsia="Times New Roman" w:cs="Calibri"/>
                <w:noProof/>
              </w:rPr>
            </w:pPr>
            <w:r>
              <w:rPr>
                <w:noProof/>
              </w:rPr>
              <w:t>Līguma parakstīšana par autobusa ātrā tranzīta līnijas būvniecību starp Praça do Império un Praça Albuquerque Mouzinho Porto</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75C96D"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BBD236D"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04CDB6"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D549309"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099AAE5" w14:textId="77777777" w:rsidR="00776A1F" w:rsidRDefault="00D8574B">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DD8DF" w14:textId="77777777" w:rsidR="00776A1F" w:rsidRDefault="00D8574B">
            <w:pPr>
              <w:pStyle w:val="P68B1DB1-Normal8"/>
              <w:spacing w:after="0" w:line="240" w:lineRule="auto"/>
              <w:jc w:val="both"/>
              <w:rPr>
                <w:rFonts w:eastAsia="Times New Roman" w:cs="Calibri"/>
                <w:noProof/>
              </w:rPr>
            </w:pPr>
            <w:r>
              <w:rPr>
                <w:noProof/>
              </w:rPr>
              <w:t xml:space="preserve">Projekta īstenošanas līguma parakstīšana starp valsts iestādēm un konkursa procedūrā izraudzīto līgumslēdzēju. Līguma mērķis ir būvēt Bus Rapid Trit līniju, kas savieno Praça do Império ar Praça Albuquerque Mouzinho Porto. </w:t>
            </w:r>
          </w:p>
        </w:tc>
      </w:tr>
      <w:tr w:rsidR="00776A1F" w14:paraId="7ADF5EB7"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16D4B91" w14:textId="77777777" w:rsidR="00776A1F" w:rsidRDefault="00D8574B">
            <w:pPr>
              <w:pStyle w:val="P68B1DB1-Normal7"/>
              <w:spacing w:after="0" w:line="240" w:lineRule="auto"/>
              <w:jc w:val="center"/>
              <w:rPr>
                <w:rFonts w:eastAsia="Times New Roman" w:cs="Calibri"/>
                <w:noProof/>
              </w:rPr>
            </w:pPr>
            <w:r>
              <w:rPr>
                <w:noProof/>
              </w:rPr>
              <w:t>15.11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8F8D636" w14:textId="77777777" w:rsidR="00776A1F" w:rsidRDefault="00D8574B">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3EBBF9"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BDF794" w14:textId="77777777" w:rsidR="00776A1F" w:rsidRDefault="00D8574B">
            <w:pPr>
              <w:pStyle w:val="P68B1DB1-Normal8"/>
              <w:spacing w:after="0" w:line="240" w:lineRule="auto"/>
              <w:jc w:val="center"/>
              <w:rPr>
                <w:rFonts w:eastAsia="Times New Roman" w:cs="Calibri"/>
                <w:noProof/>
              </w:rPr>
            </w:pPr>
            <w:r>
              <w:rPr>
                <w:noProof/>
              </w:rPr>
              <w:t>Pabeigta Bus ātrās tranzīta līnijas būvniecība starp Praça do Império un Praça Albuquerque Mouzinho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4CFC47A" w14:textId="77777777" w:rsidR="00776A1F" w:rsidRDefault="00776A1F">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B162BF" w14:textId="77777777" w:rsidR="00776A1F" w:rsidRDefault="00D8574B">
            <w:pPr>
              <w:pStyle w:val="P68B1DB1-Normal8"/>
              <w:spacing w:after="0" w:line="240" w:lineRule="auto"/>
              <w:jc w:val="center"/>
              <w:rPr>
                <w:rFonts w:eastAsia="Times New Roman" w:cs="Calibri"/>
                <w:noProof/>
              </w:rPr>
            </w:pPr>
            <w:r>
              <w:rPr>
                <w:noProof/>
              </w:rPr>
              <w:t>Km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D261ED7"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79F5D8" w14:textId="77777777" w:rsidR="00776A1F" w:rsidRDefault="00D8574B">
            <w:pPr>
              <w:pStyle w:val="P68B1DB1-Normal8"/>
              <w:spacing w:after="0" w:line="240" w:lineRule="auto"/>
              <w:jc w:val="center"/>
              <w:rPr>
                <w:rFonts w:eastAsia="Times New Roman" w:cs="Calibri"/>
                <w:noProof/>
              </w:rPr>
            </w:pPr>
            <w:r>
              <w:rPr>
                <w:noProof/>
              </w:rPr>
              <w:t>3,8</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D95435" w14:textId="7708DDD6" w:rsidR="00776A1F" w:rsidRDefault="00D8574B">
            <w:pPr>
              <w:pStyle w:val="P68B1DB1-Normal8"/>
              <w:spacing w:after="0" w:line="240" w:lineRule="auto"/>
              <w:jc w:val="center"/>
              <w:rPr>
                <w:rFonts w:eastAsia="Times New Roman" w:cs="Calibri"/>
                <w:noProof/>
              </w:rPr>
            </w:pPr>
            <w:r>
              <w:rPr>
                <w:noProof/>
              </w:rPr>
              <w:t>3.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804F18" w14:textId="2A33460B" w:rsidR="00776A1F" w:rsidRDefault="00D8574B">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C671D64" w14:textId="77777777" w:rsidR="00776A1F" w:rsidRDefault="00D8574B">
            <w:pPr>
              <w:pStyle w:val="P68B1DB1-Normal8"/>
              <w:spacing w:after="0" w:line="240" w:lineRule="auto"/>
              <w:jc w:val="both"/>
              <w:rPr>
                <w:rFonts w:eastAsia="Times New Roman" w:cs="Calibri"/>
                <w:noProof/>
              </w:rPr>
            </w:pPr>
            <w:r>
              <w:rPr>
                <w:noProof/>
              </w:rPr>
              <w:t xml:space="preserve">Pabeigto būvdarbu garums autobusa ātrgaitas tranzīta līnijai, kas savieno Praça do Império ar Praça Albuquerque Mouzinho Porto. Jaunā autobusu ātrā tranzīta līnija ir gatava tūlītējai plānoto transporta pakalpojumu sniegšanai. </w:t>
            </w:r>
          </w:p>
        </w:tc>
      </w:tr>
      <w:tr w:rsidR="00776A1F" w14:paraId="167AB6D9" w14:textId="77777777">
        <w:trPr>
          <w:trHeight w:val="1871"/>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6418711" w14:textId="77777777" w:rsidR="00776A1F" w:rsidRDefault="00D8574B">
            <w:pPr>
              <w:pStyle w:val="P68B1DB1-Normal7"/>
              <w:spacing w:after="0" w:line="240" w:lineRule="auto"/>
              <w:jc w:val="center"/>
              <w:rPr>
                <w:rFonts w:eastAsia="Times New Roman" w:cs="Calibri"/>
                <w:noProof/>
              </w:rPr>
            </w:pPr>
            <w:r>
              <w:rPr>
                <w:noProof/>
              </w:rPr>
              <w:t>15.12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E7894A" w14:textId="77777777" w:rsidR="00776A1F" w:rsidRDefault="00D8574B">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F8ACE3A"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1641BE" w14:textId="77777777" w:rsidR="00776A1F" w:rsidRDefault="00D8574B">
            <w:pPr>
              <w:pStyle w:val="P68B1DB1-Normal8"/>
              <w:spacing w:after="0" w:line="240" w:lineRule="auto"/>
              <w:jc w:val="center"/>
              <w:rPr>
                <w:rFonts w:eastAsia="Times New Roman" w:cs="Calibri"/>
                <w:noProof/>
              </w:rPr>
            </w:pPr>
            <w:r>
              <w:rPr>
                <w:noProof/>
              </w:rPr>
              <w:t>Līgums parakstīts par tīru autobusu iegādi saskaņā ar Sabiedriskā transporta dekarbonizācijas programmu</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FE4D21F" w14:textId="77777777" w:rsidR="00776A1F" w:rsidRDefault="00D8574B">
            <w:pPr>
              <w:pStyle w:val="P68B1DB1-Normal8"/>
              <w:spacing w:after="0" w:line="240" w:lineRule="auto"/>
              <w:jc w:val="center"/>
              <w:rPr>
                <w:rFonts w:eastAsia="Times New Roman" w:cs="Calibri"/>
                <w:noProof/>
              </w:rPr>
            </w:pPr>
            <w:r>
              <w:rPr>
                <w:noProof/>
              </w:rPr>
              <w:t>Parakstīts līgums par 145 tīru autobusu iegādi saskaņā ar Sabiedriskā transporta dekarbonizācijas programmu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85D964C"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95BD3CE"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D9326A"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700FA3"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148EE6" w14:textId="77777777" w:rsidR="00776A1F" w:rsidRDefault="00D8574B">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16BAC741" w14:textId="0C12CBAC" w:rsidR="00776A1F" w:rsidRDefault="00D8574B">
            <w:pPr>
              <w:pStyle w:val="P68B1DB1-Normal8"/>
              <w:spacing w:after="0" w:line="240" w:lineRule="auto"/>
              <w:jc w:val="both"/>
              <w:rPr>
                <w:rFonts w:eastAsia="Times New Roman" w:cs="Calibri"/>
                <w:noProof/>
              </w:rPr>
            </w:pPr>
            <w:r>
              <w:rPr>
                <w:noProof/>
              </w:rPr>
              <w:t>Līguma parakstīšana starp atbalsta saņēmējiem un vadības iestādi, pamatojoties uz konkursa procedūru, kurā pausta apņemšanās iegādāties jaunos bezemisiju (elektriskos vai ūdeņraža) autobusus.</w:t>
            </w:r>
          </w:p>
        </w:tc>
      </w:tr>
      <w:tr w:rsidR="00776A1F" w14:paraId="48039201" w14:textId="77777777">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CC55914" w14:textId="77777777" w:rsidR="00776A1F" w:rsidRDefault="00D8574B">
            <w:pPr>
              <w:pStyle w:val="P68B1DB1-Normal7"/>
              <w:spacing w:after="0" w:line="240" w:lineRule="auto"/>
              <w:jc w:val="center"/>
              <w:rPr>
                <w:rFonts w:eastAsia="Times New Roman" w:cs="Calibri"/>
                <w:noProof/>
              </w:rPr>
            </w:pPr>
            <w:r>
              <w:rPr>
                <w:noProof/>
              </w:rPr>
              <w:t>15.13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9F74196" w14:textId="77777777" w:rsidR="00776A1F" w:rsidRDefault="00D8574B">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9BF1EE"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9D1A84" w14:textId="77777777" w:rsidR="00776A1F" w:rsidRDefault="00D8574B">
            <w:pPr>
              <w:pStyle w:val="P68B1DB1-Normal8"/>
              <w:spacing w:after="0" w:line="240" w:lineRule="auto"/>
              <w:jc w:val="center"/>
              <w:rPr>
                <w:rFonts w:eastAsia="Times New Roman" w:cs="Calibri"/>
                <w:noProof/>
              </w:rPr>
            </w:pPr>
            <w:r>
              <w:rPr>
                <w:noProof/>
              </w:rPr>
              <w:t>Tādu jaunu bezemisiju (elektrisko vai ūdeņraža) autobusu iegāde, kurus izmanto sabiedriskajam transportam</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00F18BD" w14:textId="77777777" w:rsidR="00776A1F" w:rsidRDefault="00776A1F">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34DBE1"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CE4430B"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BECE405" w14:textId="77777777" w:rsidR="00776A1F" w:rsidRDefault="00D8574B">
            <w:pPr>
              <w:pStyle w:val="P68B1DB1-Normal8"/>
              <w:spacing w:after="0" w:line="240" w:lineRule="auto"/>
              <w:jc w:val="center"/>
              <w:rPr>
                <w:rFonts w:eastAsia="Times New Roman" w:cs="Calibri"/>
                <w:noProof/>
              </w:rPr>
            </w:pPr>
            <w:r>
              <w:rPr>
                <w:noProof/>
              </w:rPr>
              <w:t>145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9F48AA6"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7805CE" w14:textId="77777777" w:rsidR="00776A1F" w:rsidRDefault="00D8574B">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8838148" w14:textId="77777777" w:rsidR="00776A1F" w:rsidRDefault="00D8574B">
            <w:pPr>
              <w:pStyle w:val="P68B1DB1-Normal9"/>
              <w:spacing w:after="0" w:line="240" w:lineRule="auto"/>
              <w:jc w:val="both"/>
              <w:rPr>
                <w:rFonts w:eastAsia="Times New Roman" w:cs="Calibri"/>
                <w:noProof/>
                <w:sz w:val="16"/>
              </w:rPr>
            </w:pPr>
            <w:r>
              <w:rPr>
                <w:noProof/>
                <w:sz w:val="16"/>
              </w:rPr>
              <w:t>Jaunu bezemisiju (elektrisko vai ūdeņraža) autobusu skaits, kas iegādāti un tiek ekspluatētisabiedriskā pasažieru transporta pakalpojumu sniegšanai Lisabonā un Porto aglomerācijās.</w:t>
            </w:r>
          </w:p>
        </w:tc>
      </w:tr>
      <w:tr w:rsidR="00776A1F" w14:paraId="14807BD7"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050AF4" w14:textId="77777777" w:rsidR="00776A1F" w:rsidRDefault="00D8574B">
            <w:pPr>
              <w:pStyle w:val="P68B1DB1-Normal7"/>
              <w:spacing w:after="0" w:line="240" w:lineRule="auto"/>
              <w:jc w:val="center"/>
              <w:rPr>
                <w:rFonts w:eastAsia="Times New Roman" w:cs="Calibri"/>
                <w:noProof/>
              </w:rPr>
            </w:pPr>
            <w:r>
              <w:rPr>
                <w:noProof/>
              </w:rPr>
              <w:t>15.14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81FD44" w14:textId="77777777" w:rsidR="00776A1F" w:rsidRDefault="00D8574B">
            <w:pPr>
              <w:pStyle w:val="P68B1DB1-Normal8"/>
              <w:spacing w:after="0" w:line="240" w:lineRule="auto"/>
              <w:jc w:val="center"/>
              <w:rPr>
                <w:rFonts w:eastAsia="Times New Roman" w:cs="Calibri"/>
                <w:noProof/>
              </w:rPr>
            </w:pPr>
            <w:r>
              <w:rPr>
                <w:noProof/>
              </w:rPr>
              <w:t>TC-C15-r30</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DE169C"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1630B8" w14:textId="77777777" w:rsidR="00776A1F" w:rsidRDefault="00D8574B">
            <w:pPr>
              <w:pStyle w:val="P68B1DB1-Normal8"/>
              <w:spacing w:after="0" w:line="240" w:lineRule="auto"/>
              <w:jc w:val="center"/>
              <w:rPr>
                <w:rFonts w:eastAsia="Times New Roman" w:cs="Calibri"/>
                <w:noProof/>
              </w:rPr>
            </w:pPr>
            <w:r>
              <w:rPr>
                <w:noProof/>
              </w:rPr>
              <w:t>Parakstītie līgumi par sabiedriskā pasažieru transporta pakalpojumiem lielpilsētu teritorijās un starppašvaldību kopienās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A57D8B6" w14:textId="77777777" w:rsidR="00776A1F" w:rsidRDefault="00776A1F">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219E19"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FBB1912" w14:textId="77777777" w:rsidR="00776A1F" w:rsidRDefault="00D8574B">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7BDA846" w14:textId="77777777" w:rsidR="00776A1F" w:rsidRDefault="00D8574B">
            <w:pPr>
              <w:pStyle w:val="P68B1DB1-Normal8"/>
              <w:spacing w:after="0" w:line="240" w:lineRule="auto"/>
              <w:jc w:val="center"/>
              <w:rPr>
                <w:rFonts w:eastAsia="Times New Roman" w:cs="Calibri"/>
                <w:noProof/>
              </w:rPr>
            </w:pPr>
            <w:r>
              <w:rPr>
                <w:noProof/>
              </w:rPr>
              <w:t>23</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ED4C04"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89ECF9" w14:textId="77777777" w:rsidR="00776A1F" w:rsidRDefault="00D8574B">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154FD26" w14:textId="77777777" w:rsidR="00776A1F" w:rsidRDefault="00D8574B">
            <w:pPr>
              <w:pStyle w:val="P68B1DB1-Normal8"/>
              <w:spacing w:after="0" w:line="240" w:lineRule="auto"/>
              <w:jc w:val="both"/>
              <w:rPr>
                <w:rFonts w:eastAsia="Times New Roman" w:cs="Calibri"/>
                <w:noProof/>
              </w:rPr>
            </w:pPr>
            <w:r>
              <w:rPr>
                <w:noProof/>
              </w:rPr>
              <w:t xml:space="preserve">To transporta pārvaldības iestāžu skaits, kuru līgumi parakstīti par visiem sabiedriskā pasažieru transporta pakalpojumiem pa dzelzceļu, autoceļiem un iekšējiem ūdensceļiem saskaņā ar Regulu (EK) Nr. 1370/2007. </w:t>
            </w:r>
          </w:p>
        </w:tc>
      </w:tr>
      <w:tr w:rsidR="00776A1F" w14:paraId="47CBDF40"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09369F6D" w14:textId="4F312845" w:rsidR="00776A1F" w:rsidRDefault="00D8574B">
            <w:pPr>
              <w:pStyle w:val="P68B1DB1-Normal11"/>
              <w:spacing w:after="0" w:line="240" w:lineRule="auto"/>
              <w:jc w:val="center"/>
              <w:rPr>
                <w:rFonts w:eastAsia="Times New Roman"/>
                <w:noProof/>
              </w:rPr>
            </w:pPr>
            <w:r>
              <w:rPr>
                <w:noProof/>
              </w:rPr>
              <w:t>15.15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F8ECE66" w14:textId="2BE2CDE3" w:rsidR="00776A1F" w:rsidRDefault="00D8574B">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490E290" w14:textId="4326EEA4" w:rsidR="00776A1F" w:rsidRDefault="00D8574B">
            <w:pPr>
              <w:pStyle w:val="P68B1DB1-Normal12"/>
              <w:spacing w:after="0" w:line="240" w:lineRule="auto"/>
              <w:jc w:val="center"/>
              <w:rPr>
                <w:rFonts w:eastAsia="Times New Roman" w:cstheme="minorHAns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550A166" w14:textId="34BFD0E8" w:rsidR="00776A1F" w:rsidRDefault="00D8574B">
            <w:pPr>
              <w:pStyle w:val="P68B1DB1-Normal12"/>
              <w:spacing w:after="0" w:line="240" w:lineRule="auto"/>
              <w:jc w:val="center"/>
              <w:rPr>
                <w:rFonts w:eastAsia="Times New Roman" w:cstheme="minorHAnsi"/>
                <w:noProof/>
              </w:rPr>
            </w:pPr>
            <w:r>
              <w:rPr>
                <w:noProof/>
              </w:rPr>
              <w:t>Elektronisko signalizācijas sistēmu līguma parakstīšana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14CC642" w14:textId="1FBE12E9" w:rsidR="00776A1F" w:rsidRDefault="00D8574B">
            <w:pPr>
              <w:pStyle w:val="P68B1DB1-Normal12"/>
              <w:spacing w:after="0" w:line="240" w:lineRule="auto"/>
              <w:jc w:val="center"/>
              <w:rPr>
                <w:rFonts w:eastAsia="Times New Roman" w:cstheme="minorHAnsi"/>
                <w:noProof/>
              </w:rPr>
            </w:pPr>
            <w:r>
              <w:rPr>
                <w:noProof/>
              </w:rPr>
              <w:t>Līguma parakstīšana un publicēšana īpašā portālā</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95EA3B9" w14:textId="77777777" w:rsidR="00776A1F" w:rsidRDefault="00776A1F">
            <w:pPr>
              <w:spacing w:after="0" w:line="240" w:lineRule="auto"/>
              <w:jc w:val="center"/>
              <w:rPr>
                <w:rFonts w:eastAsia="Times New Roman" w:cstheme="minorHAns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EBBD090" w14:textId="77777777" w:rsidR="00776A1F" w:rsidRDefault="00776A1F">
            <w:pPr>
              <w:spacing w:after="0" w:line="240" w:lineRule="auto"/>
              <w:jc w:val="center"/>
              <w:rPr>
                <w:rFonts w:eastAsia="Times New Roman" w:cstheme="minorHAns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3D14C8" w14:textId="77777777" w:rsidR="00776A1F" w:rsidRDefault="00776A1F">
            <w:pPr>
              <w:spacing w:after="0" w:line="240" w:lineRule="auto"/>
              <w:jc w:val="center"/>
              <w:rPr>
                <w:rFonts w:eastAsia="Times New Roman" w:cstheme="minorHAns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5308DB" w14:textId="538F4A90" w:rsidR="00776A1F" w:rsidRDefault="00D8574B">
            <w:pPr>
              <w:pStyle w:val="P68B1DB1-Normal12"/>
              <w:spacing w:after="0" w:line="240" w:lineRule="auto"/>
              <w:jc w:val="center"/>
              <w:rPr>
                <w:rFonts w:eastAsia="Times New Roman" w:cstheme="minorHAnsi"/>
                <w:noProof/>
              </w:rPr>
            </w:pPr>
            <w:r>
              <w:rPr>
                <w:noProof/>
              </w:rPr>
              <w:t>4.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87AF58" w14:textId="3B2C4F41" w:rsidR="00776A1F" w:rsidRDefault="00D8574B">
            <w:pPr>
              <w:pStyle w:val="P68B1DB1-Normal12"/>
              <w:spacing w:after="0" w:line="240" w:lineRule="auto"/>
              <w:jc w:val="center"/>
              <w:rPr>
                <w:rFonts w:eastAsia="Times New Roman" w:cstheme="minorHAns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2C5EB17D" w14:textId="3D9B1E55" w:rsidR="00776A1F" w:rsidRDefault="00D8574B">
            <w:pPr>
              <w:pStyle w:val="P68B1DB1-Normal12"/>
              <w:spacing w:after="0" w:line="240" w:lineRule="auto"/>
              <w:rPr>
                <w:rFonts w:eastAsia="Times New Roman" w:cstheme="minorHAnsi"/>
                <w:noProof/>
              </w:rPr>
            </w:pPr>
            <w:r>
              <w:rPr>
                <w:noProof/>
              </w:rPr>
              <w:t xml:space="preserve">Projekta īstenošanas līguma parakstīšana par elektronisko signalizācijas sistēmu nomaiņu starp valsts iestādēm un darbuzņēmēju. </w:t>
            </w:r>
          </w:p>
        </w:tc>
      </w:tr>
      <w:tr w:rsidR="00776A1F" w14:paraId="4095FC09"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309B65D6" w14:textId="131135B8" w:rsidR="00776A1F" w:rsidRDefault="00D8574B">
            <w:pPr>
              <w:pStyle w:val="P68B1DB1-Normal11"/>
              <w:spacing w:after="0" w:line="240" w:lineRule="auto"/>
              <w:jc w:val="center"/>
              <w:rPr>
                <w:rFonts w:eastAsia="Times New Roman"/>
                <w:noProof/>
              </w:rPr>
            </w:pPr>
            <w:r>
              <w:rPr>
                <w:noProof/>
              </w:rPr>
              <w:t>15.16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49E8EF1" w14:textId="16469D34" w:rsidR="00776A1F" w:rsidRDefault="00D8574B">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1DEA956" w14:textId="4D528CFF" w:rsidR="00776A1F" w:rsidRDefault="00D8574B">
            <w:pPr>
              <w:pStyle w:val="P68B1DB1-Normal12"/>
              <w:spacing w:after="0" w:line="240" w:lineRule="auto"/>
              <w:jc w:val="center"/>
              <w:rPr>
                <w:rFonts w:eastAsia="Times New Roman" w:cstheme="minorHAns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1336C3" w14:textId="72F7F910" w:rsidR="00776A1F" w:rsidRDefault="00D8574B">
            <w:pPr>
              <w:pStyle w:val="P68B1DB1-Normal12"/>
              <w:spacing w:after="0" w:line="240" w:lineRule="auto"/>
              <w:jc w:val="center"/>
              <w:rPr>
                <w:rFonts w:eastAsia="Times New Roman" w:cstheme="minorHAnsi"/>
                <w:noProof/>
              </w:rPr>
            </w:pPr>
            <w:r>
              <w:rPr>
                <w:noProof/>
              </w:rPr>
              <w:t>Dzelzceļa līnijas ar elektroniskām signalizācijas sistēmām nomainītas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A28AD9C" w14:textId="77777777" w:rsidR="00776A1F" w:rsidRDefault="00776A1F">
            <w:pPr>
              <w:spacing w:after="0" w:line="240" w:lineRule="auto"/>
              <w:jc w:val="center"/>
              <w:rPr>
                <w:rFonts w:eastAsia="Times New Roman" w:cstheme="minorHAns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598FA30" w14:textId="2E1AC044" w:rsidR="00776A1F" w:rsidRDefault="00D8574B">
            <w:pPr>
              <w:pStyle w:val="P68B1DB1-Normal12"/>
              <w:spacing w:after="0" w:line="240" w:lineRule="auto"/>
              <w:jc w:val="center"/>
              <w:rPr>
                <w:rFonts w:eastAsia="Times New Roman" w:cstheme="minorHAnsi"/>
                <w:noProof/>
              </w:rPr>
            </w:pPr>
            <w:r>
              <w:rPr>
                <w:noProof/>
              </w:rPr>
              <w:t>km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8C2C5F8" w14:textId="534EC871" w:rsidR="00776A1F" w:rsidRDefault="00D8574B">
            <w:pPr>
              <w:pStyle w:val="P68B1DB1-Normal12"/>
              <w:spacing w:after="0" w:line="240" w:lineRule="auto"/>
              <w:jc w:val="center"/>
              <w:rPr>
                <w:rFonts w:eastAsia="Times New Roman" w:cstheme="minorHAns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31C6AF" w14:textId="106C8BCB" w:rsidR="00776A1F" w:rsidRDefault="00D8574B">
            <w:pPr>
              <w:pStyle w:val="P68B1DB1-Normal12"/>
              <w:spacing w:after="0" w:line="240" w:lineRule="auto"/>
              <w:jc w:val="center"/>
              <w:rPr>
                <w:rFonts w:eastAsia="Times New Roman" w:cstheme="minorHAnsi"/>
                <w:noProof/>
              </w:rPr>
            </w:pPr>
            <w:r>
              <w:rPr>
                <w:noProof/>
              </w:rPr>
              <w:t>20</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A010B4" w14:textId="2F3B9E13" w:rsidR="00776A1F" w:rsidRDefault="00D8574B">
            <w:pPr>
              <w:pStyle w:val="P68B1DB1-Normal12"/>
              <w:spacing w:after="0" w:line="240" w:lineRule="auto"/>
              <w:jc w:val="center"/>
              <w:rPr>
                <w:rFonts w:eastAsia="Times New Roman" w:cstheme="minorHAnsi"/>
                <w:noProof/>
              </w:rPr>
            </w:pPr>
            <w:r>
              <w:rPr>
                <w:noProof/>
              </w:rPr>
              <w:t>2.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2AD76CD" w14:textId="1D2C02A4" w:rsidR="00776A1F" w:rsidRDefault="00D8574B">
            <w:pPr>
              <w:pStyle w:val="P68B1DB1-Normal12"/>
              <w:spacing w:after="0" w:line="240" w:lineRule="auto"/>
              <w:jc w:val="center"/>
              <w:rPr>
                <w:rFonts w:eastAsia="Times New Roman" w:cstheme="minorHAns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3B34CCB" w14:textId="3C6E08D9" w:rsidR="00776A1F" w:rsidRDefault="00D8574B">
            <w:pPr>
              <w:pStyle w:val="P68B1DB1-Normal12"/>
              <w:spacing w:after="0" w:line="240" w:lineRule="auto"/>
              <w:jc w:val="both"/>
              <w:rPr>
                <w:rFonts w:eastAsia="Times New Roman" w:cstheme="minorHAnsi"/>
                <w:noProof/>
              </w:rPr>
            </w:pPr>
            <w:r>
              <w:rPr>
                <w:noProof/>
              </w:rPr>
              <w:t>Dzelzceļa līniju garums ar jaunām elektroniskās signalizācijas sistēmām, kas uzstādītas Lisabonas aglomerācijā.</w:t>
            </w:r>
          </w:p>
        </w:tc>
      </w:tr>
    </w:tbl>
    <w:p w14:paraId="11A8F5DB" w14:textId="6735A646"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60"/>
        </w:sectPr>
      </w:pPr>
    </w:p>
    <w:p w14:paraId="510498C1"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F3C01E3" w14:textId="763016D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O.3. Aizdevumam pieteikto reformu un investīciju apraksts</w:t>
      </w:r>
    </w:p>
    <w:p w14:paraId="1242CC49"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Ieguldījums TC-C15-i03: Vieglā dzelzceļa tranzīts Odivelas — Loures </w:t>
      </w:r>
    </w:p>
    <w:p w14:paraId="27A3BE80" w14:textId="77777777" w:rsidR="00776A1F" w:rsidRDefault="00D8574B">
      <w:pPr>
        <w:pStyle w:val="P68B1DB1-Normal4"/>
        <w:keepNext/>
        <w:spacing w:before="40" w:after="0" w:line="259" w:lineRule="auto"/>
        <w:jc w:val="both"/>
        <w:rPr>
          <w:rFonts w:eastAsiaTheme="minorEastAsia" w:cs="Times New Roman"/>
          <w:noProof/>
        </w:rPr>
      </w:pPr>
      <w:r>
        <w:rPr>
          <w:noProof/>
        </w:rPr>
        <w:t>Pasākuma mērķis ir palielināt sabiedriskā transporta pievilcību Lisabonā un piesaistīt vairāk lietotāju. Pašlaik starp Louresu un Lisabonu dominē privātais autotransports, kas rada ievērojamas siltumnīcefekta gāzu un piesārņotāju emisijas un sastrēgumu problēmas. Pasākuma mērķis ir veicināt pāreju no individuālā autotransporta uz sabiedrisko transportu.</w:t>
      </w:r>
    </w:p>
    <w:p w14:paraId="4FCFEDE5" w14:textId="481C3763" w:rsidR="00776A1F" w:rsidRDefault="00D8574B">
      <w:pPr>
        <w:pStyle w:val="P68B1DB1-Normal4"/>
        <w:keepNext/>
        <w:spacing w:before="40" w:after="0" w:line="259" w:lineRule="auto"/>
        <w:jc w:val="both"/>
        <w:rPr>
          <w:rFonts w:eastAsiaTheme="minorEastAsia" w:cs="Times New Roman"/>
          <w:noProof/>
        </w:rPr>
      </w:pPr>
      <w:r>
        <w:rPr>
          <w:noProof/>
        </w:rPr>
        <w:t xml:space="preserve">Ieguldījumu veido 11,5 km gara vieglā dzelzceļa tranzīta sistēmas izbūve, kas savieno Loures pašvaldību ar Lisabonas metro tīklu. </w:t>
      </w:r>
    </w:p>
    <w:p w14:paraId="5F1D6AF1" w14:textId="7D85A9C0" w:rsidR="00776A1F" w:rsidRDefault="00D8574B">
      <w:pPr>
        <w:pStyle w:val="P68B1DB1-Normal4"/>
        <w:keepNext/>
        <w:spacing w:before="40" w:after="0" w:line="259" w:lineRule="auto"/>
        <w:ind w:left="130" w:firstLine="720"/>
        <w:jc w:val="both"/>
        <w:outlineLvl w:val="1"/>
        <w:rPr>
          <w:rFonts w:eastAsiaTheme="minorEastAsia" w:cs="Times New Roman"/>
          <w:b/>
          <w:noProof/>
          <w:u w:val="single"/>
        </w:rPr>
      </w:pPr>
      <w:r>
        <w:rPr>
          <w:noProof/>
        </w:rPr>
        <w:t>Ieguldījumu īstenošanu pabeidz līdz 2026. gada 30. jūnijam.</w:t>
      </w:r>
    </w:p>
    <w:p w14:paraId="575ACA3D"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4CAD46C"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20"/>
          <w:docGrid w:linePitch="360"/>
        </w:sectPr>
      </w:pPr>
    </w:p>
    <w:p w14:paraId="03D3A8DE"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302B669C" w14:textId="17BC633A"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O.4. Atskaites punkti, mērķrādītāji, citi rādītāji un aizdevuma uzraudzības un īstenošanas grafiks</w:t>
      </w:r>
    </w:p>
    <w:p w14:paraId="635759ED"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776A1F" w14:paraId="2F97F8D0"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921D3C2"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1C57A38"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FEE676C"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8027319"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1067041"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1F0D5637"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DB14555"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4BDC769"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6A79B94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4310C2A"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ACA7D6"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AF8AE5" w14:textId="77777777" w:rsidR="00776A1F" w:rsidRDefault="00776A1F">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037FB" w14:textId="77777777" w:rsidR="00776A1F" w:rsidRDefault="00776A1F">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532041EB" w14:textId="77777777" w:rsidR="00776A1F" w:rsidRDefault="00776A1F">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78DB4E2"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260F3C8"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75038A"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015B4B4"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C222A0"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395" w:type="dxa"/>
            <w:vMerge/>
            <w:tcBorders>
              <w:top w:val="single" w:sz="4" w:space="0" w:color="auto"/>
              <w:bottom w:val="single" w:sz="4" w:space="0" w:color="auto"/>
              <w:right w:val="single" w:sz="4" w:space="0" w:color="auto"/>
            </w:tcBorders>
            <w:vAlign w:val="center"/>
            <w:hideMark/>
          </w:tcPr>
          <w:p w14:paraId="01B727AD" w14:textId="77777777" w:rsidR="00776A1F" w:rsidRDefault="00776A1F">
            <w:pPr>
              <w:spacing w:after="0" w:line="240" w:lineRule="auto"/>
              <w:rPr>
                <w:rFonts w:ascii="Times New Roman" w:eastAsia="Times New Roman" w:hAnsi="Times New Roman" w:cs="Times New Roman"/>
                <w:b/>
                <w:noProof/>
                <w:sz w:val="18"/>
              </w:rPr>
            </w:pPr>
          </w:p>
        </w:tc>
      </w:tr>
      <w:tr w:rsidR="00776A1F" w14:paraId="4EBA1B8E" w14:textId="77777777">
        <w:trPr>
          <w:trHeight w:val="85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17430DD4" w14:textId="3D8F77CB" w:rsidR="00776A1F" w:rsidRDefault="00D8574B">
            <w:pPr>
              <w:pStyle w:val="P68B1DB1-Normal7"/>
              <w:spacing w:after="0" w:line="240" w:lineRule="auto"/>
              <w:jc w:val="center"/>
              <w:rPr>
                <w:rFonts w:eastAsia="Times New Roman" w:cs="Calibri"/>
                <w:noProof/>
              </w:rPr>
            </w:pPr>
            <w:r>
              <w:rPr>
                <w:noProof/>
              </w:rPr>
              <w:t>15.7</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2763EAF" w14:textId="43F37C9D" w:rsidR="00776A1F" w:rsidRDefault="00D8574B">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4F69B0" w14:textId="6F007304"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A963B90" w14:textId="7F495470" w:rsidR="00776A1F" w:rsidRDefault="00D8574B">
            <w:pPr>
              <w:pStyle w:val="P68B1DB1-Normal8"/>
              <w:spacing w:after="0" w:line="240" w:lineRule="auto"/>
              <w:jc w:val="center"/>
              <w:rPr>
                <w:rFonts w:eastAsia="Times New Roman" w:cs="Calibri"/>
                <w:noProof/>
              </w:rPr>
            </w:pPr>
            <w:r>
              <w:rPr>
                <w:noProof/>
              </w:rPr>
              <w:t>Līguma parakstīšana par vieglā dzelzceļa tranzīta līnijas būvniecību starp Odivelas un Loures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077DDBE" w14:textId="3B3953C9" w:rsidR="00776A1F" w:rsidRDefault="00D8574B">
            <w:pPr>
              <w:pStyle w:val="P68B1DB1-Normal8"/>
              <w:spacing w:after="0" w:line="240" w:lineRule="auto"/>
              <w:jc w:val="center"/>
              <w:rPr>
                <w:rFonts w:eastAsia="Times New Roman" w:cs="Calibri"/>
                <w:noProof/>
              </w:rPr>
            </w:pPr>
            <w:r>
              <w:rPr>
                <w:noProof/>
              </w:rPr>
              <w:t>Līguma parakstīšana par vieglā dzelzceļa tranzīta līnijas būvniecību starp Odivelas un Loures</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18295CC"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9B96970"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90E9541"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F8099FF" w14:textId="21500CAE" w:rsidR="00776A1F" w:rsidRDefault="00D8574B">
            <w:pPr>
              <w:pStyle w:val="P68B1DB1-Normal8"/>
              <w:spacing w:after="0" w:line="240" w:lineRule="auto"/>
              <w:jc w:val="center"/>
              <w:rPr>
                <w:rFonts w:eastAsia="Times New Roman" w:cs="Calibri"/>
                <w:noProof/>
              </w:rPr>
            </w:pPr>
            <w:r>
              <w:rPr>
                <w:noProof/>
              </w:rPr>
              <w:t>1.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3A09061" w14:textId="0BCE3452" w:rsidR="00776A1F" w:rsidRDefault="00D8574B">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1CFDF65" w14:textId="783876D7" w:rsidR="00776A1F" w:rsidRDefault="00D8574B">
            <w:pPr>
              <w:pStyle w:val="P68B1DB1-Normal8"/>
              <w:spacing w:after="0" w:line="240" w:lineRule="auto"/>
              <w:jc w:val="both"/>
              <w:rPr>
                <w:rFonts w:eastAsia="Times New Roman" w:cs="Calibri"/>
                <w:noProof/>
              </w:rPr>
            </w:pPr>
            <w:r>
              <w:rPr>
                <w:noProof/>
              </w:rPr>
              <w:t xml:space="preserve">Projekta īstenošanas līguma parakstīšana starp valsts iestādēm un konkursa procedūrā izraudzīto līgumslēdzēju. Līguma mērķis ir vieglā dzelzceļa tranzīta līnijas būvniecība starp Odivelas un Loures. </w:t>
            </w:r>
          </w:p>
        </w:tc>
      </w:tr>
      <w:tr w:rsidR="00776A1F" w14:paraId="2C0CA749" w14:textId="77777777">
        <w:trPr>
          <w:trHeight w:val="2527"/>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54BFE5C9" w14:textId="29341BA1" w:rsidR="00776A1F" w:rsidRDefault="00D8574B">
            <w:pPr>
              <w:pStyle w:val="P68B1DB1-Normal7"/>
              <w:spacing w:after="0" w:line="240" w:lineRule="auto"/>
              <w:jc w:val="center"/>
              <w:rPr>
                <w:rFonts w:eastAsia="Times New Roman" w:cs="Calibri"/>
                <w:noProof/>
              </w:rPr>
            </w:pPr>
            <w:r>
              <w:rPr>
                <w:noProof/>
              </w:rPr>
              <w:t>15.8</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DF29A2" w14:textId="4F14BD57" w:rsidR="00776A1F" w:rsidRDefault="00D8574B">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4D0EFB" w14:textId="69B081E1" w:rsidR="00776A1F" w:rsidRDefault="00D8574B">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4498EF" w14:textId="33737552" w:rsidR="00776A1F" w:rsidRDefault="00D8574B">
            <w:pPr>
              <w:pStyle w:val="P68B1DB1-Normal8"/>
              <w:spacing w:after="0" w:line="240" w:lineRule="auto"/>
              <w:jc w:val="center"/>
              <w:rPr>
                <w:rFonts w:eastAsia="Times New Roman" w:cs="Calibri"/>
                <w:noProof/>
              </w:rPr>
            </w:pPr>
            <w:r>
              <w:rPr>
                <w:noProof/>
              </w:rPr>
              <w:t>Progresa ziņojums par vieglā dzelzceļa tranzīta līnijas būvniecību starp Odivelas un Loures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9ABFC70" w14:textId="6F68A9CC" w:rsidR="00776A1F" w:rsidRDefault="00D8574B">
            <w:pPr>
              <w:pStyle w:val="P68B1DB1-Normal8"/>
              <w:spacing w:after="0" w:line="240" w:lineRule="auto"/>
              <w:jc w:val="center"/>
              <w:rPr>
                <w:rFonts w:eastAsia="Times New Roman" w:cs="Calibri"/>
                <w:noProof/>
              </w:rPr>
            </w:pPr>
            <w:r>
              <w:rPr>
                <w:noProof/>
              </w:rPr>
              <w:t>Progresa ziņojums, kurā norādīts, ka darbi turpinās saskaņā ar grafiku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0038F1" w14:textId="77777777" w:rsidR="00776A1F" w:rsidRDefault="00776A1F">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419550BD" w14:textId="77777777" w:rsidR="00776A1F" w:rsidRDefault="00776A1F">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8473EAD" w14:textId="77777777" w:rsidR="00776A1F" w:rsidRDefault="00776A1F">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3C286D" w14:textId="1D46DD3D" w:rsidR="00776A1F" w:rsidRDefault="00D8574B">
            <w:pPr>
              <w:pStyle w:val="P68B1DB1-Normal8"/>
              <w:spacing w:after="0" w:line="240" w:lineRule="auto"/>
              <w:jc w:val="center"/>
              <w:rPr>
                <w:rFonts w:eastAsia="Times New Roman" w:cs="Calibri"/>
                <w:noProof/>
              </w:rPr>
            </w:pPr>
            <w:r>
              <w:rPr>
                <w:noProof/>
              </w:rPr>
              <w:t>2.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EE78C35" w14:textId="00B9F427" w:rsidR="00776A1F" w:rsidRDefault="00D8574B">
            <w:pPr>
              <w:pStyle w:val="P68B1DB1-Normal8"/>
              <w:spacing w:after="0" w:line="240" w:lineRule="auto"/>
              <w:jc w:val="center"/>
              <w:rPr>
                <w:rFonts w:eastAsia="Times New Roman" w:cs="Calibri"/>
                <w:noProof/>
              </w:rPr>
            </w:pPr>
            <w:r>
              <w:rPr>
                <w:noProof/>
              </w:rPr>
              <w:t>2025</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33FA7FFC" w14:textId="633FF37D" w:rsidR="00776A1F" w:rsidRDefault="00D8574B">
            <w:pPr>
              <w:pStyle w:val="P68B1DB1-Normal8"/>
              <w:spacing w:after="0" w:line="240" w:lineRule="auto"/>
              <w:jc w:val="both"/>
              <w:rPr>
                <w:rFonts w:eastAsia="Times New Roman" w:cs="Calibri"/>
                <w:noProof/>
              </w:rPr>
            </w:pPr>
            <w:r>
              <w:rPr>
                <w:noProof/>
              </w:rPr>
              <w:t>Vieglā dzelzceļa tranzīta līnijas starp Odivelas un Loures būvniecības darbu attīstību un to izpildes grafika ievērošanu mēra ar regulāriem progresa ziņojumiem visā darbu izpildes laikā. Tas ietver darba attīstības novērtējumu saskaņā ar plānoto grafiku, tostarp jau pabeigto darbību noteikšanu, veicamo darbību noteikšanu un ierosināto īstenošanas termiņu riska analīzi, vajadzības gadījumā pievienojot riska mazināšanas un ārkārtas rīcības plānu, lai nodrošinātu, ka līgums tiek pabeigts ierosinātajos termiņos. Atskaites punkts ir sasniegts, ja progresa ziņojumā norādīts, ka atskaites punkta īstenošanas laikā darbi turpinās saskaņā ar grafiku.</w:t>
            </w:r>
          </w:p>
        </w:tc>
      </w:tr>
      <w:tr w:rsidR="00776A1F" w14:paraId="5ACB540A" w14:textId="77777777">
        <w:trPr>
          <w:trHeight w:val="64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7C7A72F5" w14:textId="276CF2CE" w:rsidR="00776A1F" w:rsidRDefault="00D8574B">
            <w:pPr>
              <w:pStyle w:val="P68B1DB1-Normal7"/>
              <w:spacing w:after="0" w:line="240" w:lineRule="auto"/>
              <w:jc w:val="center"/>
              <w:rPr>
                <w:rFonts w:eastAsia="Times New Roman" w:cs="Calibri"/>
                <w:noProof/>
              </w:rPr>
            </w:pPr>
            <w:r>
              <w:rPr>
                <w:noProof/>
              </w:rPr>
              <w:t>15.9</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99203D" w14:textId="19AB8DFF" w:rsidR="00776A1F" w:rsidRDefault="00D8574B">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7661C3" w14:textId="65733C36" w:rsidR="00776A1F" w:rsidRDefault="00D8574B">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1911FA7" w14:textId="10D9D5E3" w:rsidR="00776A1F" w:rsidRDefault="00D8574B">
            <w:pPr>
              <w:pStyle w:val="P68B1DB1-Normal8"/>
              <w:spacing w:after="0" w:line="240" w:lineRule="auto"/>
              <w:jc w:val="center"/>
              <w:rPr>
                <w:rFonts w:eastAsia="Times New Roman" w:cs="Calibri"/>
                <w:noProof/>
              </w:rPr>
            </w:pPr>
            <w:r>
              <w:rPr>
                <w:noProof/>
              </w:rPr>
              <w:t>Pabeigta vieglā dzelzceļa tranzīta līnijas būvniecība starp Odivelas un Loures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781649" w14:textId="77777777" w:rsidR="00776A1F" w:rsidRDefault="00776A1F">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4FBAABA" w14:textId="0FEF1905" w:rsidR="00776A1F" w:rsidRDefault="00D8574B">
            <w:pPr>
              <w:pStyle w:val="P68B1DB1-Normal8"/>
              <w:spacing w:after="0" w:line="240" w:lineRule="auto"/>
              <w:jc w:val="center"/>
              <w:rPr>
                <w:rFonts w:eastAsia="Times New Roman" w:cs="Calibri"/>
                <w:noProof/>
              </w:rPr>
            </w:pPr>
            <w:r>
              <w:rPr>
                <w:noProof/>
              </w:rPr>
              <w:t>Km</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5D1663D" w14:textId="629F8717" w:rsidR="00776A1F" w:rsidRDefault="00D8574B">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D4C315A" w14:textId="78D81EC8" w:rsidR="00776A1F" w:rsidRDefault="00D8574B">
            <w:pPr>
              <w:pStyle w:val="P68B1DB1-Normal8"/>
              <w:spacing w:after="0" w:line="240" w:lineRule="auto"/>
              <w:jc w:val="center"/>
              <w:rPr>
                <w:rFonts w:eastAsia="Times New Roman" w:cs="Calibri"/>
                <w:noProof/>
              </w:rPr>
            </w:pPr>
            <w:r>
              <w:rPr>
                <w:noProof/>
              </w:rPr>
              <w:t>11.5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F0E1D2A" w14:textId="1621DBB7" w:rsidR="00776A1F" w:rsidRDefault="00D8574B">
            <w:pPr>
              <w:pStyle w:val="P68B1DB1-Normal8"/>
              <w:spacing w:after="0" w:line="240" w:lineRule="auto"/>
              <w:jc w:val="center"/>
              <w:rPr>
                <w:rFonts w:eastAsia="Times New Roman" w:cs="Calibri"/>
                <w:noProof/>
              </w:rPr>
            </w:pPr>
            <w:r>
              <w:rPr>
                <w:noProof/>
              </w:rPr>
              <w:t>2. CET.</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B81BB6F" w14:textId="2BF6C0A4" w:rsidR="00776A1F" w:rsidRDefault="00D8574B">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B006FBB" w14:textId="239AB1DE" w:rsidR="00776A1F" w:rsidRDefault="00D8574B">
            <w:pPr>
              <w:pStyle w:val="P68B1DB1-Normal8"/>
              <w:spacing w:after="0" w:line="240" w:lineRule="auto"/>
              <w:jc w:val="both"/>
              <w:rPr>
                <w:rFonts w:eastAsia="Times New Roman" w:cs="Calibri"/>
                <w:noProof/>
              </w:rPr>
            </w:pPr>
            <w:r>
              <w:rPr>
                <w:noProof/>
              </w:rPr>
              <w:t xml:space="preserve">Pabeigto būvdarbu ilgums vieglā dzelzceļa tranzīta līnijai, lai savienotu Loures ar Lisabonas metro tīklu Odivelas. Jaunā vieglā dzelzceļa tranzīta līnija ir gatava tūlītējai plānoto pārvadājumu pakalpojumu sniegšanai. </w:t>
            </w:r>
          </w:p>
        </w:tc>
      </w:tr>
    </w:tbl>
    <w:p w14:paraId="0B3D7BA5"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5D80F2C0"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3B5D196"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3311E3">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20"/>
          <w:docGrid w:linePitch="360"/>
        </w:sectPr>
      </w:pPr>
    </w:p>
    <w:p w14:paraId="19EC9F83" w14:textId="1B8178D1"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KOMPONENTS NR. 16: Uzņēmumi 4.0</w:t>
      </w:r>
    </w:p>
    <w:p w14:paraId="25B02CF9" w14:textId="77777777" w:rsidR="00776A1F" w:rsidRDefault="00D8574B">
      <w:pPr>
        <w:pStyle w:val="P68B1DB1-Normal4"/>
        <w:keepNext/>
        <w:spacing w:before="40" w:after="0" w:line="259" w:lineRule="auto"/>
        <w:jc w:val="both"/>
        <w:rPr>
          <w:rFonts w:eastAsiaTheme="minorEastAsia" w:cs="Times New Roman"/>
          <w:noProof/>
        </w:rPr>
      </w:pPr>
      <w:r>
        <w:rPr>
          <w:noProof/>
        </w:rPr>
        <w:t>Komponents risina problēmas, kas saistītas ar uzņēmumu zemo digitalizāciju. Saskaņā ar Digitālās ekonomikas un sabiedrības indeksa (DESI 2020) rezultātiem Portugāle ieņem 19. vietu ES un</w:t>
      </w:r>
      <w:r>
        <w:rPr>
          <w:noProof/>
          <w:vertAlign w:val="superscript"/>
        </w:rPr>
        <w:t>ir</w:t>
      </w:r>
      <w:r>
        <w:rPr>
          <w:noProof/>
        </w:rPr>
        <w:t xml:space="preserve"> zemāka par ES vidējo rādītāju. Visnestabilākās dimensijas Portugālē ir “Human Capital” un “Interneta pakalpojumu izmantošana” un dažas “digitālo tehnoloģiju integrēšanas” dimensijas, kas visas atspoguļo uzņēmumu digitālo spēju un veiktspējas ierobežojumus. </w:t>
      </w:r>
    </w:p>
    <w:p w14:paraId="72BA11C3" w14:textId="673C874D" w:rsidR="00776A1F" w:rsidRDefault="00D8574B">
      <w:pPr>
        <w:pStyle w:val="P68B1DB1-Normal4"/>
        <w:keepNext/>
        <w:spacing w:before="40" w:after="0" w:line="259" w:lineRule="auto"/>
        <w:jc w:val="both"/>
        <w:rPr>
          <w:rFonts w:eastAsiaTheme="minorEastAsia" w:cs="Times New Roman"/>
          <w:noProof/>
        </w:rPr>
      </w:pPr>
      <w:r>
        <w:rPr>
          <w:noProof/>
        </w:rPr>
        <w:t>Komponenta mērķi ir pievērsties uzņēmējdarbības nozarei, jo īpaši MVU un to darbiniekiem, veicot investīcijas digitālās pārkārtošanās paātrināšanai, ko papildina nodarbinātā darbaspēka digitālo prasmju stiprināšana. Ieguldījumi paredz šādas darbības:</w:t>
      </w:r>
    </w:p>
    <w:p w14:paraId="674866B7" w14:textId="34492028" w:rsidR="00776A1F" w:rsidRDefault="00D8574B">
      <w:pPr>
        <w:pStyle w:val="P68B1DB1-Normal4"/>
        <w:keepNext/>
        <w:numPr>
          <w:ilvl w:val="0"/>
          <w:numId w:val="32"/>
        </w:numPr>
        <w:spacing w:before="40" w:after="160" w:line="259" w:lineRule="auto"/>
        <w:contextualSpacing/>
        <w:jc w:val="both"/>
        <w:rPr>
          <w:rFonts w:eastAsiaTheme="minorEastAsia" w:cs="Times New Roman"/>
          <w:noProof/>
        </w:rPr>
      </w:pPr>
      <w:r>
        <w:rPr>
          <w:noProof/>
        </w:rPr>
        <w:t>Darba ņēmēju un darbspējīgā vecuma iedzīvotāju digitālo prasmju stiprināšana;</w:t>
      </w:r>
    </w:p>
    <w:p w14:paraId="5F996481" w14:textId="77777777" w:rsidR="00776A1F" w:rsidRDefault="00D8574B">
      <w:pPr>
        <w:pStyle w:val="P68B1DB1-Normal4"/>
        <w:keepNext/>
        <w:numPr>
          <w:ilvl w:val="0"/>
          <w:numId w:val="32"/>
        </w:numPr>
        <w:spacing w:before="40" w:after="160" w:line="259" w:lineRule="auto"/>
        <w:contextualSpacing/>
        <w:jc w:val="both"/>
        <w:rPr>
          <w:rFonts w:eastAsiaTheme="minorEastAsia" w:cs="Times New Roman"/>
          <w:noProof/>
        </w:rPr>
      </w:pPr>
      <w:r>
        <w:rPr>
          <w:noProof/>
        </w:rPr>
        <w:t>Uzņēmumu uzņēmējdarbības modeļa, kā arī to ražošanas procesu modernizācija, tostarp tādu darbplūsmu digitalizācija kā uzņēmējdarbības pārvaldība, inovatīvi produkti un rēķinu izrakstīšana;</w:t>
      </w:r>
    </w:p>
    <w:p w14:paraId="1AB18387" w14:textId="77777777" w:rsidR="00776A1F" w:rsidRDefault="00D8574B">
      <w:pPr>
        <w:pStyle w:val="P68B1DB1-Normal4"/>
        <w:keepNext/>
        <w:numPr>
          <w:ilvl w:val="0"/>
          <w:numId w:val="32"/>
        </w:numPr>
        <w:spacing w:before="40" w:after="160" w:line="259" w:lineRule="auto"/>
        <w:contextualSpacing/>
        <w:jc w:val="both"/>
        <w:rPr>
          <w:rFonts w:eastAsiaTheme="minorEastAsia" w:cs="Times New Roman"/>
          <w:noProof/>
        </w:rPr>
      </w:pPr>
      <w:r>
        <w:rPr>
          <w:noProof/>
        </w:rPr>
        <w:t>Jaunu produktu un pakalpojumu digitālās tirgvedības kanālu izveide;</w:t>
      </w:r>
    </w:p>
    <w:p w14:paraId="270FA3A4" w14:textId="77777777" w:rsidR="00776A1F" w:rsidRDefault="00D8574B">
      <w:pPr>
        <w:pStyle w:val="P68B1DB1-Normal4"/>
        <w:keepNext/>
        <w:numPr>
          <w:ilvl w:val="0"/>
          <w:numId w:val="32"/>
        </w:numPr>
        <w:spacing w:before="40" w:after="160" w:line="259" w:lineRule="auto"/>
        <w:contextualSpacing/>
        <w:jc w:val="both"/>
        <w:rPr>
          <w:rFonts w:eastAsiaTheme="minorEastAsia" w:cs="Times New Roman"/>
          <w:noProof/>
        </w:rPr>
      </w:pPr>
      <w:r>
        <w:rPr>
          <w:noProof/>
        </w:rPr>
        <w:t>Inovācija un progresīvu digitālo tehnoloģiju iekļaušana uzņēmumu uzņēmējdarbības modelī; un</w:t>
      </w:r>
    </w:p>
    <w:p w14:paraId="1E059D00" w14:textId="77777777" w:rsidR="00776A1F" w:rsidRDefault="00D8574B">
      <w:pPr>
        <w:pStyle w:val="P68B1DB1-Normal4"/>
        <w:keepNext/>
        <w:numPr>
          <w:ilvl w:val="0"/>
          <w:numId w:val="32"/>
        </w:numPr>
        <w:spacing w:before="40" w:after="160" w:line="259" w:lineRule="auto"/>
        <w:contextualSpacing/>
        <w:jc w:val="both"/>
        <w:rPr>
          <w:rFonts w:eastAsiaTheme="minorEastAsia" w:cs="Times New Roman"/>
          <w:noProof/>
        </w:rPr>
      </w:pPr>
      <w:r>
        <w:rPr>
          <w:noProof/>
        </w:rPr>
        <w:t>Digitāli balstītas uzņēmējdarbības veicināšana.</w:t>
      </w:r>
    </w:p>
    <w:p w14:paraId="5864DB58" w14:textId="77777777" w:rsidR="00776A1F" w:rsidRDefault="00D8574B">
      <w:pPr>
        <w:pStyle w:val="P68B1DB1-Normal4"/>
        <w:spacing w:after="0" w:line="240" w:lineRule="auto"/>
        <w:ind w:left="60"/>
        <w:jc w:val="both"/>
        <w:textAlignment w:val="baseline"/>
        <w:rPr>
          <w:rFonts w:eastAsiaTheme="minorEastAsia" w:cs="Times New Roman"/>
          <w:noProof/>
        </w:rPr>
      </w:pPr>
      <w:r>
        <w:rPr>
          <w:noProof/>
        </w:rPr>
        <w:t>Komponents atbalsta konkrētām valstīm adresēto ieteikumu īstenošanu, kas saistīti ar atbalstu digitālo tehnoloģiju izmantošanai, nodrošināt vienlīdzīgu piekļuvi kvalitatīvai izglītībai un apmācībai, palielināt uzņēmumu konkurētspēju, atbalstīt nodarbinātību un par prioritāti noteikt pasākumus darbvietu saglabāšanai (valsts īpašais ieteikums Nr. 2 2020). Komponents arī atbalsta konkrētām valstīm adresēto ieteikumu īstenošanu, lai uzlabotu iedzīvotāju prasmju līmeni, jo īpaši viņu digitālo pratību, tostarp padarot pieaugušo izglītību atbilstošāku darba tirgus vajadzībām (valsts īpašais ieteikums Nr. 2 2019) un koncentrēt ieguldījumus uz digitālo pārkārtošanos (valsts īpašais ieteikums Nr. 3 2020).</w:t>
      </w:r>
    </w:p>
    <w:p w14:paraId="303FB0B6" w14:textId="77777777" w:rsidR="00776A1F" w:rsidRDefault="00D8574B">
      <w:pPr>
        <w:pStyle w:val="P68B1DB1-Normal4"/>
        <w:spacing w:before="40" w:after="0" w:line="259" w:lineRule="auto"/>
        <w:ind w:left="130" w:firstLine="720"/>
        <w:jc w:val="both"/>
        <w:outlineLvl w:val="1"/>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166B059E" w14:textId="77777777" w:rsidR="00776A1F" w:rsidRDefault="00776A1F">
      <w:pPr>
        <w:spacing w:before="40" w:after="0" w:line="259" w:lineRule="auto"/>
        <w:ind w:left="130" w:firstLine="720"/>
        <w:jc w:val="both"/>
        <w:outlineLvl w:val="1"/>
        <w:rPr>
          <w:rFonts w:ascii="Times New Roman" w:eastAsiaTheme="minorEastAsia" w:hAnsi="Times New Roman" w:cs="Times New Roman"/>
          <w:noProof/>
          <w:sz w:val="24"/>
        </w:rPr>
      </w:pPr>
    </w:p>
    <w:p w14:paraId="22C34D86"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P.1. Neatmaksājamam finansiālajam atbalstam pieteikto reformu un investīciju apraksts</w:t>
      </w:r>
    </w:p>
    <w:p w14:paraId="3981E054"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TD-r31 reforma: Uzņēmējdarbības vides digitālā pārkārtošanās</w:t>
      </w:r>
    </w:p>
    <w:p w14:paraId="4687B767" w14:textId="77777777" w:rsidR="00776A1F" w:rsidRDefault="00D8574B">
      <w:pPr>
        <w:pStyle w:val="P68B1DB1-Normal4"/>
        <w:spacing w:before="40" w:after="0" w:line="259" w:lineRule="auto"/>
        <w:jc w:val="both"/>
        <w:rPr>
          <w:rFonts w:eastAsiaTheme="minorEastAsia" w:cs="Times New Roman"/>
          <w:noProof/>
        </w:rPr>
      </w:pPr>
      <w:r>
        <w:rPr>
          <w:noProof/>
        </w:rPr>
        <w:t xml:space="preserve">Pasākuma mērķis ir veicināt uzņēmējdarbības vides izaugsmi, padarot to digitāli konkurētspējīgāku un noturīgāku pašreizējā globālajā ekonomiskajā un sociālajā kontekstā. Šī reforma ir daļa no plašāka Digitālās pārkārtošanās rīcības plāna (PATD), ko Portugāle pieņēma 2020. gada aprīlī. </w:t>
      </w:r>
    </w:p>
    <w:p w14:paraId="5F93CFCB" w14:textId="77777777" w:rsidR="00776A1F" w:rsidRDefault="00D8574B">
      <w:pPr>
        <w:pStyle w:val="P68B1DB1-Normal4"/>
        <w:spacing w:before="40" w:after="0" w:line="259" w:lineRule="auto"/>
        <w:jc w:val="both"/>
        <w:rPr>
          <w:rFonts w:eastAsiaTheme="minorEastAsia" w:cs="Times New Roman"/>
          <w:noProof/>
        </w:rPr>
      </w:pPr>
      <w:r>
        <w:rPr>
          <w:noProof/>
        </w:rPr>
        <w:t>Reforma sastāv no šādiem elementiem:</w:t>
      </w:r>
    </w:p>
    <w:p w14:paraId="449795BB" w14:textId="77777777" w:rsidR="00776A1F" w:rsidRDefault="00D8574B">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Valsts kvalifikāciju katalogā iekļautā formatīvā satura pārskatīšana, jo īpaši attiecībā uz digitālajām prasmēm, kas izmantojamas profesionālajā kontekstā. Šī atjaunošana ir saskaņota ar jaunākajām tehnoloģiju attīstības tendencēm un visneatliekamākajām uzņēmumu vajadzībām dažādās ekonomikas nozarēs. Šajā nolūkā no 2021. gada var darīt pieejamus jaunus mācību ceļus un īsus mācību kursus.</w:t>
      </w:r>
    </w:p>
    <w:p w14:paraId="065811DC" w14:textId="77777777" w:rsidR="00776A1F" w:rsidRDefault="00D8574B">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Izveidot tiesisko un regulatīvo satvaru, kas nepieciešams digitālo zīmogu radīšanai kiberdrošības, privātuma, ilgtspējas un lietojamības jomā. Šis satvars un digitālās uzticēšanās veicināšana ir priekšnoteikums šajā komponentā paredzēto ieguldījumu īstenošanai digitālajos zīmogos.</w:t>
      </w:r>
    </w:p>
    <w:p w14:paraId="7BB1E01D" w14:textId="77777777" w:rsidR="00776A1F" w:rsidRDefault="00D8574B">
      <w:pPr>
        <w:pStyle w:val="P68B1DB1-Normal4"/>
        <w:spacing w:before="40" w:after="0" w:line="259" w:lineRule="auto"/>
        <w:jc w:val="both"/>
        <w:rPr>
          <w:rFonts w:eastAsiaTheme="minorEastAsia" w:cs="Times New Roman"/>
          <w:noProof/>
        </w:rPr>
      </w:pPr>
      <w:r>
        <w:rPr>
          <w:noProof/>
        </w:rPr>
        <w:t xml:space="preserve">Reformas īstenošanu pabeidz līdz 2022. gada 31. martam. </w:t>
      </w:r>
    </w:p>
    <w:p w14:paraId="71EFA567"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Ieguldījums TD-C16-i01: Digitālo iespēju nodrošināšana uzņēmumiem</w:t>
      </w:r>
    </w:p>
    <w:p w14:paraId="11A95DC7" w14:textId="74636A6E" w:rsidR="00776A1F" w:rsidRDefault="00D8574B">
      <w:pPr>
        <w:pStyle w:val="P68B1DB1-Normal4"/>
        <w:spacing w:before="40" w:after="0" w:line="259" w:lineRule="auto"/>
        <w:jc w:val="both"/>
        <w:rPr>
          <w:rFonts w:eastAsiaTheme="minorEastAsia" w:cs="Times New Roman"/>
          <w:noProof/>
        </w:rPr>
      </w:pPr>
      <w:r>
        <w:rPr>
          <w:noProof/>
        </w:rPr>
        <w:t>Pasākuma mērķis ir palielināt darbspējīgā vecuma iedzīvotāju, tostarp darbinieku un vadītāju, digitālās prasmes, īpašu uzmanību pievēršot uzņēmumiem rūpniecības, tirdzniecības, pakalpojumu, tūrisma un lauksaimniecības nozarē, lai palielinātu digitāli kvalificētu darba ņēmēju skaitu un uzlabotu uzņēmumu konkurētspēju un noturību, tādējādi arī palīdzot saglabāt un radīt darbvietas. Šis ieguldījums palīdzēs palielināt kvalificētu darbvietu skaitu esošajos uzņēmumos un veicināt jaunu uzņēmumu izveidi.</w:t>
      </w:r>
    </w:p>
    <w:p w14:paraId="297F4A6D" w14:textId="77777777" w:rsidR="00776A1F" w:rsidRDefault="00D8574B">
      <w:pPr>
        <w:pStyle w:val="P68B1DB1-Normal4"/>
        <w:spacing w:before="40" w:after="0" w:line="259" w:lineRule="auto"/>
        <w:jc w:val="both"/>
        <w:rPr>
          <w:rFonts w:eastAsiaTheme="minorEastAsia" w:cs="Times New Roman"/>
          <w:noProof/>
        </w:rPr>
      </w:pPr>
      <w:r>
        <w:rPr>
          <w:noProof/>
        </w:rPr>
        <w:t>Investīcijas sastāv no divām savstarpēji saistītām apmācības programmām, ko izveido, lai novērstu nepilnības darba ņēmēju (darbinieku un vadītāju) un uzņēmumu digitālajās prasmēs. Paredzams, ka ieguldījumi ietekmēs jaunus politikas virzienus un veicinās profesionālo prasmju un apmācības prakses attīstību visa mūža garumā. Paredzams, ka ieguldījumi uzlabos arī uzņēmumu spēju stāties pretī izaicinājumiem un izmantot tehnoloģiju sniegtās iespējas. Abas darbības ir šādas:</w:t>
      </w:r>
    </w:p>
    <w:p w14:paraId="1356F4BE" w14:textId="24F6FE3D" w:rsidR="00776A1F" w:rsidRDefault="00D8574B">
      <w:pPr>
        <w:pStyle w:val="P68B1DB1-Normal4"/>
        <w:keepNext/>
        <w:numPr>
          <w:ilvl w:val="0"/>
          <w:numId w:val="48"/>
        </w:numPr>
        <w:spacing w:before="40" w:after="160" w:line="259" w:lineRule="auto"/>
        <w:contextualSpacing/>
        <w:jc w:val="both"/>
        <w:rPr>
          <w:rFonts w:eastAsiaTheme="minorEastAsia" w:cs="Times New Roman"/>
          <w:noProof/>
        </w:rPr>
      </w:pPr>
      <w:r>
        <w:rPr>
          <w:noProof/>
        </w:rPr>
        <w:t>Portugāles Akadēmija Digitalizācija: pieejami visiem darbspējīgā vecuma iedzīvotājiem ar mērķi panākt 500000 digitālo prasmju diagnostiku un 125000 dalībnieku tiešsaistē, jaukta tipa un klātienes digitālo prasmju apmācībā. Tas ietver arī 50 ad hoc MOOC izveidi, kas jādara pieejams tiešsaistes platformā.</w:t>
      </w:r>
    </w:p>
    <w:p w14:paraId="09F7D8E5" w14:textId="328442CD" w:rsidR="00776A1F" w:rsidRDefault="00D8574B">
      <w:pPr>
        <w:pStyle w:val="P68B1DB1-Normal4"/>
        <w:keepNext/>
        <w:numPr>
          <w:ilvl w:val="0"/>
          <w:numId w:val="48"/>
        </w:numPr>
        <w:spacing w:before="40" w:after="160" w:line="259" w:lineRule="auto"/>
        <w:contextualSpacing/>
        <w:jc w:val="both"/>
        <w:rPr>
          <w:rFonts w:eastAsiaTheme="minorEastAsia" w:cs="Times New Roman"/>
          <w:noProof/>
        </w:rPr>
      </w:pPr>
      <w:r>
        <w:rPr>
          <w:noProof/>
        </w:rPr>
        <w:t>Nodarbinātība + Digital 2025: ar mērķi 200000 dalībniekiem piedāvāt dziļāku digitālo prasmju apmācību tiešsaistē, klātienē vai jaukta tipa digitālo prasmju apmācību</w:t>
      </w:r>
    </w:p>
    <w:p w14:paraId="044881B1" w14:textId="77777777" w:rsidR="00776A1F" w:rsidRDefault="00D8574B">
      <w:pPr>
        <w:pStyle w:val="P68B1DB1-Normal4"/>
        <w:spacing w:before="40" w:after="0" w:line="259" w:lineRule="auto"/>
        <w:jc w:val="both"/>
        <w:rPr>
          <w:rFonts w:eastAsiaTheme="minorEastAsia" w:cs="Times New Roman"/>
          <w:noProof/>
        </w:rPr>
      </w:pPr>
      <w:r>
        <w:rPr>
          <w:noProof/>
        </w:rPr>
        <w:t>Investīciju īstenošanu pabeidz līdz 2025. gada 31. septembrim.</w:t>
      </w:r>
    </w:p>
    <w:p w14:paraId="6CA41520"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Ieguldījums TD-C16-i02: Uzņēmumu digitālā pārkārtošanās</w:t>
      </w:r>
    </w:p>
    <w:p w14:paraId="6DCB64CF" w14:textId="77777777" w:rsidR="00776A1F" w:rsidRDefault="00D8574B">
      <w:pPr>
        <w:pStyle w:val="P68B1DB1-Normal4"/>
        <w:spacing w:before="40" w:after="0" w:line="259" w:lineRule="auto"/>
        <w:jc w:val="both"/>
        <w:rPr>
          <w:rFonts w:eastAsiaTheme="minorEastAsia" w:cs="Times New Roman"/>
          <w:noProof/>
        </w:rPr>
      </w:pPr>
      <w:r>
        <w:rPr>
          <w:noProof/>
        </w:rPr>
        <w:t xml:space="preserve">Pasākuma mērķis ir veicināt Portugāles MVU uzņēmējdarbības modeļu pārveidi un to digitalizāciju. Tas ir īpaši svarīgi, ņemot vērā to, ka Portugāles ekonomikā dominē galvenokārt mikrouzņēmumi, kas ir mazāk digitāli aktīvi nekā lielāki uzņēmumi. Tādējādi, iesaistot MVU uzņēmumu digitalizācijā, ieguldījumu mērķis ir pārveidot Portugāles ekonomikas uzņēmējdarbības modeli un veicināt lielāku konkurētspēju un noturību. </w:t>
      </w:r>
    </w:p>
    <w:p w14:paraId="2EE74087" w14:textId="77777777" w:rsidR="00776A1F" w:rsidRDefault="00D8574B">
      <w:pPr>
        <w:pStyle w:val="P68B1DB1-Normal4"/>
        <w:spacing w:before="40" w:after="0" w:line="259" w:lineRule="auto"/>
        <w:jc w:val="both"/>
        <w:rPr>
          <w:rFonts w:eastAsiaTheme="minorEastAsia" w:cs="Times New Roman"/>
          <w:noProof/>
        </w:rPr>
      </w:pPr>
      <w:r>
        <w:rPr>
          <w:noProof/>
        </w:rPr>
        <w:t>Ieguldījumu veido četras darbību grupas:</w:t>
      </w:r>
    </w:p>
    <w:p w14:paraId="78A34119" w14:textId="7D7B529F"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“Valsts testēšanas stendu tīkls”: valsts testēšanas pamattīkla izveides mērķis bija radīt apstākļus uzņēmumiem jaunu produktu un pakalpojumu izstrādei un testēšanai un digitālās pārveides procesa paātrināšanai, izmantojot vai nu fizisku aprīkojumu un infrastruktūras testēšanas aprīkojumu, vai virtuālos/digitālos simulatorus. Mērķis ir izveidot 30 testa gultas infrastruktūras un testēt vismaz 3000 eksperimentālo produktu vai pakalpojumu.</w:t>
      </w:r>
    </w:p>
    <w:p w14:paraId="2A0555EB" w14:textId="2B9E5CCC"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Digitālā komercija: MVU digitalizācijas programma, kurā galvenā uzmanība pievērsta mikrouzņēmumiem komercnozarē, lai aktivizētu to digitālos tirdzniecības kanālus, iekļautu tehnoloģijas uzņēmējdarbības modeļos un dematerializētu procesus ar klientiem un piegādātājiem, izmantojot informācijas un komunikācijas tehnoloģijas. To veido trīs projekti: “digitālās tirdzniecības paātrinātāji”, izveidojot 25 vietējos, reģionālos vai nozaru paātrinātājus (struktūras, kas sniedz konsultācijas, mentorēšanu, finansējumu jaunuzņēmumiem un MVU, lai palīdzētu tiem attīstīties) un finanšu stimulu sistēmu MVU uzņēmējdarbības modeļu digitalizācijai (mērķis ir 25000 MVU); “digitālās tirdzniecības kaimiņreģioni”, kas atbalsta 75 iepirkšanās teritoriju digitalizāciju (ar vietējām e-komercijas un piegādes platformām), kas atrodas pilsētu centros, piepilsētās vai lauku apvidos, lai veicinātu šo teritoriju attīstību un veicinātu teritoriālo kohēziju un vietējo ekonomiku; III) “Internationalizācija, izmantojot e-komerciju”, lai palīdzētu uzņēmumiem izveidot jaunus tirdzniecības kanālus ārvalstīs, izmantojot pārdošanu tiešsaistē.</w:t>
      </w:r>
    </w:p>
    <w:p w14:paraId="29BDD956" w14:textId="77777777"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 xml:space="preserve">Atbalsts uzņēmējdarbības modeļu digitālajai pārejai: Apmācība 4.0 — programma, kuras mērķis ir atbalstīt uzņēmumus progresīvu digitālo tehnoloģiju ieviešanā. </w:t>
      </w:r>
    </w:p>
    <w:p w14:paraId="73477E39" w14:textId="77777777"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Uzņēmējdarbība: ar tādiem pasākumiem kā i) “Vucher for Start-ups — New Green and Digital Products” — vaučeru programma, kuras mērķis ir atbalstīt jaunuzņēmumus, kas vēlas izstrādāt digitālus un zaļus uzņēmējdarbības modeļus; II) “Valsts uzņēmējdarbības struktūras stiprināšana — Jaunuzņēmums Portugālē” ar ieguldījumiem jaunuzņēmumu vides kartēšanā, lai apzinātu problēmas un risinājumus saistībā ar uzņēmējdarbības programmu un attiecīgo rīcības plānu īstenošanu; un iii) “Startup inkubatori/paātrinātāju kuponi”, lai atbalstītu inkubatorus un paātrinātājus to izstrādē, tostarp jaunu digitālo tehnoloģiju ieviešanā, uzlabotu to rīcībā esošos resursus un stiprinātu to zināšanas un spējas, lai atbalstītu jaunuzņēmumus ar digitāli balstītiem uzņēmējdarbības modeļiem.</w:t>
      </w:r>
    </w:p>
    <w:p w14:paraId="18C24393" w14:textId="77777777" w:rsidR="00776A1F" w:rsidRDefault="00D8574B">
      <w:pPr>
        <w:pStyle w:val="P68B1DB1-Normal4"/>
        <w:keepNext/>
        <w:spacing w:before="40" w:after="0" w:line="259" w:lineRule="auto"/>
        <w:jc w:val="both"/>
        <w:rPr>
          <w:rFonts w:eastAsiaTheme="minorEastAsia" w:cs="Times New Roman"/>
          <w:noProof/>
        </w:rPr>
      </w:pPr>
      <w:r>
        <w:rPr>
          <w:noProof/>
        </w:rPr>
        <w:t>Attiecībā uz finanšu instrumentiem saskaņā ar pasākumu “Digitālās tirdzniecības paātrinātāji”, kas nodrošina finansējuma atbalstu un finansiālus stimulus, lai nodrošinātu, ka pasākums atbilst Tehniskajiem norādījumiem “nenodari būtisku kaitējumu” (2021/C58/01), juridiskajam nolīgumam starp Portugāles iestādēm un pilnvaroto vienību vai finanšu starpnieku, kas atbild par finanšu instrumentu, un sekojošajai finanšu instrumenta ieguldījumu politikai:</w:t>
      </w:r>
    </w:p>
    <w:p w14:paraId="6FA72369" w14:textId="77777777"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pieprasīt, lai fondam InvestEU tiktu piemēroti Komisijas tehniskie norādījumi par ilgtspējas pārbaudi; un</w:t>
      </w:r>
    </w:p>
    <w:p w14:paraId="7A065825" w14:textId="77777777"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izslēgt no atbilstības šādu darbību un aktīvu sarakstu: darbības un aktīvi, kas saistīti ar fosilajiem kurināmajiem, tostarp pakārtota izmantošana</w:t>
      </w:r>
      <w:r>
        <w:rPr>
          <w:noProof/>
        </w:rPr>
        <w:footnoteReference w:id="52"/>
      </w:r>
      <w:r>
        <w:rPr>
          <w:noProof/>
        </w:rPr>
        <w:t>; darbības un aktīvi saskaņā ar ES emisijas kvotu tirdzniecības sistēmu (ETS), sasniedzot prognozētās siltumnīcefekta gāzu emisijas, kas nav zemākas par attiecīgajām līmeņatzīmēm</w:t>
      </w:r>
      <w:r>
        <w:rPr>
          <w:noProof/>
        </w:rPr>
        <w:footnoteReference w:id="53"/>
      </w:r>
      <w:r>
        <w:rPr>
          <w:noProof/>
        </w:rPr>
        <w:t>; III) darbības un aktīvi, kas saistīti ar atkritumu poligoniem, sadedzināšanas iekārtām</w:t>
      </w:r>
      <w:r>
        <w:rPr>
          <w:noProof/>
        </w:rPr>
        <w:footnoteReference w:id="54"/>
      </w:r>
      <w:r>
        <w:rPr>
          <w:noProof/>
        </w:rPr>
        <w:t xml:space="preserve"> un mehāniski bioloģiskās apstrādes iekārtām</w:t>
      </w:r>
      <w:r>
        <w:rPr>
          <w:noProof/>
        </w:rPr>
        <w:footnoteReference w:id="55"/>
      </w:r>
      <w:r>
        <w:rPr>
          <w:noProof/>
        </w:rPr>
        <w:t>; un iv) darbības un aktīvus, kuros atkritumu ilgtermiņa apglabāšana var radīt kaitējumu videi; un</w:t>
      </w:r>
    </w:p>
    <w:p w14:paraId="6BD38B90" w14:textId="77777777" w:rsidR="00776A1F" w:rsidRDefault="00D8574B">
      <w:pPr>
        <w:pStyle w:val="P68B1DB1-Normal4"/>
        <w:keepNext/>
        <w:numPr>
          <w:ilvl w:val="0"/>
          <w:numId w:val="33"/>
        </w:numPr>
        <w:spacing w:before="40" w:after="160" w:line="259" w:lineRule="auto"/>
        <w:contextualSpacing/>
        <w:jc w:val="both"/>
        <w:rPr>
          <w:rFonts w:eastAsiaTheme="minorEastAsia" w:cs="Times New Roman"/>
          <w:noProof/>
        </w:rPr>
      </w:pPr>
      <w:r>
        <w:rPr>
          <w:noProof/>
        </w:rPr>
        <w:t>pieprasīt, lai pilnvarotā struktūra/finanšu starpnieks pārbaudītu projektu juridisko atbilstību attiecīgajiem ES un valsts tiesību aktiem vides jomā attiecībā uz visiem darījumiem, tostarp tiem, kas atbrīvoti no ilgtspējas pārbaudes.</w:t>
      </w:r>
    </w:p>
    <w:p w14:paraId="2D9DFB3D" w14:textId="77777777" w:rsidR="00776A1F" w:rsidRDefault="00D8574B">
      <w:pPr>
        <w:pStyle w:val="P68B1DB1-Normal4"/>
        <w:keepNext/>
        <w:spacing w:before="40" w:after="0" w:line="259" w:lineRule="auto"/>
        <w:jc w:val="both"/>
        <w:rPr>
          <w:rFonts w:eastAsiaTheme="minorEastAsia" w:cs="Times New Roman"/>
          <w:noProof/>
          <w:highlight w:val="green"/>
        </w:rPr>
      </w:pPr>
      <w:r>
        <w:rPr>
          <w:noProof/>
        </w:rPr>
        <w:t>Attiecībā uz piedāvājumiem, lai nodrošinātu, ka pasākums atbilst Tehniskajiem norādījumiem “nenodari būtisku kaitējumu” (2021/C58/01), turpmākajos uzaicinājumos iesniegt projektus ietvertajos atbilstības kritērijos neiekļauj šādu darbību sarakstu: darbības, kas saistītas ar fosilajiem kurināmajiem, tostarp pakārtota izmantošana</w:t>
      </w:r>
      <w:r>
        <w:rPr>
          <w:noProof/>
        </w:rPr>
        <w:footnoteReference w:id="56"/>
      </w:r>
      <w:r>
        <w:rPr>
          <w:noProof/>
        </w:rPr>
        <w:t>; darbības ES emisijas kvotu tirdzniecības sistēmas (ETS) ietvaros, lai sasniegtu prognozētās siltumnīcefekta gāzu emisijas, kas nav zemākas par attiecīgajām līmeņatzīmēm</w:t>
      </w:r>
      <w:r>
        <w:rPr>
          <w:noProof/>
        </w:rPr>
        <w:footnoteReference w:id="57"/>
      </w:r>
      <w:r>
        <w:rPr>
          <w:noProof/>
        </w:rPr>
        <w:t>; III) darbības, kas saistītas ar atkritumu poligoniem, atkritumu sadedzināšanas iekārtām</w:t>
      </w:r>
      <w:r>
        <w:rPr>
          <w:noProof/>
        </w:rPr>
        <w:footnoteReference w:id="58"/>
      </w:r>
      <w:r>
        <w:rPr>
          <w:noProof/>
        </w:rPr>
        <w:t xml:space="preserve"> un mehāniski bioloģiskās apstrādes iekārtām</w:t>
      </w:r>
      <w:r>
        <w:rPr>
          <w:noProof/>
        </w:rPr>
        <w:footnoteReference w:id="59"/>
      </w:r>
      <w:r>
        <w:rPr>
          <w:noProof/>
        </w:rPr>
        <w:t>; un iv) darbības, kurās atkritumu ilgtermiņa apglabāšana var radīt kaitējumu videi. Darba uzdevumā papildus nosaka, ka var atlasīt tikai tās darbības, kas atbilst attiecīgajiem ES un valsts tiesību aktiem vides jomā.</w:t>
      </w:r>
    </w:p>
    <w:p w14:paraId="5BF7FFC2" w14:textId="77777777" w:rsidR="00776A1F" w:rsidRDefault="00D8574B">
      <w:pPr>
        <w:pStyle w:val="P68B1DB1-Normal4"/>
        <w:spacing w:before="40" w:after="0" w:line="259" w:lineRule="auto"/>
        <w:jc w:val="both"/>
        <w:rPr>
          <w:rFonts w:eastAsiaTheme="minorEastAsia" w:cs="Times New Roman"/>
          <w:noProof/>
        </w:rPr>
      </w:pPr>
      <w:r>
        <w:rPr>
          <w:noProof/>
        </w:rPr>
        <w:t>Investīciju īstenošanu pabeidz līdz 2025. gada 31. septembrim.</w:t>
      </w:r>
    </w:p>
    <w:p w14:paraId="541BAAE3" w14:textId="77777777" w:rsidR="00776A1F" w:rsidRDefault="00D8574B">
      <w:pPr>
        <w:pStyle w:val="P68B1DB1-Normal5"/>
        <w:spacing w:before="240" w:after="0" w:line="259" w:lineRule="auto"/>
        <w:ind w:left="851"/>
        <w:jc w:val="both"/>
        <w:outlineLvl w:val="2"/>
        <w:rPr>
          <w:rFonts w:eastAsiaTheme="minorEastAsia" w:cs="Times New Roman"/>
          <w:noProof/>
        </w:rPr>
      </w:pPr>
      <w:r>
        <w:rPr>
          <w:noProof/>
        </w:rPr>
        <w:t>Ieguldījums TD-C16-i03: uzņēmumu digitālās pārkārtošanās katalizators</w:t>
      </w:r>
    </w:p>
    <w:p w14:paraId="4477B881" w14:textId="77777777" w:rsidR="00776A1F" w:rsidRDefault="00D8574B">
      <w:pPr>
        <w:pStyle w:val="P68B1DB1-Normal4"/>
        <w:spacing w:before="40" w:after="0" w:line="259" w:lineRule="auto"/>
        <w:jc w:val="both"/>
        <w:rPr>
          <w:rFonts w:eastAsiaTheme="minorEastAsia" w:cs="Times New Roman"/>
          <w:noProof/>
        </w:rPr>
      </w:pPr>
      <w:r>
        <w:rPr>
          <w:noProof/>
        </w:rPr>
        <w:t>Pasākuma mērķis ir veicināt sabiedrības un uzņēmumu digitālo un vidisko pārkārtošanos.</w:t>
      </w:r>
    </w:p>
    <w:p w14:paraId="3FEE183C" w14:textId="77777777" w:rsidR="00776A1F" w:rsidRDefault="00D8574B">
      <w:pPr>
        <w:pStyle w:val="P68B1DB1-Normal4"/>
        <w:spacing w:before="40" w:after="0" w:line="259" w:lineRule="auto"/>
        <w:jc w:val="both"/>
        <w:rPr>
          <w:rFonts w:eastAsiaTheme="minorEastAsia" w:cs="Times New Roman"/>
          <w:noProof/>
        </w:rPr>
      </w:pPr>
      <w:r>
        <w:rPr>
          <w:noProof/>
        </w:rPr>
        <w:t>Ieguldījumu veido šādas trīs darbības:</w:t>
      </w:r>
    </w:p>
    <w:p w14:paraId="2C249ACD" w14:textId="77777777" w:rsidR="00776A1F" w:rsidRDefault="00D8574B">
      <w:pPr>
        <w:pStyle w:val="P68B1DB1-Normal4"/>
        <w:keepNext/>
        <w:numPr>
          <w:ilvl w:val="0"/>
          <w:numId w:val="34"/>
        </w:numPr>
        <w:spacing w:before="40" w:after="160" w:line="259" w:lineRule="auto"/>
        <w:contextualSpacing/>
        <w:jc w:val="both"/>
        <w:rPr>
          <w:rFonts w:eastAsiaTheme="minorEastAsia" w:cs="Times New Roman"/>
          <w:noProof/>
        </w:rPr>
      </w:pPr>
      <w:r>
        <w:rPr>
          <w:noProof/>
        </w:rPr>
        <w:t>“Rēķinu dematerializācija” ar projektu, kura mērķis ir samazināt papīra izmantošanu, izmantojot digitālu rēķinu nosūtīšanas platformu;</w:t>
      </w:r>
    </w:p>
    <w:p w14:paraId="13537E9F" w14:textId="77777777" w:rsidR="00776A1F" w:rsidRDefault="00D8574B">
      <w:pPr>
        <w:pStyle w:val="P68B1DB1-Normal4"/>
        <w:keepNext/>
        <w:numPr>
          <w:ilvl w:val="0"/>
          <w:numId w:val="34"/>
        </w:numPr>
        <w:spacing w:before="40" w:after="160" w:line="259" w:lineRule="auto"/>
        <w:contextualSpacing/>
        <w:jc w:val="both"/>
        <w:rPr>
          <w:rFonts w:eastAsiaTheme="minorEastAsia" w:cs="Times New Roman"/>
          <w:noProof/>
        </w:rPr>
      </w:pPr>
      <w:r>
        <w:rPr>
          <w:noProof/>
        </w:rPr>
        <w:t>“Kiberdrošība, privātums, izmantojamība un ilgtspējas sertifikācijas zīmogi” — ieguldījums: četru jaunu kiberdrošības, privātuma, lietojamības un ilgtspējas sertifikācijas zīmogu izveide; tādu platformu izveidi, kas atbalsta saziņu starp visiem procesā iesaistītajiem partneriem un struktūrām (kā arī procedurālo datu radīšanu, kas attiecas uz programmas uzraudzību); kampaņa, kuras mērķis ir izplatīt iniciatīvu un pilnvarot atbilstības novērtēšanas struktūras vai tehniskās novērtēšanas struktūras, kas atbalsta sertifikācijas plombas minētajās jomās; un</w:t>
      </w:r>
    </w:p>
    <w:p w14:paraId="052D4C91" w14:textId="7B1A0935" w:rsidR="00776A1F" w:rsidRDefault="00D8574B">
      <w:pPr>
        <w:pStyle w:val="P68B1DB1-Normal4"/>
        <w:keepNext/>
        <w:numPr>
          <w:ilvl w:val="0"/>
          <w:numId w:val="34"/>
        </w:numPr>
        <w:spacing w:before="40" w:after="160" w:line="259" w:lineRule="auto"/>
        <w:contextualSpacing/>
        <w:jc w:val="both"/>
        <w:rPr>
          <w:rFonts w:eastAsiaTheme="minorEastAsia" w:cs="Times New Roman"/>
          <w:noProof/>
        </w:rPr>
      </w:pPr>
      <w:r>
        <w:rPr>
          <w:noProof/>
        </w:rPr>
        <w:t>“Digitālās inovācijas centri (DIH)”: pakalpojums, kas palīdz uzņēmumiem un valsts pārvaldes struktūrām kļūt konkurētspējīgākiem digitālajā jomā, lai uzlabotu to ražošanas procesus, automatizējot vai integrējot revolucionāras tehnoloģijas. Šīs investīcijas stiprinās un papildina tīklu, kas jau tiek izstrādāts programmas “Digitālā Eiropa” ietvaros, lai kopumā sasniegtu 16 Portugālē izveidotos DIC.</w:t>
      </w:r>
    </w:p>
    <w:p w14:paraId="35DF0FFF" w14:textId="77777777" w:rsidR="00776A1F" w:rsidRDefault="00D8574B">
      <w:pPr>
        <w:pStyle w:val="P68B1DB1-Normal4"/>
        <w:spacing w:before="40" w:after="0" w:line="259" w:lineRule="auto"/>
        <w:jc w:val="both"/>
        <w:rPr>
          <w:rFonts w:eastAsiaTheme="minorEastAsia" w:cs="Times New Roman"/>
          <w:noProof/>
        </w:rPr>
      </w:pPr>
      <w:r>
        <w:rPr>
          <w:noProof/>
        </w:rPr>
        <w:t>Attiecībā uz konkursiem, kas saistīti ar digitālās inovācijas centru izveidi un digitālās inovācijas centru atbalstīto saņēmēju atlasi, lai nodrošinātu, ka pasākums atbilst Tehniskajiem norādījumiem “nenodari būtisku kaitējumu” (2021/C58/01), turpmākajos uzaicinājumos iesniegt projektus iekļautajos atbilstības kritērijos neiekļauj šādu darbību sarakstu: darbības, kas saistītas ar fosilajiem kurināmajiem, tostarp pakārtota izmantošana</w:t>
      </w:r>
      <w:r>
        <w:rPr>
          <w:noProof/>
        </w:rPr>
        <w:footnoteReference w:id="60"/>
      </w:r>
      <w:r>
        <w:rPr>
          <w:noProof/>
        </w:rPr>
        <w:t>; darbības ES emisijas kvotu tirdzniecības sistēmas (ETS) ietvaros, lai sasniegtu prognozētās siltumnīcefekta gāzu emisijas, kas nav zemākas par attiecīgajām līmeņatzīmēm</w:t>
      </w:r>
      <w:r>
        <w:rPr>
          <w:noProof/>
        </w:rPr>
        <w:footnoteReference w:id="61"/>
      </w:r>
      <w:r>
        <w:rPr>
          <w:noProof/>
        </w:rPr>
        <w:t>; III) darbības, kas saistītas ar atkritumu poligoniem, atkritumu sadedzināšanas iekārtām</w:t>
      </w:r>
      <w:r>
        <w:rPr>
          <w:noProof/>
        </w:rPr>
        <w:footnoteReference w:id="62"/>
      </w:r>
      <w:r>
        <w:rPr>
          <w:noProof/>
        </w:rPr>
        <w:t xml:space="preserve"> un mehāniski bioloģiskās apstrādes iekārtām</w:t>
      </w:r>
      <w:r>
        <w:rPr>
          <w:noProof/>
        </w:rPr>
        <w:footnoteReference w:id="63"/>
      </w:r>
      <w:r>
        <w:rPr>
          <w:noProof/>
        </w:rPr>
        <w:t>; un iv) darbības, kurās atkritumu ilgtermiņa apglabāšana var radīt kaitējumu videi. Darba uzdevumā papildus nosaka, ka var atlasīt tikai tās darbības, kas atbilst attiecīgajiem ES un valsts tiesību aktiem vides jomā.</w:t>
      </w:r>
    </w:p>
    <w:p w14:paraId="0B19FF08" w14:textId="77777777" w:rsidR="00776A1F" w:rsidRDefault="00D8574B">
      <w:pPr>
        <w:pStyle w:val="P68B1DB1-Normal4"/>
        <w:spacing w:before="40" w:after="0" w:line="259" w:lineRule="auto"/>
        <w:jc w:val="both"/>
        <w:rPr>
          <w:rFonts w:eastAsiaTheme="minorEastAsia" w:cs="Times New Roman"/>
          <w:noProof/>
        </w:rPr>
      </w:pPr>
      <w:r>
        <w:rPr>
          <w:noProof/>
        </w:rPr>
        <w:t>Ieguldījumu īstenošanu pabeidz līdz 2025. gada 31. decembrim.</w:t>
      </w:r>
    </w:p>
    <w:p w14:paraId="5085FC73" w14:textId="1BD6ADCA" w:rsidR="00776A1F" w:rsidRDefault="00D8574B">
      <w:pPr>
        <w:pStyle w:val="P68B1DB1-Normal5"/>
        <w:spacing w:before="240" w:after="0" w:line="259" w:lineRule="auto"/>
        <w:ind w:left="851"/>
        <w:jc w:val="both"/>
        <w:outlineLvl w:val="2"/>
        <w:rPr>
          <w:rFonts w:eastAsiaTheme="minorEastAsia" w:cs="Times New Roman"/>
          <w:noProof/>
        </w:rPr>
      </w:pPr>
      <w:r>
        <w:rPr>
          <w:noProof/>
        </w:rPr>
        <w:t xml:space="preserve">Ieguldījums TD-C16-i04: </w:t>
      </w:r>
      <w:bookmarkStart w:id="29" w:name="_Toc137472467"/>
      <w:r>
        <w:rPr>
          <w:noProof/>
        </w:rPr>
        <w:t>“Rūpniecība 4.0”</w:t>
      </w:r>
      <w:bookmarkEnd w:id="29"/>
    </w:p>
    <w:p w14:paraId="3F32B16D" w14:textId="77777777" w:rsidR="00776A1F" w:rsidRDefault="00D8574B">
      <w:pPr>
        <w:pStyle w:val="P68B1DB1-Normal4"/>
        <w:spacing w:after="0"/>
        <w:jc w:val="both"/>
        <w:rPr>
          <w:rFonts w:cs="Times New Roman"/>
          <w:noProof/>
        </w:rPr>
      </w:pPr>
      <w:r>
        <w:rPr>
          <w:noProof/>
        </w:rPr>
        <w:t xml:space="preserve">Pasākumu mērķis ir atbalstīt rūpniecisko pētniecību, eksperimentālo izstrādi, organizatoriskos un procesu inovācijas projektus, veicināt uzņēmumu digitālo pārveidi un tādējādi uzlabot to vidisko ilgtspēju. </w:t>
      </w:r>
    </w:p>
    <w:p w14:paraId="16CD80C9" w14:textId="77233703" w:rsidR="00776A1F" w:rsidRDefault="00D8574B">
      <w:pPr>
        <w:pStyle w:val="P68B1DB1-Normal4"/>
        <w:spacing w:after="0"/>
        <w:jc w:val="both"/>
        <w:rPr>
          <w:rFonts w:cs="Times New Roman"/>
          <w:noProof/>
        </w:rPr>
      </w:pPr>
      <w:r>
        <w:rPr>
          <w:noProof/>
        </w:rPr>
        <w:t>Ar šo pasākumu atbalsta 200 investīciju projektus, kas ietilpst vismaz vienā no šādām darbības jomām:</w:t>
      </w:r>
    </w:p>
    <w:p w14:paraId="64D25EDB" w14:textId="77777777" w:rsidR="00776A1F" w:rsidRDefault="00D8574B">
      <w:pPr>
        <w:pStyle w:val="P68B1DB1-Normal4"/>
        <w:spacing w:after="0"/>
        <w:ind w:left="720"/>
        <w:jc w:val="both"/>
        <w:rPr>
          <w:rFonts w:cs="Times New Roman"/>
          <w:noProof/>
        </w:rPr>
      </w:pPr>
      <w:r>
        <w:rPr>
          <w:noProof/>
        </w:rPr>
        <w:t>1.</w:t>
      </w:r>
      <w:r>
        <w:rPr>
          <w:noProof/>
        </w:rPr>
        <w:tab/>
        <w:t>Darbības procesu, tostarp ražošanas un loģistikas pārvaldības un plānošanas, digitālā pārkārtošanās.</w:t>
      </w:r>
    </w:p>
    <w:p w14:paraId="758DEE78" w14:textId="77777777" w:rsidR="00776A1F" w:rsidRDefault="00D8574B">
      <w:pPr>
        <w:pStyle w:val="P68B1DB1-Normal4"/>
        <w:spacing w:after="0"/>
        <w:ind w:left="720"/>
        <w:jc w:val="both"/>
        <w:rPr>
          <w:rFonts w:cs="Times New Roman"/>
          <w:noProof/>
        </w:rPr>
      </w:pPr>
      <w:r>
        <w:rPr>
          <w:noProof/>
        </w:rPr>
        <w:t>2.</w:t>
      </w:r>
      <w:r>
        <w:rPr>
          <w:noProof/>
        </w:rPr>
        <w:tab/>
        <w:t>Risinājumi progresīvai datu glabāšanai, pārvaldībai un apstrādei.</w:t>
      </w:r>
    </w:p>
    <w:p w14:paraId="6102558C" w14:textId="77777777" w:rsidR="00776A1F" w:rsidRDefault="00D8574B">
      <w:pPr>
        <w:pStyle w:val="P68B1DB1-Normal4"/>
        <w:spacing w:after="0"/>
        <w:ind w:left="720"/>
        <w:jc w:val="both"/>
        <w:rPr>
          <w:rFonts w:cs="Times New Roman"/>
          <w:noProof/>
        </w:rPr>
      </w:pPr>
      <w:r>
        <w:rPr>
          <w:noProof/>
        </w:rPr>
        <w:t>3.</w:t>
      </w:r>
      <w:r>
        <w:rPr>
          <w:noProof/>
        </w:rPr>
        <w:tab/>
        <w:t>Mākslīgā intelekta risinājumi, ko izmanto ražošanas procesā.</w:t>
      </w:r>
    </w:p>
    <w:p w14:paraId="3198C1B0" w14:textId="729CD56A" w:rsidR="00776A1F" w:rsidRDefault="00D8574B">
      <w:pPr>
        <w:spacing w:after="0"/>
        <w:ind w:left="720"/>
        <w:jc w:val="both"/>
        <w:rPr>
          <w:rFonts w:ascii="Times New Roman" w:hAnsi="Times New Roman" w:cs="Times New Roman"/>
          <w:noProof/>
          <w:sz w:val="24"/>
        </w:rPr>
      </w:pPr>
      <w:r>
        <w:rPr>
          <w:rFonts w:ascii="Times New Roman" w:hAnsi="Times New Roman"/>
          <w:noProof/>
          <w:sz w:val="24"/>
        </w:rPr>
        <w:t>4.</w:t>
      </w:r>
      <w:r>
        <w:rPr>
          <w:noProof/>
        </w:rPr>
        <w:tab/>
      </w:r>
      <w:r>
        <w:rPr>
          <w:rFonts w:ascii="Times New Roman" w:hAnsi="Times New Roman"/>
          <w:noProof/>
          <w:sz w:val="24"/>
        </w:rPr>
        <w:t>Digitālie attēlojumi un virtuālā modelēšana (digitālie dvīņi), simulācija un rūpnieciskā modelēšana.</w:t>
      </w:r>
    </w:p>
    <w:p w14:paraId="4C4B5102" w14:textId="77777777" w:rsidR="00776A1F" w:rsidRDefault="00D8574B">
      <w:pPr>
        <w:pStyle w:val="P68B1DB1-Normal4"/>
        <w:spacing w:after="0"/>
        <w:ind w:left="720"/>
        <w:jc w:val="both"/>
        <w:rPr>
          <w:rFonts w:cs="Times New Roman"/>
          <w:noProof/>
        </w:rPr>
      </w:pPr>
      <w:r>
        <w:rPr>
          <w:noProof/>
        </w:rPr>
        <w:t>5.</w:t>
      </w:r>
      <w:r>
        <w:rPr>
          <w:noProof/>
        </w:rPr>
        <w:tab/>
        <w:t>Skiču un aditīvā ražošana.</w:t>
      </w:r>
    </w:p>
    <w:p w14:paraId="006F8BED" w14:textId="77777777" w:rsidR="00776A1F" w:rsidRDefault="00D8574B">
      <w:pPr>
        <w:pStyle w:val="P68B1DB1-Normal4"/>
        <w:spacing w:after="0"/>
        <w:ind w:left="720"/>
        <w:jc w:val="both"/>
        <w:rPr>
          <w:rFonts w:cs="Times New Roman"/>
          <w:noProof/>
        </w:rPr>
      </w:pPr>
      <w:r>
        <w:rPr>
          <w:noProof/>
        </w:rPr>
        <w:t>6.</w:t>
      </w:r>
      <w:r>
        <w:rPr>
          <w:noProof/>
        </w:rPr>
        <w:tab/>
        <w:t>Paplašinātās realitātes projekti, virtuālā realitāte un mākslīgais redzējums, ko piemēro procesiem.</w:t>
      </w:r>
    </w:p>
    <w:p w14:paraId="5257C08A" w14:textId="77777777" w:rsidR="00776A1F" w:rsidRDefault="00D8574B">
      <w:pPr>
        <w:pStyle w:val="P68B1DB1-Normal4"/>
        <w:spacing w:after="0"/>
        <w:ind w:left="720"/>
        <w:jc w:val="both"/>
        <w:rPr>
          <w:rFonts w:cs="Times New Roman"/>
          <w:noProof/>
        </w:rPr>
      </w:pPr>
      <w:r>
        <w:rPr>
          <w:noProof/>
        </w:rPr>
        <w:t>7.</w:t>
      </w:r>
      <w:r>
        <w:rPr>
          <w:noProof/>
        </w:rPr>
        <w:tab/>
        <w:t>Sadarbīgā un kognitīvā robotika, cilvēka un mašīnas saskarne, kiberfizikas sistēmas.</w:t>
      </w:r>
    </w:p>
    <w:p w14:paraId="0B8245E1" w14:textId="26E5916E" w:rsidR="00776A1F" w:rsidRDefault="00D8574B">
      <w:pPr>
        <w:spacing w:after="0"/>
        <w:ind w:left="720"/>
        <w:jc w:val="both"/>
        <w:rPr>
          <w:rFonts w:ascii="Times New Roman" w:hAnsi="Times New Roman" w:cs="Times New Roman"/>
          <w:noProof/>
          <w:sz w:val="24"/>
        </w:rPr>
      </w:pPr>
      <w:r>
        <w:rPr>
          <w:rFonts w:ascii="Times New Roman" w:hAnsi="Times New Roman"/>
          <w:noProof/>
          <w:sz w:val="24"/>
        </w:rPr>
        <w:t>8.</w:t>
      </w:r>
      <w:r>
        <w:rPr>
          <w:noProof/>
        </w:rPr>
        <w:tab/>
      </w:r>
      <w:r>
        <w:rPr>
          <w:rFonts w:ascii="Times New Roman" w:hAnsi="Times New Roman"/>
          <w:noProof/>
          <w:sz w:val="24"/>
        </w:rPr>
        <w:t>Sensora un progresīva elektronika, lietu internets, mākoņi un perifērijas risinājumi.</w:t>
      </w:r>
    </w:p>
    <w:p w14:paraId="1FBF7C37" w14:textId="77777777" w:rsidR="00776A1F" w:rsidRDefault="00D8574B">
      <w:pPr>
        <w:pStyle w:val="P68B1DB1-Normal4"/>
        <w:spacing w:after="0"/>
        <w:ind w:left="720"/>
        <w:jc w:val="both"/>
        <w:rPr>
          <w:rFonts w:cs="Times New Roman"/>
          <w:noProof/>
        </w:rPr>
      </w:pPr>
      <w:r>
        <w:rPr>
          <w:noProof/>
        </w:rPr>
        <w:t>9.</w:t>
      </w:r>
      <w:r>
        <w:rPr>
          <w:noProof/>
        </w:rPr>
        <w:tab/>
        <w:t>Tīklu, sakaru un progresīvas skaitļošanas infrastruktūras, kas saistītas ar procesiem.</w:t>
      </w:r>
    </w:p>
    <w:p w14:paraId="100D1BA8" w14:textId="77777777" w:rsidR="00776A1F" w:rsidRDefault="00D8574B">
      <w:pPr>
        <w:pStyle w:val="P68B1DB1-Normal4"/>
        <w:spacing w:after="0"/>
        <w:ind w:left="720"/>
        <w:jc w:val="both"/>
        <w:rPr>
          <w:rFonts w:cs="Times New Roman"/>
          <w:noProof/>
        </w:rPr>
      </w:pPr>
      <w:r>
        <w:rPr>
          <w:noProof/>
        </w:rPr>
        <w:t>10.</w:t>
      </w:r>
      <w:r>
        <w:rPr>
          <w:noProof/>
        </w:rPr>
        <w:tab/>
        <w:t>Inovatīva programmatūra, sistēmu sadarbspēja.</w:t>
      </w:r>
    </w:p>
    <w:p w14:paraId="61EAAF0E" w14:textId="09B532F8" w:rsidR="00776A1F" w:rsidRDefault="00D8574B">
      <w:pPr>
        <w:pStyle w:val="P68B1DB1-Normal4"/>
        <w:spacing w:after="0"/>
        <w:jc w:val="both"/>
        <w:rPr>
          <w:rFonts w:cs="Times New Roman"/>
          <w:noProof/>
        </w:rPr>
      </w:pPr>
      <w:r>
        <w:rPr>
          <w:noProof/>
        </w:rPr>
        <w:t>Attiecībā uz piedāvājumiem, lai nodrošinātu, ka pasākums atbilst Tehniskajiem norādījumiem “nenodari būtisku kaitējumu” (2021/C58/01), turpmākajos uzaicinājumos iesniegt projektus ietvertajos atbilstības kritērijos neiekļauj šādu darbību sarakstu: darbības, kas saistītas ar fosilajiem kurināmajiem, tostarp pakārtota izmantošana</w:t>
      </w:r>
      <w:r>
        <w:rPr>
          <w:noProof/>
        </w:rPr>
        <w:footnoteReference w:id="64"/>
      </w:r>
      <w:r>
        <w:rPr>
          <w:noProof/>
        </w:rPr>
        <w:t>; darbības ES emisijas kvotu tirdzniecības sistēmas (ETS) ietvaros, lai sasniegtu prognozētās siltumnīcefekta gāzu emisijas, kas nav zemākas par attiecīgajām līmeņatzīmēm</w:t>
      </w:r>
      <w:r>
        <w:rPr>
          <w:noProof/>
        </w:rPr>
        <w:footnoteReference w:id="65"/>
      </w:r>
      <w:r>
        <w:rPr>
          <w:noProof/>
        </w:rPr>
        <w:t>; III) darbības, kas saistītas ar atkritumu poligoniem, atkritumu sadedzināšanas iekārtām</w:t>
      </w:r>
      <w:r>
        <w:rPr>
          <w:noProof/>
        </w:rPr>
        <w:footnoteReference w:id="66"/>
      </w:r>
      <w:r>
        <w:rPr>
          <w:noProof/>
        </w:rPr>
        <w:t xml:space="preserve"> un mehāniski bioloģiskās apstrādes iekārtām</w:t>
      </w:r>
      <w:r>
        <w:rPr>
          <w:noProof/>
        </w:rPr>
        <w:footnoteReference w:id="67"/>
      </w:r>
      <w:r>
        <w:rPr>
          <w:noProof/>
        </w:rPr>
        <w:t>. Darba uzdevumā papildus nosaka, ka var atlasīt tikai tās darbības, kas atbilst attiecīgajiem ES un valsts tiesību aktiem vides jomā.</w:t>
      </w:r>
    </w:p>
    <w:p w14:paraId="6102D899" w14:textId="33A71017" w:rsidR="00776A1F" w:rsidRDefault="00D8574B">
      <w:pPr>
        <w:pStyle w:val="P68B1DB1-Normal4"/>
        <w:jc w:val="both"/>
        <w:rPr>
          <w:rFonts w:cs="Times New Roman"/>
          <w:noProof/>
        </w:rPr>
      </w:pPr>
      <w:r>
        <w:rPr>
          <w:noProof/>
        </w:rPr>
        <w:t>Ieguldījumu īstenošanu pabeidz līdz 2025. gada 31. decembrim.</w:t>
      </w:r>
    </w:p>
    <w:p w14:paraId="0DED3033" w14:textId="15D5D742" w:rsidR="00776A1F" w:rsidRDefault="00D8574B">
      <w:pPr>
        <w:pStyle w:val="P68B1DB1-Heading214"/>
        <w:spacing w:before="240"/>
        <w:rPr>
          <w:noProof/>
        </w:rPr>
      </w:pPr>
      <w:bookmarkStart w:id="30" w:name="_Toc137472468"/>
      <w:r>
        <w:rPr>
          <w:noProof/>
        </w:rPr>
        <w:t>Ieguldījums TD-C16-i05-RAA: Azoru salu uzņēmumu digitālās spējas un pārveide</w:t>
      </w:r>
      <w:bookmarkEnd w:id="30"/>
    </w:p>
    <w:p w14:paraId="5F5ED56A" w14:textId="77777777" w:rsidR="00776A1F" w:rsidRDefault="00D8574B">
      <w:pPr>
        <w:pStyle w:val="P68B1DB1-Normal4"/>
        <w:spacing w:before="40" w:after="0" w:line="22" w:lineRule="atLeast"/>
        <w:jc w:val="both"/>
        <w:rPr>
          <w:rFonts w:cs="Times New Roman"/>
          <w:noProof/>
        </w:rPr>
      </w:pPr>
      <w:r>
        <w:rPr>
          <w:noProof/>
        </w:rPr>
        <w:t>Pasākuma mērķis ir finansēt digitālās pārkārtošanās veicināšanas sistēmas izveidi Azoru salu uzņēmumiem, kā arī datošanas un tīkla iekārtu izveidi un Azoru salu zinātnes un tehnoloģiju parku paplašināšanu.</w:t>
      </w:r>
    </w:p>
    <w:p w14:paraId="542E28E3" w14:textId="77777777" w:rsidR="00776A1F" w:rsidRDefault="00D8574B">
      <w:pPr>
        <w:pStyle w:val="P68B1DB1-Normal4"/>
        <w:spacing w:before="40" w:after="0" w:line="22" w:lineRule="atLeast"/>
        <w:jc w:val="both"/>
        <w:rPr>
          <w:rFonts w:cs="Times New Roman"/>
          <w:noProof/>
        </w:rPr>
      </w:pPr>
      <w:r>
        <w:rPr>
          <w:noProof/>
        </w:rPr>
        <w:t>Stimulu sistēmas uzņēmumu digitālajai pārejai mērķis ir atbalstīt reģionālos uzņēmumus digitālo tehnoloģiju pielāgošanā un integrēšanā, cita starpā veicot darbības, kas vērstas uz pārvaldību, e-komerciju, automatizācijas rīkiem, kiberdrošības stiprināšanu, mākslīgo intelektu, lietu internetu.</w:t>
      </w:r>
    </w:p>
    <w:p w14:paraId="09E35D17" w14:textId="77777777" w:rsidR="00776A1F" w:rsidRDefault="00D8574B">
      <w:pPr>
        <w:pStyle w:val="P68B1DB1-Normal4"/>
        <w:spacing w:before="40" w:after="0" w:line="22" w:lineRule="atLeast"/>
        <w:jc w:val="both"/>
        <w:rPr>
          <w:rFonts w:cs="Times New Roman"/>
          <w:noProof/>
        </w:rPr>
      </w:pPr>
      <w:r>
        <w:rPr>
          <w:noProof/>
        </w:rPr>
        <w:t>Ieguldījumi Azoru salu zinātnes un tehnoloģiju parkos (Nonagonā un Terinovā) ir paredzēti, lai atbalstītu reģiona uzņēmējdarbības ekosistēmas loģistikas un tehnoloģiskos apstākļus. Šā ieguldījuma mērķis ir veicināt uz tehnoloģijām balstītas ekonomikas attīstību stratēģiskās nozarēs, nodrošinot zinātību un uzlabojot šo parku sniegto pakalpojumu kvalitāti un uzticamību.</w:t>
      </w:r>
    </w:p>
    <w:p w14:paraId="5A449590" w14:textId="77777777" w:rsidR="00776A1F" w:rsidRDefault="00D8574B">
      <w:pPr>
        <w:pStyle w:val="P68B1DB1-Normal4"/>
        <w:spacing w:before="40" w:after="0" w:line="22" w:lineRule="atLeast"/>
        <w:jc w:val="both"/>
        <w:rPr>
          <w:rFonts w:cs="Times New Roman"/>
          <w:noProof/>
        </w:rPr>
      </w:pPr>
      <w:r>
        <w:rPr>
          <w:noProof/>
        </w:rPr>
        <w:t>Uzņēmumu digitālās pārkārtošanās veicināšanas sistēma ir strukturēta ap trim darbības virzieniem, atbalsttiesīgie projekti veicina vismaz vienu no tiem:</w:t>
      </w:r>
    </w:p>
    <w:p w14:paraId="142AA256" w14:textId="77777777" w:rsidR="00776A1F" w:rsidRDefault="00D8574B">
      <w:pPr>
        <w:pStyle w:val="ListParagraph"/>
        <w:keepNext w:val="0"/>
        <w:numPr>
          <w:ilvl w:val="0"/>
          <w:numId w:val="74"/>
        </w:numPr>
        <w:spacing w:before="40" w:after="0" w:line="22" w:lineRule="atLeast"/>
        <w:rPr>
          <w:noProof/>
        </w:rPr>
      </w:pPr>
      <w:r>
        <w:rPr>
          <w:noProof/>
        </w:rPr>
        <w:t>Darbības virziens — atbalstīt reģionālos uzņēmumus tādu digitālo tehnoloģiju pielāgošanā un integrēšanā, kas uzlabo konkurētspēju, uzlabo ražīgumu, veicina inovāciju un samazina uzņēmējdarbības procesu izmaksas.</w:t>
      </w:r>
    </w:p>
    <w:p w14:paraId="42A27BBC" w14:textId="77777777" w:rsidR="00776A1F" w:rsidRDefault="00D8574B">
      <w:pPr>
        <w:pStyle w:val="ListParagraph"/>
        <w:keepNext w:val="0"/>
        <w:numPr>
          <w:ilvl w:val="0"/>
          <w:numId w:val="74"/>
        </w:numPr>
        <w:spacing w:before="40" w:after="0" w:line="22" w:lineRule="atLeast"/>
        <w:rPr>
          <w:noProof/>
        </w:rPr>
      </w:pPr>
      <w:r>
        <w:rPr>
          <w:noProof/>
        </w:rPr>
        <w:t>Darbības virziens — nodrošināt iespēju Azoru salu uzņēmumiem izmantot specializētus konsultāciju pakalpojumus uzņēmējdarbības procesu paātrināšanas un kiberdrošības metodikas īstenošanai.</w:t>
      </w:r>
    </w:p>
    <w:p w14:paraId="6E71A181" w14:textId="77777777" w:rsidR="00776A1F" w:rsidRDefault="00D8574B">
      <w:pPr>
        <w:pStyle w:val="ListParagraph"/>
        <w:keepNext w:val="0"/>
        <w:numPr>
          <w:ilvl w:val="0"/>
          <w:numId w:val="74"/>
        </w:numPr>
        <w:spacing w:before="40" w:after="0" w:line="22" w:lineRule="atLeast"/>
        <w:rPr>
          <w:noProof/>
        </w:rPr>
      </w:pPr>
      <w:r>
        <w:rPr>
          <w:noProof/>
        </w:rPr>
        <w:t>Darbības virziens — atbalsts tematisku pasākumu organizēšanai, ko veic publiskas vai privātas struktūras, lai veicinātu Azoras uzņēmumu sinerģiju, apmainoties ar tehnoloģiskiem risinājumiem, rīkiem, metodiku un paraugpraksi.</w:t>
      </w:r>
    </w:p>
    <w:p w14:paraId="184DB346" w14:textId="77777777" w:rsidR="00776A1F" w:rsidRDefault="00D8574B">
      <w:pPr>
        <w:pStyle w:val="P68B1DB1-Normal4"/>
        <w:spacing w:before="40" w:after="0" w:line="22" w:lineRule="atLeast"/>
        <w:jc w:val="both"/>
        <w:rPr>
          <w:rFonts w:cs="Times New Roman"/>
          <w:noProof/>
        </w:rPr>
      </w:pPr>
      <w:r>
        <w:rPr>
          <w:noProof/>
        </w:rPr>
        <w:t>Ieguldījumi zinātnes un tehnoloģiju parkos nodrošinās jaunus tīkla un datošanas infrastruktūras aktīvus (aparatūru) netangonajā zinātnes un tehnoloģiju parkā un jaunas energoefektīvas ēkas būvniecību Terinov zinātnes un tehnoloģiju parkā.</w:t>
      </w:r>
    </w:p>
    <w:p w14:paraId="63A80828" w14:textId="089A50CF" w:rsidR="00776A1F" w:rsidRDefault="00D8574B">
      <w:pPr>
        <w:pStyle w:val="P68B1DB1-Normal4"/>
        <w:spacing w:before="40" w:after="0" w:line="22" w:lineRule="atLeast"/>
        <w:jc w:val="both"/>
        <w:rPr>
          <w:rFonts w:cs="Times New Roman"/>
          <w:noProof/>
        </w:rPr>
      </w:pPr>
      <w:r>
        <w:rPr>
          <w:noProof/>
        </w:rPr>
        <w:t>Attiecībā uz piedāvājumiem, lai nodrošinātu, ka pasākums atbilst Tehniskajiem norādījumiem “nenodari būtisku kaitējumu” (2021/C58/01), turpmākajos uzaicinājumos iesniegt projektus ietvertajos atbilstības kritērijos neiekļauj šādu darbību sarakstu: darbības, kas saistītas ar fosilajiem kurināmajiem, tostarp pakārtota izmantošana</w:t>
      </w:r>
      <w:r>
        <w:rPr>
          <w:noProof/>
        </w:rPr>
        <w:footnoteReference w:id="68"/>
      </w:r>
      <w:r>
        <w:rPr>
          <w:noProof/>
        </w:rPr>
        <w:t>; darbības ES emisijas kvotu tirdzniecības sistēmas (ETS) ietvaros, lai sasniegtu prognozētās siltumnīcefekta gāzu emisijas, kas nav zemākas par attiecīgajām līmeņatzīmēm</w:t>
      </w:r>
      <w:r>
        <w:rPr>
          <w:noProof/>
        </w:rPr>
        <w:footnoteReference w:id="69"/>
      </w:r>
      <w:r>
        <w:rPr>
          <w:noProof/>
        </w:rPr>
        <w:t>; III) darbības, kas saistītas ar atkritumu poligoniem, atkritumu sadedzināšanas iekārtām</w:t>
      </w:r>
      <w:r>
        <w:rPr>
          <w:noProof/>
        </w:rPr>
        <w:footnoteReference w:id="70"/>
      </w:r>
      <w:r>
        <w:rPr>
          <w:noProof/>
        </w:rPr>
        <w:t xml:space="preserve"> un mehāniski bioloģiskās apstrādes iekārtām</w:t>
      </w:r>
      <w:r>
        <w:rPr>
          <w:noProof/>
        </w:rPr>
        <w:footnoteReference w:id="71"/>
      </w:r>
      <w:r>
        <w:rPr>
          <w:noProof/>
        </w:rPr>
        <w:t>. Darba uzdevumā papildus nosaka, ka var atlasīt tikai tās darbības, kas atbilst attiecīgajiem ES un valsts tiesību aktiem vides jomā.</w:t>
      </w:r>
    </w:p>
    <w:p w14:paraId="05CDA0AA" w14:textId="77777777" w:rsidR="00776A1F" w:rsidRDefault="00D8574B">
      <w:pPr>
        <w:pStyle w:val="P68B1DB1-Normal4"/>
        <w:spacing w:before="40" w:after="0" w:line="22" w:lineRule="atLeast"/>
        <w:jc w:val="both"/>
        <w:rPr>
          <w:rFonts w:cs="Times New Roman"/>
          <w:noProof/>
          <w:highlight w:val="green"/>
        </w:rPr>
      </w:pPr>
      <w:r>
        <w:rPr>
          <w:noProof/>
        </w:rPr>
        <w:t>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p w14:paraId="61377CD4" w14:textId="77777777" w:rsidR="00776A1F" w:rsidRDefault="00D8574B">
      <w:pPr>
        <w:pStyle w:val="P68B1DB1-Normal4"/>
        <w:spacing w:before="40" w:after="0" w:line="22" w:lineRule="atLeast"/>
        <w:jc w:val="both"/>
        <w:rPr>
          <w:rFonts w:cs="Times New Roman"/>
          <w:noProof/>
        </w:rPr>
      </w:pPr>
      <w:r>
        <w:rPr>
          <w:noProof/>
        </w:rPr>
        <w:t>Investīciju īstenošanu pabeidz līdz 2026. gada 31. augustam.</w:t>
      </w:r>
    </w:p>
    <w:p w14:paraId="28BCB725" w14:textId="47AFAD48" w:rsidR="00776A1F" w:rsidRDefault="00D8574B">
      <w:pPr>
        <w:pStyle w:val="P68B1DB1-Heading214"/>
        <w:spacing w:before="240"/>
        <w:rPr>
          <w:noProof/>
        </w:rPr>
      </w:pPr>
      <w:bookmarkStart w:id="31" w:name="_Toc137472469"/>
      <w:r>
        <w:rPr>
          <w:noProof/>
        </w:rPr>
        <w:t>Ieguldījums TD-C16-i06-RAM: Uzņēmums 4.0</w:t>
      </w:r>
      <w:bookmarkEnd w:id="31"/>
    </w:p>
    <w:p w14:paraId="6ACAD005" w14:textId="77777777" w:rsidR="00776A1F" w:rsidRDefault="00D8574B">
      <w:pPr>
        <w:pStyle w:val="P68B1DB1-Normal4"/>
        <w:spacing w:before="40" w:after="0" w:line="22" w:lineRule="atLeast"/>
        <w:jc w:val="both"/>
        <w:rPr>
          <w:rFonts w:cs="Times New Roman"/>
          <w:noProof/>
        </w:rPr>
      </w:pPr>
      <w:r>
        <w:rPr>
          <w:noProof/>
        </w:rPr>
        <w:t xml:space="preserve">Pasākuma mērķis ir veicināt Madeiras autonomā reģiona MVU uzņēmējdarbības modeļu pārveidi, lai padarītu to digitālāku, konkurētspējīgāku un noturīgāku. </w:t>
      </w:r>
    </w:p>
    <w:p w14:paraId="019B37E5" w14:textId="77777777" w:rsidR="00776A1F" w:rsidRDefault="00D8574B">
      <w:pPr>
        <w:pStyle w:val="P68B1DB1-Normal4"/>
        <w:spacing w:before="40" w:after="0" w:line="22" w:lineRule="atLeast"/>
        <w:jc w:val="both"/>
        <w:rPr>
          <w:rFonts w:cs="Times New Roman"/>
          <w:noProof/>
        </w:rPr>
      </w:pPr>
      <w:r>
        <w:rPr>
          <w:noProof/>
        </w:rPr>
        <w:t>Pasākums atbalsta investīcijas šādās divās jomās:</w:t>
      </w:r>
    </w:p>
    <w:p w14:paraId="3ABC0B35" w14:textId="77777777" w:rsidR="00776A1F" w:rsidRDefault="00D8574B">
      <w:pPr>
        <w:pStyle w:val="ListParagraph"/>
        <w:keepNext w:val="0"/>
        <w:numPr>
          <w:ilvl w:val="0"/>
          <w:numId w:val="74"/>
        </w:numPr>
        <w:spacing w:before="40" w:after="0" w:line="22" w:lineRule="atLeast"/>
        <w:rPr>
          <w:noProof/>
        </w:rPr>
      </w:pPr>
      <w:r>
        <w:rPr>
          <w:noProof/>
        </w:rPr>
        <w:t>Materiālie aktīvi, tostarp tādu iekārtu un iekārtu iegāde, kas ir tieši saistītas ar ieguldījumiem digitālajā pārkārtošanā, kā arī tāda IT aprīkojuma, tostarp tā darbībai nepieciešamās programmatūras, iegāde, kas ir tieši saistīts ar projekta izstrādi.</w:t>
      </w:r>
    </w:p>
    <w:p w14:paraId="5B06C0E0" w14:textId="77777777" w:rsidR="00776A1F" w:rsidRDefault="00D8574B">
      <w:pPr>
        <w:pStyle w:val="ListParagraph"/>
        <w:keepNext w:val="0"/>
        <w:numPr>
          <w:ilvl w:val="0"/>
          <w:numId w:val="74"/>
        </w:numPr>
        <w:spacing w:before="40" w:after="0" w:line="22" w:lineRule="atLeast"/>
        <w:rPr>
          <w:noProof/>
        </w:rPr>
      </w:pPr>
      <w:r>
        <w:rPr>
          <w:noProof/>
        </w:rPr>
        <w:t>Nemateriālie aktīvi, tostarp tehnoloģiju nodošana, iegādājoties patentu tiesības un standartizētu vai īpaši izstrādātu programmatūru.</w:t>
      </w:r>
    </w:p>
    <w:p w14:paraId="1727DD62" w14:textId="0C896F62" w:rsidR="00776A1F" w:rsidRDefault="00D8574B">
      <w:pPr>
        <w:pStyle w:val="P68B1DB1-Normal4"/>
        <w:spacing w:before="40" w:after="0" w:line="22" w:lineRule="atLeast"/>
        <w:jc w:val="both"/>
        <w:rPr>
          <w:rFonts w:cs="Times New Roman"/>
          <w:noProof/>
        </w:rPr>
      </w:pPr>
      <w:r>
        <w:rPr>
          <w:noProof/>
        </w:rPr>
        <w:t>Attiecībā uz piedāvājumiem, lai nodrošinātu, ka pasākums atbilst Tehniskajiem norādījumiem “nenodari būtisku kaitējumu” (2021/C58/01), turpmākajos uzaicinājumos iesniegt projektus ietvertajos atbilstības kritērijos neiekļauj šādu darbību sarakstu: darbības, kas saistītas ar fosilajiem kurināmajiem, tostarp pakārtota izmantošana</w:t>
      </w:r>
      <w:r>
        <w:rPr>
          <w:noProof/>
        </w:rPr>
        <w:footnoteReference w:id="72"/>
      </w:r>
      <w:r>
        <w:rPr>
          <w:noProof/>
        </w:rPr>
        <w:t>; darbības ES emisijas kvotu tirdzniecības sistēmas (ETS) ietvaros, lai sasniegtu prognozētās siltumnīcefekta gāzu emisijas, kas nav zemākas par attiecīgajām līmeņatzīmēm</w:t>
      </w:r>
      <w:r>
        <w:rPr>
          <w:noProof/>
        </w:rPr>
        <w:footnoteReference w:id="73"/>
      </w:r>
      <w:r>
        <w:rPr>
          <w:noProof/>
        </w:rPr>
        <w:t>; III) darbības, kas saistītas ar atkritumu poligoniem, atkritumu sadedzināšanas iekārtām</w:t>
      </w:r>
      <w:r>
        <w:rPr>
          <w:noProof/>
        </w:rPr>
        <w:footnoteReference w:id="74"/>
      </w:r>
      <w:r>
        <w:rPr>
          <w:noProof/>
        </w:rPr>
        <w:t xml:space="preserve"> un mehāniski bioloģiskās apstrādes iekārtām</w:t>
      </w:r>
      <w:r>
        <w:rPr>
          <w:noProof/>
        </w:rPr>
        <w:footnoteReference w:id="75"/>
      </w:r>
      <w:r>
        <w:rPr>
          <w:noProof/>
        </w:rPr>
        <w:t>. Darba uzdevumā papildus nosaka, ka var atlasīt tikai tās darbības, kas atbilst attiecīgajiem ES un valsts tiesību aktiem vides jomā.</w:t>
      </w:r>
    </w:p>
    <w:p w14:paraId="048368EF" w14:textId="77777777" w:rsidR="00776A1F" w:rsidRDefault="00D8574B">
      <w:pPr>
        <w:pStyle w:val="P68B1DB1-Normal4"/>
        <w:spacing w:before="40" w:after="0" w:line="22" w:lineRule="atLeast"/>
        <w:jc w:val="both"/>
        <w:rPr>
          <w:rFonts w:cs="Times New Roman"/>
          <w:noProof/>
        </w:rPr>
      </w:pPr>
      <w:r>
        <w:rPr>
          <w:noProof/>
        </w:rPr>
        <w:t>Ieguldījumu īstenošanu pabeidz līdz 2025. gada 31. decembrim.</w:t>
      </w:r>
    </w:p>
    <w:p w14:paraId="164509CF" w14:textId="77777777" w:rsidR="00776A1F" w:rsidRDefault="00776A1F">
      <w:pPr>
        <w:spacing w:before="40" w:after="0" w:line="259" w:lineRule="auto"/>
        <w:jc w:val="both"/>
        <w:rPr>
          <w:rFonts w:ascii="Times New Roman" w:eastAsiaTheme="minorEastAsia" w:hAnsi="Times New Roman" w:cs="Times New Roman"/>
          <w:noProof/>
          <w:sz w:val="24"/>
        </w:rPr>
      </w:pPr>
    </w:p>
    <w:p w14:paraId="362ADC30" w14:textId="079570EE" w:rsidR="00776A1F" w:rsidRDefault="00776A1F">
      <w:pPr>
        <w:spacing w:before="40" w:after="0" w:line="259" w:lineRule="auto"/>
        <w:jc w:val="both"/>
        <w:rPr>
          <w:rFonts w:ascii="Times New Roman" w:eastAsiaTheme="minorEastAsia" w:hAnsi="Times New Roman" w:cs="Times New Roman"/>
          <w:noProof/>
          <w:sz w:val="24"/>
        </w:rPr>
        <w:sectPr w:rsidR="00776A1F" w:rsidSect="00E00EDD">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60"/>
        </w:sectPr>
      </w:pPr>
    </w:p>
    <w:p w14:paraId="254DFD7F"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P.2. Atskaites punkti, mērķrādītāji, citi rādītāji un neatmaksājamā finansiālā atbalsta uzraudzības un īstenošanas grafiks</w:t>
      </w:r>
    </w:p>
    <w:p w14:paraId="3C02C5BB"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426"/>
        <w:gridCol w:w="708"/>
        <w:gridCol w:w="3969"/>
      </w:tblGrid>
      <w:tr w:rsidR="00776A1F" w14:paraId="7423F777" w14:textId="77777777">
        <w:trPr>
          <w:trHeight w:val="910"/>
          <w:tblHeader/>
        </w:trPr>
        <w:tc>
          <w:tcPr>
            <w:tcW w:w="1135" w:type="dxa"/>
            <w:vMerge w:val="restart"/>
            <w:shd w:val="clear" w:color="auto" w:fill="BDD6EE"/>
            <w:vAlign w:val="center"/>
            <w:hideMark/>
          </w:tcPr>
          <w:p w14:paraId="5168738B"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2F2588D1"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29213AC1" w14:textId="77777777" w:rsidR="00776A1F" w:rsidRDefault="00D8574B">
            <w:pPr>
              <w:pStyle w:val="P68B1DB1-Normal6"/>
              <w:spacing w:after="0" w:line="240" w:lineRule="auto"/>
              <w:jc w:val="center"/>
              <w:rPr>
                <w:rFonts w:eastAsia="Times New Roman" w:cs="Times New Roman"/>
                <w:noProof/>
              </w:rPr>
            </w:pPr>
            <w:r>
              <w:rPr>
                <w:noProof/>
              </w:rPr>
              <w:t>Stūrakmens/</w:t>
            </w:r>
          </w:p>
          <w:p w14:paraId="4DFE944A" w14:textId="7AD7D494" w:rsidR="00776A1F" w:rsidRDefault="00D8574B">
            <w:pPr>
              <w:pStyle w:val="P68B1DB1-Normal6"/>
              <w:spacing w:after="0" w:line="240" w:lineRule="auto"/>
              <w:jc w:val="center"/>
              <w:rPr>
                <w:rFonts w:eastAsia="Times New Roman" w:cs="Times New Roman"/>
                <w:noProof/>
              </w:rPr>
            </w:pPr>
            <w:r>
              <w:rPr>
                <w:noProof/>
              </w:rPr>
              <w:t>Mērķa</w:t>
            </w:r>
          </w:p>
        </w:tc>
        <w:tc>
          <w:tcPr>
            <w:tcW w:w="1701" w:type="dxa"/>
            <w:vMerge w:val="restart"/>
            <w:shd w:val="clear" w:color="auto" w:fill="BDD6EE"/>
            <w:vAlign w:val="center"/>
            <w:hideMark/>
          </w:tcPr>
          <w:p w14:paraId="3A8BB6F8"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1CF72B00"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835" w:type="dxa"/>
            <w:gridSpan w:val="3"/>
            <w:shd w:val="clear" w:color="auto" w:fill="BDD6EE"/>
            <w:vAlign w:val="center"/>
            <w:hideMark/>
          </w:tcPr>
          <w:p w14:paraId="51396FD9"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134" w:type="dxa"/>
            <w:gridSpan w:val="2"/>
            <w:shd w:val="clear" w:color="auto" w:fill="BDD6EE"/>
            <w:vAlign w:val="center"/>
            <w:hideMark/>
          </w:tcPr>
          <w:p w14:paraId="2384B14C"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349285CE"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18352C4C" w14:textId="77777777">
        <w:trPr>
          <w:trHeight w:val="470"/>
          <w:tblHeader/>
        </w:trPr>
        <w:tc>
          <w:tcPr>
            <w:tcW w:w="1135" w:type="dxa"/>
            <w:vMerge/>
            <w:vAlign w:val="center"/>
            <w:hideMark/>
          </w:tcPr>
          <w:p w14:paraId="22D982F3"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0D815B5A"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369A5294" w14:textId="6750FDB0" w:rsidR="00776A1F" w:rsidRDefault="00776A1F">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95ECB29"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24A4C41B"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003FBF9"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13E67A31"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850" w:type="dxa"/>
            <w:shd w:val="clear" w:color="auto" w:fill="BDD6EE"/>
            <w:vAlign w:val="center"/>
            <w:hideMark/>
          </w:tcPr>
          <w:p w14:paraId="0BEA7183"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426" w:type="dxa"/>
            <w:shd w:val="clear" w:color="auto" w:fill="BDD6EE"/>
            <w:vAlign w:val="center"/>
            <w:hideMark/>
          </w:tcPr>
          <w:p w14:paraId="3C115B8C"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00F1E31A"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5AA21CBC" w14:textId="77777777" w:rsidR="00776A1F" w:rsidRDefault="00776A1F">
            <w:pPr>
              <w:spacing w:after="0" w:line="240" w:lineRule="auto"/>
              <w:rPr>
                <w:rFonts w:ascii="Times New Roman" w:eastAsia="Times New Roman" w:hAnsi="Times New Roman" w:cs="Times New Roman"/>
                <w:b/>
                <w:noProof/>
                <w:sz w:val="18"/>
              </w:rPr>
            </w:pPr>
          </w:p>
        </w:tc>
      </w:tr>
      <w:tr w:rsidR="00776A1F" w14:paraId="7B1ED792" w14:textId="77777777">
        <w:trPr>
          <w:trHeight w:val="1480"/>
        </w:trPr>
        <w:tc>
          <w:tcPr>
            <w:tcW w:w="1135" w:type="dxa"/>
            <w:shd w:val="clear" w:color="auto" w:fill="C5EFCE"/>
            <w:vAlign w:val="center"/>
            <w:hideMark/>
          </w:tcPr>
          <w:p w14:paraId="4AF10FF0" w14:textId="77777777" w:rsidR="00776A1F" w:rsidRDefault="00D8574B">
            <w:pPr>
              <w:pStyle w:val="P68B1DB1-Normal7"/>
              <w:spacing w:after="0" w:line="240" w:lineRule="auto"/>
              <w:jc w:val="center"/>
              <w:rPr>
                <w:rFonts w:eastAsia="Times New Roman" w:cs="Calibri"/>
                <w:noProof/>
              </w:rPr>
            </w:pPr>
            <w:r>
              <w:rPr>
                <w:noProof/>
              </w:rPr>
              <w:t>16.1</w:t>
            </w:r>
          </w:p>
        </w:tc>
        <w:tc>
          <w:tcPr>
            <w:tcW w:w="1276" w:type="dxa"/>
            <w:shd w:val="clear" w:color="auto" w:fill="C4EFCE"/>
            <w:noWrap/>
            <w:vAlign w:val="center"/>
            <w:hideMark/>
          </w:tcPr>
          <w:p w14:paraId="1CFD4A19" w14:textId="77777777" w:rsidR="00776A1F" w:rsidRDefault="00D8574B">
            <w:pPr>
              <w:pStyle w:val="P68B1DB1-Normal8"/>
              <w:spacing w:after="0" w:line="240" w:lineRule="auto"/>
              <w:jc w:val="center"/>
              <w:rPr>
                <w:rFonts w:eastAsia="Times New Roman" w:cs="Calibri"/>
                <w:noProof/>
              </w:rPr>
            </w:pPr>
            <w:r>
              <w:rPr>
                <w:noProof/>
              </w:rPr>
              <w:t>TD-C16-r31</w:t>
            </w:r>
          </w:p>
        </w:tc>
        <w:tc>
          <w:tcPr>
            <w:tcW w:w="1134" w:type="dxa"/>
            <w:shd w:val="clear" w:color="auto" w:fill="C4EFCE"/>
            <w:noWrap/>
            <w:vAlign w:val="center"/>
            <w:hideMark/>
          </w:tcPr>
          <w:p w14:paraId="3C1067BD"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C68A283" w14:textId="77777777" w:rsidR="00776A1F" w:rsidRDefault="00D8574B">
            <w:pPr>
              <w:pStyle w:val="P68B1DB1-Normal8"/>
              <w:spacing w:after="0" w:line="240" w:lineRule="auto"/>
              <w:jc w:val="center"/>
              <w:rPr>
                <w:rFonts w:eastAsia="Times New Roman" w:cs="Calibri"/>
                <w:noProof/>
              </w:rPr>
            </w:pPr>
            <w:r>
              <w:rPr>
                <w:noProof/>
              </w:rPr>
              <w:t>Valsts kvalifikāciju katalogā iekļautā apmācības satura pārskatīšanas stāšanās spēkā attiecībā uz moduļiem digitālo prasmju jomā un tiesību aktiem vai noteikumiem par digitālo parakstu un zīmogu radīšanu</w:t>
            </w:r>
          </w:p>
        </w:tc>
        <w:tc>
          <w:tcPr>
            <w:tcW w:w="1275" w:type="dxa"/>
            <w:shd w:val="clear" w:color="auto" w:fill="C4EFCE"/>
            <w:noWrap/>
            <w:vAlign w:val="center"/>
            <w:hideMark/>
          </w:tcPr>
          <w:p w14:paraId="352F6829" w14:textId="77777777" w:rsidR="00776A1F" w:rsidRDefault="00D8574B">
            <w:pPr>
              <w:pStyle w:val="P68B1DB1-Normal8"/>
              <w:spacing w:after="0" w:line="240" w:lineRule="auto"/>
              <w:jc w:val="center"/>
              <w:rPr>
                <w:rFonts w:eastAsia="Times New Roman" w:cs="Calibri"/>
                <w:noProof/>
              </w:rPr>
            </w:pPr>
            <w:r>
              <w:rPr>
                <w:noProof/>
              </w:rPr>
              <w:t>Valsts kvalifikāciju katalogā iekļautā apmācības satura pārskatīšanas stāšanās spēkā attiecībā uz moduļiem digitālo prasmju jomā un tiesību aktiem vai noteikumiem par digitālo parakstu un zīmogu radīšanu</w:t>
            </w:r>
          </w:p>
        </w:tc>
        <w:tc>
          <w:tcPr>
            <w:tcW w:w="993" w:type="dxa"/>
            <w:shd w:val="clear" w:color="auto" w:fill="C4EFCE"/>
            <w:noWrap/>
            <w:vAlign w:val="center"/>
            <w:hideMark/>
          </w:tcPr>
          <w:p w14:paraId="76BBCE4C"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DE63EE9"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5082984" w14:textId="77777777" w:rsidR="00776A1F" w:rsidRDefault="00D8574B">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452D819F"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7DD29457"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291B6CF" w14:textId="77777777" w:rsidR="00776A1F" w:rsidRDefault="00D8574B">
            <w:pPr>
              <w:pStyle w:val="P68B1DB1-Normal8"/>
              <w:spacing w:after="0" w:line="240" w:lineRule="auto"/>
              <w:jc w:val="both"/>
              <w:rPr>
                <w:rFonts w:eastAsia="Times New Roman" w:cs="Calibri"/>
                <w:noProof/>
              </w:rPr>
            </w:pPr>
            <w:r>
              <w:rPr>
                <w:noProof/>
              </w:rPr>
              <w:t>Stājas spēkā šādi normatīvie akti: Valsts kvalifikāciju katalogā iekļauto profesionālo un izglītības mācību satura pārskatīšana digitālo prasmju jomā, proti, apmācības moduļiem, kas saistīti ar tehnoloģijām un rīkiem, lai attīstītu prasmes, kas visvairāk vajadzīgas profesionālajā kontekstā, pamatojoties uz prasmju prognozēšanas diagnozi. Tiesību akti vai regulējums, kas vajadzīgs, lai izveidotu digitālos parakstus un zīmogus kiberdrošības, privātuma, ilgtspējas un lietojamības jomā. Šā tiesiskā regulējuma izveide un digitālās uzticēšanās veicināšana ir priekšnosacījums šajā komponentā paredzēto ieguldījumu īstenošanai digitālajos zīmogos.</w:t>
            </w:r>
          </w:p>
        </w:tc>
      </w:tr>
      <w:tr w:rsidR="00776A1F" w14:paraId="6459D986" w14:textId="77777777">
        <w:trPr>
          <w:trHeight w:val="630"/>
        </w:trPr>
        <w:tc>
          <w:tcPr>
            <w:tcW w:w="1135" w:type="dxa"/>
            <w:shd w:val="clear" w:color="auto" w:fill="C5EFCE"/>
            <w:vAlign w:val="center"/>
            <w:hideMark/>
          </w:tcPr>
          <w:p w14:paraId="6940FAF7" w14:textId="77777777" w:rsidR="00776A1F" w:rsidRDefault="00D8574B">
            <w:pPr>
              <w:pStyle w:val="P68B1DB1-Normal7"/>
              <w:spacing w:after="0" w:line="240" w:lineRule="auto"/>
              <w:jc w:val="center"/>
              <w:rPr>
                <w:rFonts w:eastAsia="Times New Roman" w:cs="Calibri"/>
                <w:noProof/>
              </w:rPr>
            </w:pPr>
            <w:r>
              <w:rPr>
                <w:noProof/>
              </w:rPr>
              <w:t>16.2</w:t>
            </w:r>
          </w:p>
        </w:tc>
        <w:tc>
          <w:tcPr>
            <w:tcW w:w="1276" w:type="dxa"/>
            <w:shd w:val="clear" w:color="auto" w:fill="C4EFCE"/>
            <w:noWrap/>
            <w:vAlign w:val="center"/>
            <w:hideMark/>
          </w:tcPr>
          <w:p w14:paraId="7CE8CA8A" w14:textId="77777777" w:rsidR="00776A1F" w:rsidRDefault="00D8574B">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09AF1728"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D18194C" w14:textId="77777777" w:rsidR="00776A1F" w:rsidRDefault="00D8574B">
            <w:pPr>
              <w:pStyle w:val="P68B1DB1-Normal8"/>
              <w:spacing w:after="0" w:line="240" w:lineRule="auto"/>
              <w:jc w:val="center"/>
              <w:rPr>
                <w:rFonts w:eastAsia="Times New Roman" w:cs="Calibri"/>
                <w:noProof/>
              </w:rPr>
            </w:pPr>
            <w:r>
              <w:rPr>
                <w:noProof/>
              </w:rPr>
              <w:t xml:space="preserve">Portugāles Digitālās akadēmijas un nodarbinātības + digitālās programmas sākums </w:t>
            </w:r>
          </w:p>
        </w:tc>
        <w:tc>
          <w:tcPr>
            <w:tcW w:w="1275" w:type="dxa"/>
            <w:shd w:val="clear" w:color="auto" w:fill="C4EFCE"/>
            <w:noWrap/>
            <w:vAlign w:val="center"/>
            <w:hideMark/>
          </w:tcPr>
          <w:p w14:paraId="408F4230" w14:textId="77777777" w:rsidR="00776A1F" w:rsidRDefault="00D8574B">
            <w:pPr>
              <w:pStyle w:val="P68B1DB1-Normal8"/>
              <w:spacing w:after="0" w:line="240" w:lineRule="auto"/>
              <w:jc w:val="center"/>
              <w:rPr>
                <w:rFonts w:eastAsia="Times New Roman" w:cs="Calibri"/>
                <w:noProof/>
              </w:rPr>
            </w:pPr>
            <w:r>
              <w:rPr>
                <w:noProof/>
              </w:rPr>
              <w:t>Portugāles Digitālās akadēmijas izveide un nodarbinātība + digitālās programmas</w:t>
            </w:r>
          </w:p>
        </w:tc>
        <w:tc>
          <w:tcPr>
            <w:tcW w:w="993" w:type="dxa"/>
            <w:shd w:val="clear" w:color="auto" w:fill="C4EFCE"/>
            <w:noWrap/>
            <w:vAlign w:val="center"/>
            <w:hideMark/>
          </w:tcPr>
          <w:p w14:paraId="52EB1383" w14:textId="77777777" w:rsidR="00776A1F" w:rsidRDefault="00D8574B">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1F586DE5"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1E7CB3D9" w14:textId="77777777" w:rsidR="00776A1F" w:rsidRDefault="00D8574B">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310C5484" w14:textId="77777777" w:rsidR="00776A1F" w:rsidRDefault="00D8574B">
            <w:pPr>
              <w:pStyle w:val="P68B1DB1-Normal8"/>
              <w:spacing w:after="0" w:line="240" w:lineRule="auto"/>
              <w:jc w:val="center"/>
              <w:rPr>
                <w:rFonts w:eastAsia="Times New Roman" w:cs="Calibri"/>
                <w:noProof/>
              </w:rPr>
            </w:pPr>
            <w:r>
              <w:rPr>
                <w:noProof/>
              </w:rPr>
              <w:t>1. CET.</w:t>
            </w:r>
          </w:p>
        </w:tc>
        <w:tc>
          <w:tcPr>
            <w:tcW w:w="708" w:type="dxa"/>
            <w:shd w:val="clear" w:color="auto" w:fill="C4EFCE"/>
            <w:noWrap/>
            <w:vAlign w:val="center"/>
            <w:hideMark/>
          </w:tcPr>
          <w:p w14:paraId="411306C6"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498F74B2" w14:textId="77777777" w:rsidR="00776A1F" w:rsidRDefault="00D8574B">
            <w:pPr>
              <w:pStyle w:val="P68B1DB1-Normal8"/>
              <w:spacing w:after="0" w:line="240" w:lineRule="auto"/>
              <w:jc w:val="both"/>
              <w:rPr>
                <w:rFonts w:eastAsia="Times New Roman" w:cs="Calibri"/>
                <w:noProof/>
              </w:rPr>
            </w:pPr>
            <w:r>
              <w:rPr>
                <w:noProof/>
              </w:rPr>
              <w:t xml:space="preserve">Portugāles digitālā akadēmija — 1) tiešsaistes platforma darbojas un ir pieejama tās lietotājiem, 2) ir noteiktas diagnostikas procedūras, lai novērtētu praktikantu ieteikumus par digitālajām prasmēm un noteiktu viņiem nepieciešamos individualizētos apmācības kursus, un tiek uzsākts pirmais tiešsaistes apmācību kopums, kas ir pieejams apmācāmajiem. </w:t>
            </w:r>
          </w:p>
          <w:p w14:paraId="11F7A3F6" w14:textId="421B983E" w:rsidR="00776A1F" w:rsidRDefault="00D8574B">
            <w:pPr>
              <w:pStyle w:val="P68B1DB1-Normal8"/>
              <w:spacing w:after="0" w:line="240" w:lineRule="auto"/>
              <w:jc w:val="both"/>
              <w:rPr>
                <w:rFonts w:eastAsia="Times New Roman" w:cs="Calibri"/>
                <w:noProof/>
              </w:rPr>
            </w:pPr>
            <w:r>
              <w:rPr>
                <w:noProof/>
              </w:rPr>
              <w:t>Nodarbinātība + digitālā joma — 1) ir noteiktas attiecīgās ekonomikas nozares un noteiktas to galvenās digitālās problēmas, kas jārisina kursos; 2) ir noteikti partneri un ieinteresētās personas programmas īstenošanai; Tiek uzsākta apmācības programma un sākta tiešsaistes, klātienes vai jaukta tipa apmācība.</w:t>
            </w:r>
          </w:p>
        </w:tc>
      </w:tr>
      <w:tr w:rsidR="00776A1F" w14:paraId="641661D3" w14:textId="77777777">
        <w:trPr>
          <w:trHeight w:val="640"/>
        </w:trPr>
        <w:tc>
          <w:tcPr>
            <w:tcW w:w="1135" w:type="dxa"/>
            <w:shd w:val="clear" w:color="auto" w:fill="C5EFCE"/>
            <w:vAlign w:val="center"/>
            <w:hideMark/>
          </w:tcPr>
          <w:p w14:paraId="7B9A6855" w14:textId="77777777" w:rsidR="00776A1F" w:rsidRDefault="00D8574B">
            <w:pPr>
              <w:pStyle w:val="P68B1DB1-Normal7"/>
              <w:spacing w:after="0" w:line="240" w:lineRule="auto"/>
              <w:jc w:val="center"/>
              <w:rPr>
                <w:rFonts w:eastAsia="Times New Roman" w:cs="Calibri"/>
                <w:noProof/>
              </w:rPr>
            </w:pPr>
            <w:r>
              <w:rPr>
                <w:noProof/>
              </w:rPr>
              <w:t>16.3</w:t>
            </w:r>
          </w:p>
        </w:tc>
        <w:tc>
          <w:tcPr>
            <w:tcW w:w="1276" w:type="dxa"/>
            <w:shd w:val="clear" w:color="auto" w:fill="C4EFCE"/>
            <w:noWrap/>
            <w:vAlign w:val="center"/>
            <w:hideMark/>
          </w:tcPr>
          <w:p w14:paraId="6DA18CB9" w14:textId="77777777" w:rsidR="00776A1F" w:rsidRDefault="00D8574B">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69A0921C"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0123495" w14:textId="77777777" w:rsidR="00776A1F" w:rsidRDefault="00D8574B">
            <w:pPr>
              <w:pStyle w:val="P68B1DB1-Normal8"/>
              <w:spacing w:after="0" w:line="240" w:lineRule="auto"/>
              <w:jc w:val="center"/>
              <w:rPr>
                <w:rFonts w:eastAsia="Times New Roman" w:cs="Calibri"/>
                <w:noProof/>
              </w:rPr>
            </w:pPr>
            <w:r>
              <w:rPr>
                <w:noProof/>
              </w:rPr>
              <w:t>Nodarbinātība + digitālās apmācības dalībnieki</w:t>
            </w:r>
          </w:p>
        </w:tc>
        <w:tc>
          <w:tcPr>
            <w:tcW w:w="1275" w:type="dxa"/>
            <w:shd w:val="clear" w:color="auto" w:fill="C4EFCE"/>
            <w:noWrap/>
            <w:vAlign w:val="center"/>
            <w:hideMark/>
          </w:tcPr>
          <w:p w14:paraId="65780DFF"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BDCF9F"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11D2D464"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02ABAB2" w14:textId="77777777" w:rsidR="00776A1F" w:rsidRDefault="00D8574B">
            <w:pPr>
              <w:pStyle w:val="P68B1DB1-Normal8"/>
              <w:spacing w:after="0" w:line="240" w:lineRule="auto"/>
              <w:jc w:val="center"/>
              <w:rPr>
                <w:rFonts w:eastAsia="Times New Roman" w:cs="Calibri"/>
                <w:noProof/>
              </w:rPr>
            </w:pPr>
            <w:r>
              <w:rPr>
                <w:noProof/>
              </w:rPr>
              <w:t>200 000</w:t>
            </w:r>
          </w:p>
        </w:tc>
        <w:tc>
          <w:tcPr>
            <w:tcW w:w="426" w:type="dxa"/>
            <w:shd w:val="clear" w:color="auto" w:fill="C4EFCE"/>
            <w:noWrap/>
            <w:vAlign w:val="center"/>
            <w:hideMark/>
          </w:tcPr>
          <w:p w14:paraId="62492B9C"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2C1ADD8F"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DB28148" w14:textId="409C353B" w:rsidR="00776A1F" w:rsidRDefault="00D8574B">
            <w:pPr>
              <w:pStyle w:val="P68B1DB1-Normal8"/>
              <w:spacing w:after="0" w:line="240" w:lineRule="auto"/>
              <w:jc w:val="both"/>
              <w:rPr>
                <w:rFonts w:eastAsia="Times New Roman" w:cs="Calibri"/>
                <w:noProof/>
              </w:rPr>
            </w:pPr>
            <w:r>
              <w:rPr>
                <w:noProof/>
              </w:rPr>
              <w:t>To apmācības dalībnieku skaits, kuri ir pabeiguši tiešsaistes, klātienes vai jaukta tipa pārkvalifikācijas un prasmju pilnveides apmācības moduli, galveno uzmanību pievēršot digitālajām prasmēm, kas risina Nodarbinātības + digitālajā programmā identificēto ekonomikas nozaru problēmas. Atlasītās ekonomikas nozares ir tās, kas noteiktas 2022. gada 1. ceturkšņa starpposma mērķrādītājā.</w:t>
            </w:r>
          </w:p>
        </w:tc>
      </w:tr>
      <w:tr w:rsidR="00776A1F" w14:paraId="3B45A3FB" w14:textId="77777777">
        <w:trPr>
          <w:trHeight w:val="430"/>
        </w:trPr>
        <w:tc>
          <w:tcPr>
            <w:tcW w:w="1135" w:type="dxa"/>
            <w:shd w:val="clear" w:color="auto" w:fill="C5EFCE"/>
            <w:vAlign w:val="center"/>
            <w:hideMark/>
          </w:tcPr>
          <w:p w14:paraId="49B3BE1C" w14:textId="77777777" w:rsidR="00776A1F" w:rsidRDefault="00D8574B">
            <w:pPr>
              <w:pStyle w:val="P68B1DB1-Normal7"/>
              <w:spacing w:after="0" w:line="240" w:lineRule="auto"/>
              <w:jc w:val="center"/>
              <w:rPr>
                <w:rFonts w:eastAsia="Times New Roman" w:cs="Calibri"/>
                <w:noProof/>
              </w:rPr>
            </w:pPr>
            <w:r>
              <w:rPr>
                <w:noProof/>
              </w:rPr>
              <w:t>16.4</w:t>
            </w:r>
          </w:p>
        </w:tc>
        <w:tc>
          <w:tcPr>
            <w:tcW w:w="1276" w:type="dxa"/>
            <w:shd w:val="clear" w:color="auto" w:fill="C4EFCE"/>
            <w:noWrap/>
            <w:vAlign w:val="center"/>
            <w:hideMark/>
          </w:tcPr>
          <w:p w14:paraId="0F910593" w14:textId="77777777" w:rsidR="00776A1F" w:rsidRDefault="00D8574B">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498FA43B"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69C3E62" w14:textId="77777777" w:rsidR="00776A1F" w:rsidRDefault="00D8574B">
            <w:pPr>
              <w:pStyle w:val="P68B1DB1-Normal8"/>
              <w:spacing w:after="0" w:line="240" w:lineRule="auto"/>
              <w:jc w:val="center"/>
              <w:rPr>
                <w:rFonts w:eastAsia="Times New Roman" w:cs="Calibri"/>
                <w:noProof/>
              </w:rPr>
            </w:pPr>
            <w:r>
              <w:rPr>
                <w:noProof/>
              </w:rPr>
              <w:t>Portugāles Digitālās akadēmijas dalībnieki</w:t>
            </w:r>
          </w:p>
        </w:tc>
        <w:tc>
          <w:tcPr>
            <w:tcW w:w="1275" w:type="dxa"/>
            <w:shd w:val="clear" w:color="auto" w:fill="C4EFCE"/>
            <w:noWrap/>
            <w:vAlign w:val="center"/>
            <w:hideMark/>
          </w:tcPr>
          <w:p w14:paraId="5311EC00"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9790E4"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5E9E7350"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FBAA0E5" w14:textId="755ABA93" w:rsidR="00776A1F" w:rsidRDefault="00D8574B">
            <w:pPr>
              <w:pStyle w:val="P68B1DB1-Normal8"/>
              <w:spacing w:after="0" w:line="240" w:lineRule="auto"/>
              <w:jc w:val="center"/>
              <w:rPr>
                <w:rFonts w:eastAsia="Times New Roman" w:cs="Calibri"/>
                <w:noProof/>
              </w:rPr>
            </w:pPr>
            <w:r>
              <w:rPr>
                <w:noProof/>
              </w:rPr>
              <w:t>500 000</w:t>
            </w:r>
          </w:p>
        </w:tc>
        <w:tc>
          <w:tcPr>
            <w:tcW w:w="426" w:type="dxa"/>
            <w:shd w:val="clear" w:color="auto" w:fill="C4EFCE"/>
            <w:noWrap/>
            <w:vAlign w:val="center"/>
            <w:hideMark/>
          </w:tcPr>
          <w:p w14:paraId="35BB736B"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73479E05"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B4C4465" w14:textId="72846C38" w:rsidR="00776A1F" w:rsidRDefault="00D8574B">
            <w:pPr>
              <w:pStyle w:val="P68B1DB1-Normal8"/>
              <w:spacing w:after="0" w:line="240" w:lineRule="auto"/>
              <w:jc w:val="both"/>
              <w:rPr>
                <w:rFonts w:eastAsia="Times New Roman" w:cs="Calibri"/>
                <w:noProof/>
              </w:rPr>
            </w:pPr>
            <w:r>
              <w:rPr>
                <w:noProof/>
              </w:rPr>
              <w:t>To apmācības dalībnieku skaits, kuri saņēmuši digitālo prasmju diagnostiku. 125000 dalībnieku aizpilda arī tiešsaistes jauktu vai klātienes moduli Portugāles Digitālās akadēmijas programmā.</w:t>
            </w:r>
          </w:p>
          <w:p w14:paraId="1D8610F7" w14:textId="5BE4E11C" w:rsidR="00776A1F" w:rsidRDefault="00D8574B">
            <w:pPr>
              <w:pStyle w:val="P68B1DB1-Normal8"/>
              <w:spacing w:after="0" w:line="240" w:lineRule="auto"/>
              <w:jc w:val="both"/>
              <w:rPr>
                <w:rFonts w:eastAsia="Times New Roman" w:cs="Calibri"/>
                <w:noProof/>
              </w:rPr>
            </w:pPr>
            <w:r>
              <w:rPr>
                <w:noProof/>
              </w:rPr>
              <w:t>Turklāt dara pieejamu piecdesmit jaunizveidotu MOOC.</w:t>
            </w:r>
          </w:p>
        </w:tc>
      </w:tr>
      <w:tr w:rsidR="00776A1F" w14:paraId="36F65094" w14:textId="77777777">
        <w:trPr>
          <w:trHeight w:val="840"/>
        </w:trPr>
        <w:tc>
          <w:tcPr>
            <w:tcW w:w="1135" w:type="dxa"/>
            <w:shd w:val="clear" w:color="auto" w:fill="C5EFCE"/>
            <w:vAlign w:val="center"/>
            <w:hideMark/>
          </w:tcPr>
          <w:p w14:paraId="79B09C43" w14:textId="77777777" w:rsidR="00776A1F" w:rsidRDefault="00D8574B">
            <w:pPr>
              <w:pStyle w:val="P68B1DB1-Normal7"/>
              <w:spacing w:after="0" w:line="240" w:lineRule="auto"/>
              <w:jc w:val="center"/>
              <w:rPr>
                <w:rFonts w:eastAsia="Times New Roman" w:cs="Calibri"/>
                <w:noProof/>
              </w:rPr>
            </w:pPr>
            <w:r>
              <w:rPr>
                <w:noProof/>
              </w:rPr>
              <w:t>16.5</w:t>
            </w:r>
          </w:p>
        </w:tc>
        <w:tc>
          <w:tcPr>
            <w:tcW w:w="1276" w:type="dxa"/>
            <w:shd w:val="clear" w:color="auto" w:fill="C4EFCE"/>
            <w:noWrap/>
            <w:vAlign w:val="center"/>
            <w:hideMark/>
          </w:tcPr>
          <w:p w14:paraId="0767AC81"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2F519593"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E3F188" w14:textId="77777777" w:rsidR="00776A1F" w:rsidRDefault="00D8574B">
            <w:pPr>
              <w:pStyle w:val="P68B1DB1-Normal8"/>
              <w:spacing w:after="0" w:line="240" w:lineRule="auto"/>
              <w:jc w:val="center"/>
              <w:rPr>
                <w:rFonts w:eastAsia="Times New Roman" w:cs="Calibri"/>
                <w:noProof/>
              </w:rPr>
            </w:pPr>
            <w:r>
              <w:rPr>
                <w:noProof/>
              </w:rPr>
              <w:t xml:space="preserve">MVU, kurus atbalsta digitālās komercijas paātrinātāji </w:t>
            </w:r>
          </w:p>
        </w:tc>
        <w:tc>
          <w:tcPr>
            <w:tcW w:w="1275" w:type="dxa"/>
            <w:shd w:val="clear" w:color="auto" w:fill="C4EFCE"/>
            <w:noWrap/>
            <w:vAlign w:val="center"/>
            <w:hideMark/>
          </w:tcPr>
          <w:p w14:paraId="2EB5D309"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6DD7F0"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6101D998"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1F057A08" w14:textId="769CE70E" w:rsidR="00776A1F" w:rsidRDefault="00D8574B">
            <w:pPr>
              <w:pStyle w:val="P68B1DB1-Normal8"/>
              <w:spacing w:after="0" w:line="240" w:lineRule="auto"/>
              <w:jc w:val="center"/>
              <w:rPr>
                <w:rFonts w:eastAsia="Times New Roman" w:cs="Calibri"/>
                <w:noProof/>
              </w:rPr>
            </w:pPr>
            <w:r>
              <w:rPr>
                <w:noProof/>
              </w:rPr>
              <w:t>12 500</w:t>
            </w:r>
          </w:p>
        </w:tc>
        <w:tc>
          <w:tcPr>
            <w:tcW w:w="426" w:type="dxa"/>
            <w:shd w:val="clear" w:color="auto" w:fill="C4EFCE"/>
            <w:noWrap/>
            <w:vAlign w:val="center"/>
            <w:hideMark/>
          </w:tcPr>
          <w:p w14:paraId="30274845"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6E0C3DDB" w14:textId="7C58F5E6"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17110C0" w14:textId="77777777" w:rsidR="00776A1F" w:rsidRDefault="00D8574B">
            <w:pPr>
              <w:pStyle w:val="P68B1DB1-Normal8"/>
              <w:spacing w:after="0" w:line="240" w:lineRule="auto"/>
              <w:jc w:val="both"/>
              <w:rPr>
                <w:rFonts w:eastAsia="Times New Roman" w:cs="Calibri"/>
                <w:noProof/>
              </w:rPr>
            </w:pPr>
            <w:r>
              <w:rPr>
                <w:noProof/>
              </w:rPr>
              <w:t xml:space="preserve">Atbalstīto MVU skaits, izveidojot 25 vietējos, reģionālos vai nozaru digitālās tirdzniecības paātrinātājus, kā arī finanšu stimulu sistēmu MVU uzņēmējdarbības modeļu digitalizācijai. Atbalsts ietver saņēmēju MVU digitalizācijas līmeņa novērtēšanu un diagnostiku, kā arī mērķtiecīgu pakalpojumu un stimulu nodrošināšanu, lai palielinātu digitālo tehnoloģiju ieviešanu saņēmēju uzņēmējdarbības modelī. </w:t>
            </w:r>
          </w:p>
          <w:p w14:paraId="66ADDCA3" w14:textId="10D0B309"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ilgtspējas pārbaudi, izslēgšanas saraksta izmantošanu un prasību par atbilstību attiecīgajiem ES un valsts tiesību aktiem vides jomā.</w:t>
            </w:r>
          </w:p>
        </w:tc>
      </w:tr>
      <w:tr w:rsidR="00776A1F" w14:paraId="5705A32B" w14:textId="77777777">
        <w:trPr>
          <w:trHeight w:val="420"/>
        </w:trPr>
        <w:tc>
          <w:tcPr>
            <w:tcW w:w="1135" w:type="dxa"/>
            <w:shd w:val="clear" w:color="auto" w:fill="C5EFCE"/>
            <w:vAlign w:val="center"/>
            <w:hideMark/>
          </w:tcPr>
          <w:p w14:paraId="000270AE" w14:textId="77777777" w:rsidR="00776A1F" w:rsidRDefault="00D8574B">
            <w:pPr>
              <w:pStyle w:val="P68B1DB1-Normal7"/>
              <w:spacing w:after="0" w:line="240" w:lineRule="auto"/>
              <w:jc w:val="center"/>
              <w:rPr>
                <w:rFonts w:eastAsia="Times New Roman" w:cs="Calibri"/>
                <w:noProof/>
              </w:rPr>
            </w:pPr>
            <w:r>
              <w:rPr>
                <w:noProof/>
              </w:rPr>
              <w:t>16.6</w:t>
            </w:r>
          </w:p>
        </w:tc>
        <w:tc>
          <w:tcPr>
            <w:tcW w:w="1276" w:type="dxa"/>
            <w:shd w:val="clear" w:color="auto" w:fill="C4EFCE"/>
            <w:noWrap/>
            <w:vAlign w:val="center"/>
            <w:hideMark/>
          </w:tcPr>
          <w:p w14:paraId="78A96FDD"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7357B62"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CB16DF" w14:textId="46C25FDB" w:rsidR="00776A1F" w:rsidRDefault="00D8574B">
            <w:pPr>
              <w:pStyle w:val="P68B1DB1-Normal8"/>
              <w:spacing w:after="0" w:line="240" w:lineRule="auto"/>
              <w:jc w:val="center"/>
              <w:rPr>
                <w:rFonts w:eastAsia="Times New Roman" w:cs="Calibri"/>
                <w:noProof/>
              </w:rPr>
            </w:pPr>
            <w:r>
              <w:rPr>
                <w:noProof/>
              </w:rPr>
              <w:t>Izstrādātie valsts testēšanas pamattīkla izmēģinājuma produkti un pakalpojumi</w:t>
            </w:r>
          </w:p>
        </w:tc>
        <w:tc>
          <w:tcPr>
            <w:tcW w:w="1275" w:type="dxa"/>
            <w:shd w:val="clear" w:color="auto" w:fill="C4EFCE"/>
            <w:noWrap/>
            <w:vAlign w:val="center"/>
            <w:hideMark/>
          </w:tcPr>
          <w:p w14:paraId="7F3952A8"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524FBBA"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06DA02CA"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4A9A84A" w14:textId="7BDE7575" w:rsidR="00776A1F" w:rsidRDefault="00D8574B">
            <w:pPr>
              <w:pStyle w:val="P68B1DB1-Normal8"/>
              <w:spacing w:after="0" w:line="240" w:lineRule="auto"/>
              <w:jc w:val="center"/>
              <w:rPr>
                <w:rFonts w:eastAsia="Times New Roman" w:cs="Calibri"/>
                <w:noProof/>
              </w:rPr>
            </w:pPr>
            <w:r>
              <w:rPr>
                <w:noProof/>
              </w:rPr>
              <w:t>600</w:t>
            </w:r>
          </w:p>
        </w:tc>
        <w:tc>
          <w:tcPr>
            <w:tcW w:w="426" w:type="dxa"/>
            <w:shd w:val="clear" w:color="auto" w:fill="C4EFCE"/>
            <w:noWrap/>
            <w:vAlign w:val="center"/>
            <w:hideMark/>
          </w:tcPr>
          <w:p w14:paraId="2BAA25D5" w14:textId="204D01EA"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397A151A" w14:textId="454F43F3"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A17EC12" w14:textId="0CEEA83B" w:rsidR="00776A1F" w:rsidRDefault="00D8574B">
            <w:pPr>
              <w:pStyle w:val="P68B1DB1-Normal8"/>
              <w:spacing w:after="0" w:line="240" w:lineRule="auto"/>
              <w:jc w:val="both"/>
              <w:rPr>
                <w:rFonts w:eastAsia="Times New Roman" w:cs="Calibri"/>
                <w:noProof/>
              </w:rPr>
            </w:pPr>
            <w:r>
              <w:rPr>
                <w:noProof/>
              </w:rPr>
              <w:t xml:space="preserve">Eksperimentālo produktu vai pakalpojumu skaits, kas izstrādāti (ar mērķi sasniegt vismaz 5. tehnoloģiskās gatavības līmeni) valsts testēšanas līniju tīklā. </w:t>
            </w:r>
          </w:p>
          <w:p w14:paraId="1B884D2E" w14:textId="229931CB" w:rsidR="00776A1F" w:rsidRDefault="00D8574B">
            <w:pPr>
              <w:pStyle w:val="P68B1DB1-Normal8"/>
              <w:spacing w:after="0" w:line="240" w:lineRule="auto"/>
              <w:jc w:val="both"/>
              <w:rPr>
                <w:rFonts w:eastAsia="Times New Roman" w:cs="Calibri"/>
                <w:noProof/>
              </w:rPr>
            </w:pPr>
            <w:r>
              <w:rPr>
                <w:noProof/>
              </w:rPr>
              <w:t>Atlases kritēriji nodrošina atbilstību Tehniskajiem norādījumiem “nenodari būtisku kaitējumu” (2021/C58/01) atbalstītajiem darījumiem saskaņā ar šo pasākumu, izmantojot izslēgšanas sarakstu un prasību par atbilstību attiecīgajiem ES un valsts tiesību aktiem vides jomā.</w:t>
            </w:r>
          </w:p>
        </w:tc>
      </w:tr>
      <w:tr w:rsidR="00776A1F" w14:paraId="302E1901" w14:textId="77777777">
        <w:trPr>
          <w:trHeight w:val="920"/>
        </w:trPr>
        <w:tc>
          <w:tcPr>
            <w:tcW w:w="1135" w:type="dxa"/>
            <w:shd w:val="clear" w:color="auto" w:fill="C5EFCE"/>
            <w:vAlign w:val="center"/>
            <w:hideMark/>
          </w:tcPr>
          <w:p w14:paraId="04EB0D69" w14:textId="77777777" w:rsidR="00776A1F" w:rsidRDefault="00D8574B">
            <w:pPr>
              <w:pStyle w:val="P68B1DB1-Normal7"/>
              <w:spacing w:after="0" w:line="240" w:lineRule="auto"/>
              <w:jc w:val="center"/>
              <w:rPr>
                <w:rFonts w:eastAsia="Times New Roman" w:cs="Calibri"/>
                <w:noProof/>
              </w:rPr>
            </w:pPr>
            <w:r>
              <w:rPr>
                <w:noProof/>
              </w:rPr>
              <w:t>16.7</w:t>
            </w:r>
          </w:p>
        </w:tc>
        <w:tc>
          <w:tcPr>
            <w:tcW w:w="1276" w:type="dxa"/>
            <w:shd w:val="clear" w:color="auto" w:fill="C4EFCE"/>
            <w:noWrap/>
            <w:vAlign w:val="center"/>
            <w:hideMark/>
          </w:tcPr>
          <w:p w14:paraId="486E2805"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022E78"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FBD8596" w14:textId="77777777" w:rsidR="00776A1F" w:rsidRDefault="00D8574B">
            <w:pPr>
              <w:pStyle w:val="P68B1DB1-Normal8"/>
              <w:spacing w:after="0" w:line="240" w:lineRule="auto"/>
              <w:jc w:val="center"/>
              <w:rPr>
                <w:rFonts w:eastAsia="Times New Roman" w:cs="Calibri"/>
                <w:noProof/>
              </w:rPr>
            </w:pPr>
            <w:r>
              <w:rPr>
                <w:noProof/>
              </w:rPr>
              <w:t>Testa balsti, kas atlasīti Nacionālajam testa balstu tīklam</w:t>
            </w:r>
          </w:p>
        </w:tc>
        <w:tc>
          <w:tcPr>
            <w:tcW w:w="1275" w:type="dxa"/>
            <w:shd w:val="clear" w:color="auto" w:fill="C4EFCE"/>
            <w:noWrap/>
            <w:vAlign w:val="center"/>
            <w:hideMark/>
          </w:tcPr>
          <w:p w14:paraId="24BABD16" w14:textId="77777777" w:rsidR="00776A1F" w:rsidRDefault="00D8574B">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2AF4B68E"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090C3CF5" w14:textId="77777777" w:rsidR="00776A1F" w:rsidRDefault="00D8574B">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358B2E8A" w14:textId="77777777" w:rsidR="00776A1F" w:rsidRDefault="00D8574B">
            <w:pPr>
              <w:pStyle w:val="P68B1DB1-Normal8"/>
              <w:spacing w:after="0" w:line="240" w:lineRule="auto"/>
              <w:jc w:val="center"/>
              <w:rPr>
                <w:rFonts w:eastAsia="Times New Roman" w:cs="Calibri"/>
                <w:noProof/>
              </w:rPr>
            </w:pPr>
            <w:r>
              <w:rPr>
                <w:noProof/>
              </w:rPr>
              <w:t>30 </w:t>
            </w:r>
          </w:p>
        </w:tc>
        <w:tc>
          <w:tcPr>
            <w:tcW w:w="426" w:type="dxa"/>
            <w:shd w:val="clear" w:color="auto" w:fill="C4EFCE"/>
            <w:noWrap/>
            <w:vAlign w:val="center"/>
            <w:hideMark/>
          </w:tcPr>
          <w:p w14:paraId="37852C11"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0AF84A0B"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3D5DF3F" w14:textId="77777777" w:rsidR="00776A1F" w:rsidRDefault="00D8574B">
            <w:pPr>
              <w:pStyle w:val="P68B1DB1-Normal9"/>
              <w:spacing w:after="0" w:line="240" w:lineRule="auto"/>
              <w:jc w:val="both"/>
              <w:rPr>
                <w:rFonts w:eastAsia="Times New Roman" w:cs="Calibri"/>
                <w:noProof/>
                <w:sz w:val="16"/>
              </w:rPr>
            </w:pPr>
            <w:r>
              <w:rPr>
                <w:noProof/>
                <w:sz w:val="16"/>
              </w:rPr>
              <w:t xml:space="preserve">To testa balstu skaits, kas izraudzīti turpmākai uzstādīšanai kopā ar vajadzīgo aprīkojumu, lai varētu izstrādāt un testēt eksperimentālos produktus Valsts testēšanas pamattīklā. Lai radītu sinerģiju un papildināmību ar DIH tīklu, rūpniecības nozaru un to apakšnozaru pārklājums atbilst digitālās inovācijas centru (DIH) tīklam prognozētajam tvērumam. </w:t>
            </w:r>
          </w:p>
          <w:p w14:paraId="723D2E82" w14:textId="1C437B17"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642663A6" w14:textId="77777777">
        <w:trPr>
          <w:trHeight w:val="420"/>
        </w:trPr>
        <w:tc>
          <w:tcPr>
            <w:tcW w:w="1135" w:type="dxa"/>
            <w:shd w:val="clear" w:color="auto" w:fill="C5EFCE"/>
            <w:vAlign w:val="center"/>
            <w:hideMark/>
          </w:tcPr>
          <w:p w14:paraId="0C199B10" w14:textId="77777777" w:rsidR="00776A1F" w:rsidRDefault="00D8574B">
            <w:pPr>
              <w:pStyle w:val="P68B1DB1-Normal7"/>
              <w:spacing w:after="0" w:line="240" w:lineRule="auto"/>
              <w:jc w:val="center"/>
              <w:rPr>
                <w:rFonts w:eastAsia="Times New Roman" w:cs="Calibri"/>
                <w:noProof/>
              </w:rPr>
            </w:pPr>
            <w:r>
              <w:rPr>
                <w:noProof/>
              </w:rPr>
              <w:t>16.8</w:t>
            </w:r>
          </w:p>
        </w:tc>
        <w:tc>
          <w:tcPr>
            <w:tcW w:w="1276" w:type="dxa"/>
            <w:shd w:val="clear" w:color="auto" w:fill="C4EFCE"/>
            <w:noWrap/>
            <w:vAlign w:val="center"/>
            <w:hideMark/>
          </w:tcPr>
          <w:p w14:paraId="4D5E6E95"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3AC525B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843CFCB" w14:textId="17138ACC" w:rsidR="00776A1F" w:rsidRDefault="00D8574B">
            <w:pPr>
              <w:pStyle w:val="P68B1DB1-Normal8"/>
              <w:spacing w:after="0" w:line="240" w:lineRule="auto"/>
              <w:jc w:val="center"/>
              <w:rPr>
                <w:rFonts w:eastAsia="Times New Roman" w:cs="Calibri"/>
                <w:noProof/>
              </w:rPr>
            </w:pPr>
            <w:r>
              <w:rPr>
                <w:noProof/>
              </w:rPr>
              <w:t xml:space="preserve">Izstrādātie valsts testēšanas pamattīkla izmēģinājuma produkti un pakalpojumi </w:t>
            </w:r>
          </w:p>
        </w:tc>
        <w:tc>
          <w:tcPr>
            <w:tcW w:w="1275" w:type="dxa"/>
            <w:shd w:val="clear" w:color="auto" w:fill="C4EFCE"/>
            <w:noWrap/>
            <w:vAlign w:val="center"/>
            <w:hideMark/>
          </w:tcPr>
          <w:p w14:paraId="1C876615"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163E41C"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4032CDA7" w14:textId="3AB8A8F0" w:rsidR="00776A1F" w:rsidRDefault="00D8574B">
            <w:pPr>
              <w:pStyle w:val="P68B1DB1-Normal8"/>
              <w:spacing w:after="0" w:line="240" w:lineRule="auto"/>
              <w:jc w:val="center"/>
              <w:rPr>
                <w:rFonts w:eastAsia="Times New Roman" w:cs="Calibri"/>
                <w:noProof/>
              </w:rPr>
            </w:pPr>
            <w:r>
              <w:rPr>
                <w:noProof/>
              </w:rPr>
              <w:t>600</w:t>
            </w:r>
          </w:p>
        </w:tc>
        <w:tc>
          <w:tcPr>
            <w:tcW w:w="850" w:type="dxa"/>
            <w:shd w:val="clear" w:color="auto" w:fill="C4EFCE"/>
            <w:noWrap/>
            <w:vAlign w:val="center"/>
            <w:hideMark/>
          </w:tcPr>
          <w:p w14:paraId="78086472" w14:textId="5935E04B" w:rsidR="00776A1F" w:rsidRDefault="00D8574B">
            <w:pPr>
              <w:pStyle w:val="P68B1DB1-Normal8"/>
              <w:spacing w:after="0" w:line="240" w:lineRule="auto"/>
              <w:jc w:val="center"/>
              <w:rPr>
                <w:rFonts w:eastAsia="Times New Roman" w:cs="Calibri"/>
                <w:noProof/>
              </w:rPr>
            </w:pPr>
            <w:r>
              <w:rPr>
                <w:noProof/>
              </w:rPr>
              <w:t>3 000</w:t>
            </w:r>
          </w:p>
        </w:tc>
        <w:tc>
          <w:tcPr>
            <w:tcW w:w="426" w:type="dxa"/>
            <w:shd w:val="clear" w:color="auto" w:fill="C4EFCE"/>
            <w:noWrap/>
            <w:vAlign w:val="center"/>
            <w:hideMark/>
          </w:tcPr>
          <w:p w14:paraId="75024F04"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749E31FA"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5E28F56" w14:textId="02EA86AD" w:rsidR="00776A1F" w:rsidRDefault="00D8574B">
            <w:pPr>
              <w:pStyle w:val="P68B1DB1-Normal8"/>
              <w:spacing w:after="0" w:line="240" w:lineRule="auto"/>
              <w:jc w:val="both"/>
              <w:rPr>
                <w:rFonts w:eastAsia="Times New Roman" w:cs="Calibri"/>
                <w:noProof/>
              </w:rPr>
            </w:pPr>
            <w:r>
              <w:rPr>
                <w:noProof/>
              </w:rPr>
              <w:t xml:space="preserve">To eksperimentālo produktu vai pakalpojumu skaits, kas izstrādāti, lai sasniegtu 5. tehnoloģiju gatavības līmeni) Valsts testēšanas pamattīklā. </w:t>
            </w:r>
          </w:p>
          <w:p w14:paraId="73F048D1" w14:textId="0BEE092C"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5FCAF347" w14:textId="77777777">
        <w:trPr>
          <w:trHeight w:val="1050"/>
        </w:trPr>
        <w:tc>
          <w:tcPr>
            <w:tcW w:w="1135" w:type="dxa"/>
            <w:shd w:val="clear" w:color="auto" w:fill="C5EFCE"/>
            <w:vAlign w:val="center"/>
            <w:hideMark/>
          </w:tcPr>
          <w:p w14:paraId="6A609E24" w14:textId="77777777" w:rsidR="00776A1F" w:rsidRDefault="00D8574B">
            <w:pPr>
              <w:pStyle w:val="P68B1DB1-Normal7"/>
              <w:spacing w:after="0" w:line="240" w:lineRule="auto"/>
              <w:jc w:val="center"/>
              <w:rPr>
                <w:rFonts w:eastAsia="Times New Roman" w:cs="Calibri"/>
                <w:noProof/>
              </w:rPr>
            </w:pPr>
            <w:r>
              <w:rPr>
                <w:noProof/>
              </w:rPr>
              <w:t>16.9</w:t>
            </w:r>
          </w:p>
        </w:tc>
        <w:tc>
          <w:tcPr>
            <w:tcW w:w="1276" w:type="dxa"/>
            <w:shd w:val="clear" w:color="auto" w:fill="C4EFCE"/>
            <w:noWrap/>
            <w:vAlign w:val="center"/>
            <w:hideMark/>
          </w:tcPr>
          <w:p w14:paraId="179FBF25"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6674AFC7"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884E1F" w14:textId="77777777" w:rsidR="00776A1F" w:rsidRDefault="00D8574B">
            <w:pPr>
              <w:pStyle w:val="P68B1DB1-Normal8"/>
              <w:spacing w:after="0" w:line="240" w:lineRule="auto"/>
              <w:jc w:val="center"/>
              <w:rPr>
                <w:rFonts w:eastAsia="Times New Roman" w:cs="Calibri"/>
                <w:noProof/>
              </w:rPr>
            </w:pPr>
            <w:r>
              <w:rPr>
                <w:noProof/>
              </w:rPr>
              <w:t xml:space="preserve">Digitālās tirdzniecības kaimiņreģioni  </w:t>
            </w:r>
          </w:p>
        </w:tc>
        <w:tc>
          <w:tcPr>
            <w:tcW w:w="1275" w:type="dxa"/>
            <w:shd w:val="clear" w:color="auto" w:fill="C4EFCE"/>
            <w:noWrap/>
            <w:vAlign w:val="center"/>
            <w:hideMark/>
          </w:tcPr>
          <w:p w14:paraId="7929B328"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CAF2B3"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37CDAFE5"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8E1A920" w14:textId="7A3D3DC3" w:rsidR="00776A1F" w:rsidRDefault="00D8574B">
            <w:pPr>
              <w:pStyle w:val="P68B1DB1-Normal8"/>
              <w:spacing w:after="0" w:line="240" w:lineRule="auto"/>
              <w:jc w:val="center"/>
              <w:rPr>
                <w:rFonts w:eastAsia="Times New Roman" w:cs="Calibri"/>
                <w:noProof/>
              </w:rPr>
            </w:pPr>
            <w:r>
              <w:rPr>
                <w:noProof/>
              </w:rPr>
              <w:t>75</w:t>
            </w:r>
          </w:p>
        </w:tc>
        <w:tc>
          <w:tcPr>
            <w:tcW w:w="426" w:type="dxa"/>
            <w:shd w:val="clear" w:color="auto" w:fill="C4EFCE"/>
            <w:noWrap/>
            <w:vAlign w:val="center"/>
            <w:hideMark/>
          </w:tcPr>
          <w:p w14:paraId="34220EA9"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199941AA"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A0B7D8F" w14:textId="77777777" w:rsidR="00776A1F" w:rsidRDefault="00D8574B">
            <w:pPr>
              <w:pStyle w:val="P68B1DB1-Normal8"/>
              <w:spacing w:after="0" w:line="240" w:lineRule="auto"/>
              <w:jc w:val="both"/>
              <w:rPr>
                <w:rFonts w:eastAsia="Times New Roman" w:cs="Calibri"/>
                <w:noProof/>
              </w:rPr>
            </w:pPr>
            <w:r>
              <w:rPr>
                <w:noProof/>
              </w:rPr>
              <w:t xml:space="preserve">Digitālās komercijas rajonu skaits pilsētu centros, piepilsētās vai lauku teritorijās. Šie ieguldījumi aptver savienojamību un vietējo digitālo infrastruktūru, jo īpaši esošā aprīkojuma un iekārtu uzstādīšanu (vai modernizēšanu) Wi-fi interneta piekļuves klientiem iepirkšanās zonās. Tas attiecas arī uz paku piegādes pārvaldības tehnoloģisko risinājumu integrēšanu un elektronisko maksāšanas līdzekļu ieviešanu, lai digitalizētu patērētāju pieredzi, kā arī veikalu uzņēmējdarbības modeli. </w:t>
            </w:r>
          </w:p>
          <w:p w14:paraId="2778C930" w14:textId="5EE6DF25"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3DFAB9AF" w14:textId="77777777">
        <w:trPr>
          <w:trHeight w:val="840"/>
        </w:trPr>
        <w:tc>
          <w:tcPr>
            <w:tcW w:w="1135" w:type="dxa"/>
            <w:shd w:val="clear" w:color="auto" w:fill="C5EFCE"/>
            <w:vAlign w:val="center"/>
            <w:hideMark/>
          </w:tcPr>
          <w:p w14:paraId="0F8CC808" w14:textId="77777777" w:rsidR="00776A1F" w:rsidRDefault="00D8574B">
            <w:pPr>
              <w:pStyle w:val="P68B1DB1-Normal7"/>
              <w:spacing w:after="0" w:line="240" w:lineRule="auto"/>
              <w:jc w:val="center"/>
              <w:rPr>
                <w:rFonts w:eastAsia="Times New Roman" w:cs="Calibri"/>
                <w:noProof/>
              </w:rPr>
            </w:pPr>
            <w:r>
              <w:rPr>
                <w:noProof/>
              </w:rPr>
              <w:t>16.10</w:t>
            </w:r>
          </w:p>
        </w:tc>
        <w:tc>
          <w:tcPr>
            <w:tcW w:w="1276" w:type="dxa"/>
            <w:shd w:val="clear" w:color="auto" w:fill="C4EFCE"/>
            <w:noWrap/>
            <w:vAlign w:val="center"/>
            <w:hideMark/>
          </w:tcPr>
          <w:p w14:paraId="26E29367"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5D3DAE9B"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260687F" w14:textId="77777777" w:rsidR="00776A1F" w:rsidRDefault="00D8574B">
            <w:pPr>
              <w:pStyle w:val="P68B1DB1-Normal8"/>
              <w:spacing w:after="0" w:line="240" w:lineRule="auto"/>
              <w:jc w:val="center"/>
              <w:rPr>
                <w:rFonts w:eastAsia="Times New Roman" w:cs="Calibri"/>
                <w:noProof/>
              </w:rPr>
            </w:pPr>
            <w:r>
              <w:rPr>
                <w:noProof/>
              </w:rPr>
              <w:t xml:space="preserve">MVU, kurus atbalsta digitālās komercijas paātrinātāji </w:t>
            </w:r>
          </w:p>
        </w:tc>
        <w:tc>
          <w:tcPr>
            <w:tcW w:w="1275" w:type="dxa"/>
            <w:shd w:val="clear" w:color="auto" w:fill="C4EFCE"/>
            <w:noWrap/>
            <w:vAlign w:val="center"/>
            <w:hideMark/>
          </w:tcPr>
          <w:p w14:paraId="67959119"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EC586D"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59094076" w14:textId="1A775469" w:rsidR="00776A1F" w:rsidRDefault="00D8574B">
            <w:pPr>
              <w:pStyle w:val="P68B1DB1-Normal8"/>
              <w:spacing w:after="0" w:line="240" w:lineRule="auto"/>
              <w:jc w:val="center"/>
              <w:rPr>
                <w:rFonts w:eastAsia="Times New Roman" w:cs="Calibri"/>
                <w:noProof/>
              </w:rPr>
            </w:pPr>
            <w:r>
              <w:rPr>
                <w:noProof/>
              </w:rPr>
              <w:t>12 500</w:t>
            </w:r>
          </w:p>
        </w:tc>
        <w:tc>
          <w:tcPr>
            <w:tcW w:w="850" w:type="dxa"/>
            <w:shd w:val="clear" w:color="auto" w:fill="C4EFCE"/>
            <w:noWrap/>
            <w:vAlign w:val="center"/>
            <w:hideMark/>
          </w:tcPr>
          <w:p w14:paraId="52FADA3D" w14:textId="6EEE0035" w:rsidR="00776A1F" w:rsidRDefault="00D8574B">
            <w:pPr>
              <w:pStyle w:val="P68B1DB1-Normal8"/>
              <w:spacing w:after="0" w:line="240" w:lineRule="auto"/>
              <w:jc w:val="center"/>
              <w:rPr>
                <w:rFonts w:eastAsia="Times New Roman" w:cs="Calibri"/>
                <w:noProof/>
              </w:rPr>
            </w:pPr>
            <w:r>
              <w:rPr>
                <w:noProof/>
              </w:rPr>
              <w:t>25 000</w:t>
            </w:r>
          </w:p>
        </w:tc>
        <w:tc>
          <w:tcPr>
            <w:tcW w:w="426" w:type="dxa"/>
            <w:shd w:val="clear" w:color="auto" w:fill="C4EFCE"/>
            <w:noWrap/>
            <w:vAlign w:val="center"/>
            <w:hideMark/>
          </w:tcPr>
          <w:p w14:paraId="7C933B29"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37518E67" w14:textId="78F8B329"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308F67E" w14:textId="77777777" w:rsidR="00776A1F" w:rsidRDefault="00D8574B">
            <w:pPr>
              <w:pStyle w:val="P68B1DB1-Normal8"/>
              <w:spacing w:after="0" w:line="240" w:lineRule="auto"/>
              <w:jc w:val="both"/>
              <w:rPr>
                <w:rFonts w:eastAsia="Times New Roman" w:cs="Calibri"/>
                <w:noProof/>
              </w:rPr>
            </w:pPr>
            <w:r>
              <w:rPr>
                <w:noProof/>
              </w:rPr>
              <w:t xml:space="preserve">Atbalstīto MVU skaits, izveidojot 25 vietējos, reģionālos vai nozaru digitālās tirdzniecības paātrinātājus, kā arī finanšu stimulu sistēmu MVU uzņēmējdarbības modeļu digitalizācijai. Atbalsts ietver saņēmēju MVU digitalizācijas līmeņa novērtēšanu un diagnostiku, kā arī mērķtiecīgu pakalpojumu un stimulu nodrošināšanu, lai palielinātu digitālo tehnoloģiju ieviešanu saņēmēju uzņēmējdarbības modelī. </w:t>
            </w:r>
          </w:p>
          <w:p w14:paraId="4ED0DEA8" w14:textId="4B2A5B9A"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ilgtspējas pārbaudi, izslēgšanas saraksta izmantošanu un prasību par atbilstību attiecīgajiem ES un valsts tiesību aktiem vides jomā.</w:t>
            </w:r>
          </w:p>
        </w:tc>
      </w:tr>
      <w:tr w:rsidR="00776A1F" w14:paraId="2F71EA50" w14:textId="77777777">
        <w:trPr>
          <w:trHeight w:val="840"/>
        </w:trPr>
        <w:tc>
          <w:tcPr>
            <w:tcW w:w="1135" w:type="dxa"/>
            <w:shd w:val="clear" w:color="auto" w:fill="C5EFCE"/>
            <w:vAlign w:val="center"/>
            <w:hideMark/>
          </w:tcPr>
          <w:p w14:paraId="3D28E0B0" w14:textId="77777777" w:rsidR="00776A1F" w:rsidRDefault="00D8574B">
            <w:pPr>
              <w:pStyle w:val="P68B1DB1-Normal7"/>
              <w:spacing w:after="0" w:line="240" w:lineRule="auto"/>
              <w:jc w:val="center"/>
              <w:rPr>
                <w:rFonts w:eastAsia="Times New Roman" w:cs="Calibri"/>
                <w:noProof/>
              </w:rPr>
            </w:pPr>
            <w:r>
              <w:rPr>
                <w:noProof/>
              </w:rPr>
              <w:t>16.11</w:t>
            </w:r>
          </w:p>
        </w:tc>
        <w:tc>
          <w:tcPr>
            <w:tcW w:w="1276" w:type="dxa"/>
            <w:shd w:val="clear" w:color="auto" w:fill="C4EFCE"/>
            <w:noWrap/>
            <w:vAlign w:val="center"/>
            <w:hideMark/>
          </w:tcPr>
          <w:p w14:paraId="644097FA"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D133C12"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F447BF" w14:textId="77777777" w:rsidR="00776A1F" w:rsidRDefault="00D8574B">
            <w:pPr>
              <w:pStyle w:val="P68B1DB1-Normal8"/>
              <w:spacing w:after="0" w:line="240" w:lineRule="auto"/>
              <w:jc w:val="center"/>
              <w:rPr>
                <w:rFonts w:eastAsia="Times New Roman" w:cs="Calibri"/>
                <w:noProof/>
              </w:rPr>
            </w:pPr>
            <w:r>
              <w:rPr>
                <w:noProof/>
              </w:rPr>
              <w:t>MVU un jaunuzņēmumu inkubatori, ko tieši atbalsta digitalizācijas programmas</w:t>
            </w:r>
          </w:p>
        </w:tc>
        <w:tc>
          <w:tcPr>
            <w:tcW w:w="1275" w:type="dxa"/>
            <w:shd w:val="clear" w:color="auto" w:fill="C4EFCE"/>
            <w:noWrap/>
            <w:vAlign w:val="center"/>
            <w:hideMark/>
          </w:tcPr>
          <w:p w14:paraId="07712FA0"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C3CBA4F"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60C4307B"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84B8F8" w14:textId="3B8AD6B5" w:rsidR="00776A1F" w:rsidRDefault="00D8574B">
            <w:pPr>
              <w:pStyle w:val="P68B1DB1-Normal8"/>
              <w:spacing w:after="0" w:line="240" w:lineRule="auto"/>
              <w:jc w:val="center"/>
              <w:rPr>
                <w:rFonts w:eastAsia="Times New Roman" w:cs="Calibri"/>
                <w:noProof/>
              </w:rPr>
            </w:pPr>
            <w:r>
              <w:rPr>
                <w:noProof/>
              </w:rPr>
              <w:t>8 600</w:t>
            </w:r>
          </w:p>
        </w:tc>
        <w:tc>
          <w:tcPr>
            <w:tcW w:w="426" w:type="dxa"/>
            <w:shd w:val="clear" w:color="auto" w:fill="C4EFCE"/>
            <w:noWrap/>
            <w:vAlign w:val="center"/>
            <w:hideMark/>
          </w:tcPr>
          <w:p w14:paraId="3BB8FD93"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42E4D76E"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019B1A1" w14:textId="514E9783" w:rsidR="00776A1F" w:rsidRDefault="00D8574B">
            <w:pPr>
              <w:pStyle w:val="P68B1DB1-Normal8"/>
              <w:spacing w:after="0" w:line="240" w:lineRule="auto"/>
              <w:jc w:val="both"/>
              <w:rPr>
                <w:rFonts w:eastAsia="Times New Roman" w:cs="Calibri"/>
                <w:noProof/>
              </w:rPr>
            </w:pPr>
            <w:r>
              <w:rPr>
                <w:noProof/>
              </w:rPr>
              <w:t xml:space="preserve">MVU (8500) un jaunuzņēmumu inkubatoru (100) skaits, kurus atbalsta viena no šādām programmām: Internacionalizācija, izmantojot e-komerciju; 2) 4.0 sadarbības darbības, ar kurām atbalsta uzņēmējdarbības modeļus digitālajai pārejai; 3) jaunizveidotu uzņēmumu kuponi jaunu zaļo un digitālo produktu izstrādei; 4) jaunizveidotu uzņēmumu inkubatoriem un paātrinātājiem to tehnoloģiju attīstībai. </w:t>
            </w:r>
          </w:p>
          <w:p w14:paraId="6029676F" w14:textId="7C82C703"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38A52C15" w14:textId="77777777">
        <w:trPr>
          <w:trHeight w:val="1643"/>
        </w:trPr>
        <w:tc>
          <w:tcPr>
            <w:tcW w:w="1135" w:type="dxa"/>
            <w:shd w:val="clear" w:color="auto" w:fill="C5EFCE"/>
            <w:vAlign w:val="center"/>
            <w:hideMark/>
          </w:tcPr>
          <w:p w14:paraId="4CAE8DE6" w14:textId="77777777" w:rsidR="00776A1F" w:rsidRDefault="00D8574B">
            <w:pPr>
              <w:pStyle w:val="P68B1DB1-Normal7"/>
              <w:spacing w:after="0" w:line="240" w:lineRule="auto"/>
              <w:jc w:val="center"/>
              <w:rPr>
                <w:rFonts w:eastAsia="Times New Roman" w:cs="Calibri"/>
                <w:noProof/>
              </w:rPr>
            </w:pPr>
            <w:r>
              <w:rPr>
                <w:noProof/>
              </w:rPr>
              <w:t>16.12</w:t>
            </w:r>
          </w:p>
        </w:tc>
        <w:tc>
          <w:tcPr>
            <w:tcW w:w="1276" w:type="dxa"/>
            <w:shd w:val="clear" w:color="auto" w:fill="C4EFCE"/>
            <w:noWrap/>
            <w:vAlign w:val="center"/>
            <w:hideMark/>
          </w:tcPr>
          <w:p w14:paraId="5F867C02" w14:textId="77777777" w:rsidR="00776A1F" w:rsidRDefault="00D8574B">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502F32"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02F5C2B" w14:textId="77777777" w:rsidR="00776A1F" w:rsidRDefault="00D8574B">
            <w:pPr>
              <w:pStyle w:val="P68B1DB1-Normal8"/>
              <w:spacing w:after="0" w:line="240" w:lineRule="auto"/>
              <w:jc w:val="center"/>
              <w:rPr>
                <w:rFonts w:eastAsia="Times New Roman" w:cs="Calibri"/>
                <w:noProof/>
              </w:rPr>
            </w:pPr>
            <w:r>
              <w:rPr>
                <w:noProof/>
              </w:rPr>
              <w:t>Jaunizveidotie uzņēmumi, kas kartēti Portugāles jaunuzņēmumu platformā</w:t>
            </w:r>
          </w:p>
        </w:tc>
        <w:tc>
          <w:tcPr>
            <w:tcW w:w="1275" w:type="dxa"/>
            <w:shd w:val="clear" w:color="auto" w:fill="C4EFCE"/>
            <w:noWrap/>
            <w:vAlign w:val="center"/>
            <w:hideMark/>
          </w:tcPr>
          <w:p w14:paraId="23EFB0A5"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D58674F"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0380127A"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3517E74" w14:textId="77777777" w:rsidR="00776A1F" w:rsidRDefault="00D8574B">
            <w:pPr>
              <w:pStyle w:val="P68B1DB1-Normal8"/>
              <w:spacing w:after="0" w:line="240" w:lineRule="auto"/>
              <w:jc w:val="center"/>
              <w:rPr>
                <w:rFonts w:eastAsia="Times New Roman" w:cs="Calibri"/>
                <w:noProof/>
              </w:rPr>
            </w:pPr>
            <w:r>
              <w:rPr>
                <w:noProof/>
              </w:rPr>
              <w:t>5 000</w:t>
            </w:r>
          </w:p>
        </w:tc>
        <w:tc>
          <w:tcPr>
            <w:tcW w:w="426" w:type="dxa"/>
            <w:shd w:val="clear" w:color="auto" w:fill="C4EFCE"/>
            <w:noWrap/>
            <w:vAlign w:val="center"/>
            <w:hideMark/>
          </w:tcPr>
          <w:p w14:paraId="486D0174"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18DDACC3"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B3984B8" w14:textId="77777777" w:rsidR="00776A1F" w:rsidRDefault="00D8574B">
            <w:pPr>
              <w:pStyle w:val="P68B1DB1-Normal8"/>
              <w:spacing w:after="0" w:line="240" w:lineRule="auto"/>
              <w:jc w:val="both"/>
              <w:rPr>
                <w:rFonts w:eastAsia="Times New Roman" w:cs="Calibri"/>
                <w:noProof/>
              </w:rPr>
            </w:pPr>
            <w:r>
              <w:rPr>
                <w:noProof/>
              </w:rPr>
              <w:t>Jaunuzņēmumu skaits, norādot to galvenos uzņēmējdarbības raksturlielumus Portugāles jaunuzņēmumu platformā. Jaunā platforma uzrauga jaunuzņēmumu ekosistēmu, jo īpaši, bet ne tikai, uz digitālo uzņēmējdarbību. Platformu dara pieejamu visai ekosistēmai (jaunuzņēmumiem, ieguldītājiem, paātrinātājiem/inkubatoriem, publiskām struktūrām).</w:t>
            </w:r>
          </w:p>
        </w:tc>
      </w:tr>
      <w:tr w:rsidR="00776A1F" w14:paraId="7350D2DA" w14:textId="77777777">
        <w:trPr>
          <w:trHeight w:val="840"/>
        </w:trPr>
        <w:tc>
          <w:tcPr>
            <w:tcW w:w="1135" w:type="dxa"/>
            <w:shd w:val="clear" w:color="auto" w:fill="C5EFCE"/>
            <w:vAlign w:val="center"/>
            <w:hideMark/>
          </w:tcPr>
          <w:p w14:paraId="33990609" w14:textId="77777777" w:rsidR="00776A1F" w:rsidRDefault="00D8574B">
            <w:pPr>
              <w:pStyle w:val="P68B1DB1-Normal7"/>
              <w:spacing w:after="0" w:line="240" w:lineRule="auto"/>
              <w:jc w:val="center"/>
              <w:rPr>
                <w:rFonts w:eastAsia="Times New Roman" w:cs="Calibri"/>
                <w:noProof/>
              </w:rPr>
            </w:pPr>
            <w:r>
              <w:rPr>
                <w:noProof/>
              </w:rPr>
              <w:t>16.13</w:t>
            </w:r>
          </w:p>
        </w:tc>
        <w:tc>
          <w:tcPr>
            <w:tcW w:w="1276" w:type="dxa"/>
            <w:shd w:val="clear" w:color="auto" w:fill="C4EFCE"/>
            <w:noWrap/>
            <w:vAlign w:val="center"/>
            <w:hideMark/>
          </w:tcPr>
          <w:p w14:paraId="10894A09" w14:textId="77777777" w:rsidR="00776A1F" w:rsidRDefault="00D8574B">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7DE9E8AC"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190118A" w14:textId="77777777" w:rsidR="00776A1F" w:rsidRDefault="00D8574B">
            <w:pPr>
              <w:pStyle w:val="P68B1DB1-Normal8"/>
              <w:spacing w:after="0" w:line="240" w:lineRule="auto"/>
              <w:jc w:val="center"/>
              <w:rPr>
                <w:rFonts w:eastAsia="Times New Roman" w:cs="Calibri"/>
                <w:noProof/>
              </w:rPr>
            </w:pPr>
            <w:r>
              <w:rPr>
                <w:noProof/>
              </w:rPr>
              <w:t xml:space="preserve">Digitālās inovācijas centri (DIH) </w:t>
            </w:r>
          </w:p>
        </w:tc>
        <w:tc>
          <w:tcPr>
            <w:tcW w:w="1275" w:type="dxa"/>
            <w:shd w:val="clear" w:color="auto" w:fill="C4EFCE"/>
            <w:noWrap/>
            <w:vAlign w:val="center"/>
            <w:hideMark/>
          </w:tcPr>
          <w:p w14:paraId="5EFD82C5" w14:textId="77777777" w:rsidR="00776A1F" w:rsidRDefault="00D8574B">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3E8E9CC7" w14:textId="77777777" w:rsidR="00776A1F" w:rsidRDefault="00D8574B">
            <w:pPr>
              <w:pStyle w:val="P68B1DB1-Normal8"/>
              <w:spacing w:after="0" w:line="240" w:lineRule="auto"/>
              <w:jc w:val="center"/>
              <w:rPr>
                <w:rFonts w:eastAsia="Times New Roman" w:cs="Calibri"/>
                <w:noProof/>
              </w:rPr>
            </w:pPr>
            <w:r>
              <w:rPr>
                <w:noProof/>
              </w:rPr>
              <w:t> Skaits</w:t>
            </w:r>
          </w:p>
        </w:tc>
        <w:tc>
          <w:tcPr>
            <w:tcW w:w="992" w:type="dxa"/>
            <w:shd w:val="clear" w:color="auto" w:fill="C4EFCE"/>
            <w:noWrap/>
            <w:vAlign w:val="center"/>
            <w:hideMark/>
          </w:tcPr>
          <w:p w14:paraId="002156A3" w14:textId="77777777" w:rsidR="00776A1F" w:rsidRDefault="00D8574B">
            <w:pPr>
              <w:pStyle w:val="P68B1DB1-Normal8"/>
              <w:spacing w:after="0" w:line="240" w:lineRule="auto"/>
              <w:jc w:val="center"/>
              <w:rPr>
                <w:rFonts w:eastAsia="Times New Roman" w:cs="Calibri"/>
                <w:noProof/>
              </w:rPr>
            </w:pPr>
            <w:r>
              <w:rPr>
                <w:noProof/>
              </w:rPr>
              <w:t>0 </w:t>
            </w:r>
          </w:p>
        </w:tc>
        <w:tc>
          <w:tcPr>
            <w:tcW w:w="850" w:type="dxa"/>
            <w:shd w:val="clear" w:color="auto" w:fill="C4EFCE"/>
            <w:noWrap/>
            <w:vAlign w:val="center"/>
            <w:hideMark/>
          </w:tcPr>
          <w:p w14:paraId="1A05649D" w14:textId="77777777" w:rsidR="00776A1F" w:rsidRDefault="00D8574B">
            <w:pPr>
              <w:pStyle w:val="P68B1DB1-Normal8"/>
              <w:spacing w:after="0" w:line="240" w:lineRule="auto"/>
              <w:jc w:val="center"/>
              <w:rPr>
                <w:rFonts w:eastAsia="Times New Roman" w:cs="Calibri"/>
                <w:noProof/>
              </w:rPr>
            </w:pPr>
            <w:r>
              <w:rPr>
                <w:noProof/>
              </w:rPr>
              <w:t>16 </w:t>
            </w:r>
          </w:p>
        </w:tc>
        <w:tc>
          <w:tcPr>
            <w:tcW w:w="426" w:type="dxa"/>
            <w:shd w:val="clear" w:color="auto" w:fill="C4EFCE"/>
            <w:noWrap/>
            <w:vAlign w:val="center"/>
            <w:hideMark/>
          </w:tcPr>
          <w:p w14:paraId="5BF193C2"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DBE4E93"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4DEDE547" w14:textId="77777777" w:rsidR="00776A1F" w:rsidRDefault="00D8574B">
            <w:pPr>
              <w:pStyle w:val="P68B1DB1-Normal8"/>
              <w:spacing w:after="0" w:line="240" w:lineRule="auto"/>
              <w:jc w:val="both"/>
              <w:rPr>
                <w:rFonts w:eastAsia="Times New Roman" w:cs="Calibri"/>
                <w:noProof/>
              </w:rPr>
            </w:pPr>
            <w:r>
              <w:rPr>
                <w:noProof/>
              </w:rPr>
              <w:t xml:space="preserve">To DIC konsorciju skaits, kas atlasīti, apstiprinot piedāvājumus. Katra DIC izveide pēc tam nozīmē inkubatora/paātrinātāja izveidi, lai veicinātu uzņēmējdarbības ekosistēmu, kas saistīta ar centrmezgla aptvertajām nozarēm. Šīs investīcijas stiprina un papildina tīklu, kas jau tiek izstrādāts programmas “Digitālā Eiropa” ietvaros. </w:t>
            </w:r>
          </w:p>
          <w:p w14:paraId="68D94C4B" w14:textId="6D8CCEFE"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79AB1DD3" w14:textId="77777777">
        <w:trPr>
          <w:trHeight w:val="1260"/>
        </w:trPr>
        <w:tc>
          <w:tcPr>
            <w:tcW w:w="1135" w:type="dxa"/>
            <w:shd w:val="clear" w:color="auto" w:fill="C5EFCE"/>
            <w:vAlign w:val="center"/>
            <w:hideMark/>
          </w:tcPr>
          <w:p w14:paraId="5646FF40" w14:textId="77777777" w:rsidR="00776A1F" w:rsidRDefault="00D8574B">
            <w:pPr>
              <w:pStyle w:val="P68B1DB1-Normal7"/>
              <w:spacing w:after="0" w:line="240" w:lineRule="auto"/>
              <w:jc w:val="center"/>
              <w:rPr>
                <w:rFonts w:eastAsia="Times New Roman" w:cs="Calibri"/>
                <w:noProof/>
              </w:rPr>
            </w:pPr>
            <w:r>
              <w:rPr>
                <w:noProof/>
              </w:rPr>
              <w:t>16.14</w:t>
            </w:r>
          </w:p>
        </w:tc>
        <w:tc>
          <w:tcPr>
            <w:tcW w:w="1276" w:type="dxa"/>
            <w:shd w:val="clear" w:color="auto" w:fill="C4EFCE"/>
            <w:noWrap/>
            <w:vAlign w:val="center"/>
            <w:hideMark/>
          </w:tcPr>
          <w:p w14:paraId="7CBB2F82" w14:textId="77777777" w:rsidR="00776A1F" w:rsidRDefault="00D8574B">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341A98B2"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B60B1E9" w14:textId="4F175647" w:rsidR="00776A1F" w:rsidRDefault="00D8574B">
            <w:pPr>
              <w:pStyle w:val="P68B1DB1-Normal8"/>
              <w:spacing w:after="0" w:line="240" w:lineRule="auto"/>
              <w:jc w:val="center"/>
              <w:rPr>
                <w:rFonts w:eastAsia="Times New Roman" w:cs="Calibri"/>
                <w:noProof/>
              </w:rPr>
            </w:pPr>
            <w:r>
              <w:rPr>
                <w:noProof/>
              </w:rPr>
              <w:t>Pakalpojumu izveide digitālo rēķinu nosūtīšanai un kiberdrošībai, privātumam, izmantojamībai un ilgtspējas sertifikācijai</w:t>
            </w:r>
          </w:p>
        </w:tc>
        <w:tc>
          <w:tcPr>
            <w:tcW w:w="1275" w:type="dxa"/>
            <w:shd w:val="clear" w:color="auto" w:fill="C4EFCE"/>
            <w:noWrap/>
            <w:vAlign w:val="center"/>
            <w:hideMark/>
          </w:tcPr>
          <w:p w14:paraId="47964243" w14:textId="23D0FDDC" w:rsidR="00776A1F" w:rsidRDefault="00D8574B">
            <w:pPr>
              <w:pStyle w:val="P68B1DB1-Normal8"/>
              <w:spacing w:after="0" w:line="240" w:lineRule="auto"/>
              <w:jc w:val="center"/>
              <w:rPr>
                <w:rFonts w:eastAsia="Times New Roman" w:cs="Calibri"/>
                <w:noProof/>
              </w:rPr>
            </w:pPr>
            <w:r>
              <w:rPr>
                <w:noProof/>
              </w:rPr>
              <w:t>Pakalpojumu izveide digitālo rēķinu nosūtīšanai un kiberdrošībai, privātumam, izmantojamībai un ilgtspējas sertifikācijai</w:t>
            </w:r>
          </w:p>
        </w:tc>
        <w:tc>
          <w:tcPr>
            <w:tcW w:w="993" w:type="dxa"/>
            <w:shd w:val="clear" w:color="auto" w:fill="C4EFCE"/>
            <w:noWrap/>
            <w:vAlign w:val="center"/>
            <w:hideMark/>
          </w:tcPr>
          <w:p w14:paraId="6A78DFAD"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29D9CC" w14:textId="77777777" w:rsidR="00776A1F" w:rsidRDefault="00D8574B">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2953ACD" w14:textId="77777777" w:rsidR="00776A1F" w:rsidRDefault="00D8574B">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61FDC68D"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FB707A1" w14:textId="4D55CBE4" w:rsidR="00776A1F" w:rsidRDefault="00D8574B">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47407F89" w14:textId="556CFAD8" w:rsidR="00776A1F" w:rsidRDefault="00D8574B">
            <w:pPr>
              <w:pStyle w:val="P68B1DB1-Normal8"/>
              <w:spacing w:after="0" w:line="240" w:lineRule="auto"/>
              <w:jc w:val="both"/>
              <w:rPr>
                <w:rFonts w:eastAsia="Times New Roman" w:cs="Calibri"/>
                <w:noProof/>
              </w:rPr>
            </w:pPr>
            <w:r>
              <w:rPr>
                <w:noProof/>
              </w:rPr>
              <w:t xml:space="preserve">Izveido piecus jaunus pakalpojumus: Digitālo rēķinu nosūtīšana; un 2) kiberdrošības sertifikācija, 3) privātuma sertifikācija, 4) izmantojamības sertifikācija un 5) ilgtspējas sertifikācija; tostarp saistītās informācijas izplatīšanas kampaņas par visiem pakalpojumiem. Sertifikācijas dienesti atbalsta pieteikumus un sertifikācijas pieprasījumu iesniegšanu, procesu pārvaldību, izdoto sertifikātu un zīmogu izdošanu un centralizēto repozitoriju. Sertifikācijas dienesti atbalsta arī saziņu starp visiem procesos iesaistītajiem partneriem un struktūrām, kā arī sagatavo procedūras datus, kas attiecas uz programmas uzraudzību. </w:t>
            </w:r>
          </w:p>
          <w:p w14:paraId="0BACA7B9" w14:textId="50E00C55" w:rsidR="00776A1F" w:rsidRDefault="00D8574B">
            <w:pPr>
              <w:pStyle w:val="P68B1DB1-Normal8"/>
              <w:spacing w:after="0" w:line="240" w:lineRule="auto"/>
              <w:jc w:val="both"/>
              <w:rPr>
                <w:rFonts w:eastAsia="Times New Roman" w:cs="Calibri"/>
                <w:noProof/>
              </w:rPr>
            </w:pPr>
            <w:r>
              <w:rPr>
                <w:noProof/>
              </w:rPr>
              <w:t>Pakalpojumiem jābūt operatīviem un pieejamiem paredzētajiem lietotājiem.</w:t>
            </w:r>
          </w:p>
        </w:tc>
      </w:tr>
      <w:tr w:rsidR="00776A1F" w14:paraId="6CC3F169" w14:textId="77777777">
        <w:trPr>
          <w:trHeight w:val="420"/>
        </w:trPr>
        <w:tc>
          <w:tcPr>
            <w:tcW w:w="1135" w:type="dxa"/>
            <w:shd w:val="clear" w:color="auto" w:fill="C5EFCE"/>
            <w:vAlign w:val="center"/>
            <w:hideMark/>
          </w:tcPr>
          <w:p w14:paraId="1DB80902" w14:textId="77777777" w:rsidR="00776A1F" w:rsidRDefault="00D8574B">
            <w:pPr>
              <w:pStyle w:val="P68B1DB1-Normal7"/>
              <w:spacing w:after="0" w:line="240" w:lineRule="auto"/>
              <w:jc w:val="center"/>
              <w:rPr>
                <w:rFonts w:eastAsia="Times New Roman" w:cs="Calibri"/>
                <w:noProof/>
              </w:rPr>
            </w:pPr>
            <w:r>
              <w:rPr>
                <w:noProof/>
              </w:rPr>
              <w:t>16.15</w:t>
            </w:r>
          </w:p>
        </w:tc>
        <w:tc>
          <w:tcPr>
            <w:tcW w:w="1276" w:type="dxa"/>
            <w:shd w:val="clear" w:color="auto" w:fill="C4EFCE"/>
            <w:noWrap/>
            <w:vAlign w:val="center"/>
            <w:hideMark/>
          </w:tcPr>
          <w:p w14:paraId="383E4833" w14:textId="77777777" w:rsidR="00776A1F" w:rsidRDefault="00D8574B">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4864A86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89CD254" w14:textId="77777777" w:rsidR="00776A1F" w:rsidRDefault="00D8574B">
            <w:pPr>
              <w:pStyle w:val="P68B1DB1-Normal8"/>
              <w:spacing w:after="0" w:line="240" w:lineRule="auto"/>
              <w:jc w:val="center"/>
              <w:rPr>
                <w:rFonts w:eastAsia="Times New Roman" w:cs="Calibri"/>
                <w:noProof/>
              </w:rPr>
            </w:pPr>
            <w:r>
              <w:rPr>
                <w:noProof/>
              </w:rPr>
              <w:t xml:space="preserve">Digitālās inovācijas centru konsultāciju pakalpojumu saņēmēji </w:t>
            </w:r>
          </w:p>
        </w:tc>
        <w:tc>
          <w:tcPr>
            <w:tcW w:w="1275" w:type="dxa"/>
            <w:shd w:val="clear" w:color="auto" w:fill="C4EFCE"/>
            <w:noWrap/>
            <w:vAlign w:val="center"/>
            <w:hideMark/>
          </w:tcPr>
          <w:p w14:paraId="133DBDBB"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A460E9"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3726AA67" w14:textId="77777777" w:rsidR="00776A1F" w:rsidRDefault="00D8574B">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641080" w14:textId="77777777" w:rsidR="00776A1F" w:rsidRDefault="00D8574B">
            <w:pPr>
              <w:pStyle w:val="P68B1DB1-Normal8"/>
              <w:spacing w:after="0" w:line="240" w:lineRule="auto"/>
              <w:jc w:val="center"/>
              <w:rPr>
                <w:rFonts w:eastAsia="Times New Roman" w:cs="Calibri"/>
                <w:noProof/>
              </w:rPr>
            </w:pPr>
            <w:r>
              <w:rPr>
                <w:noProof/>
              </w:rPr>
              <w:t>4 000</w:t>
            </w:r>
          </w:p>
        </w:tc>
        <w:tc>
          <w:tcPr>
            <w:tcW w:w="426" w:type="dxa"/>
            <w:shd w:val="clear" w:color="auto" w:fill="C4EFCE"/>
            <w:noWrap/>
            <w:vAlign w:val="center"/>
            <w:hideMark/>
          </w:tcPr>
          <w:p w14:paraId="56D9EB98" w14:textId="7777777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hideMark/>
          </w:tcPr>
          <w:p w14:paraId="0130120B"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636AA94" w14:textId="0B784B8C" w:rsidR="00776A1F" w:rsidRDefault="00D8574B">
            <w:pPr>
              <w:pStyle w:val="P68B1DB1-Normal8"/>
              <w:spacing w:after="0" w:line="240" w:lineRule="auto"/>
              <w:jc w:val="both"/>
              <w:rPr>
                <w:rFonts w:eastAsia="Times New Roman" w:cs="Calibri"/>
                <w:noProof/>
              </w:rPr>
            </w:pPr>
            <w:r>
              <w:rPr>
                <w:noProof/>
              </w:rPr>
              <w:t xml:space="preserve">To uzņēmumu un publisko tiesību subjektu skaits, kuri saņēma konsultāciju pakalpojumus no digitālās inovācijas centru tīkla, lai uzlabotu zināšanu un ražošanas procesus, automatizējot vai integrējot revolucionāras tehnoloģijas. </w:t>
            </w:r>
          </w:p>
          <w:p w14:paraId="5AE72FC4" w14:textId="77777777" w:rsidR="00776A1F" w:rsidRDefault="00776A1F">
            <w:pPr>
              <w:spacing w:after="0" w:line="240" w:lineRule="auto"/>
              <w:jc w:val="both"/>
              <w:rPr>
                <w:rFonts w:ascii="Calibri" w:eastAsia="Times New Roman" w:hAnsi="Calibri" w:cs="Calibri"/>
                <w:noProof/>
                <w:sz w:val="16"/>
              </w:rPr>
            </w:pPr>
          </w:p>
          <w:p w14:paraId="2C30F216" w14:textId="36F5FEA4" w:rsidR="00776A1F" w:rsidRDefault="00D8574B">
            <w:pPr>
              <w:pStyle w:val="P68B1DB1-Normal8"/>
              <w:spacing w:after="0" w:line="240" w:lineRule="auto"/>
              <w:jc w:val="both"/>
              <w:rPr>
                <w:rFonts w:eastAsia="Times New Roman" w:cs="Calibri"/>
                <w:noProof/>
              </w:rPr>
            </w:pPr>
            <w:r>
              <w:rPr>
                <w:noProof/>
              </w:rPr>
              <w:t>Atlases kritēriji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4304841E" w14:textId="77777777">
        <w:trPr>
          <w:trHeight w:val="420"/>
        </w:trPr>
        <w:tc>
          <w:tcPr>
            <w:tcW w:w="1135" w:type="dxa"/>
            <w:shd w:val="clear" w:color="auto" w:fill="C5EFCE"/>
            <w:vAlign w:val="center"/>
          </w:tcPr>
          <w:p w14:paraId="539E2D22" w14:textId="3A085AAA" w:rsidR="00776A1F" w:rsidRDefault="00D8574B">
            <w:pPr>
              <w:pStyle w:val="P68B1DB1-Normal11"/>
              <w:spacing w:after="0" w:line="240" w:lineRule="auto"/>
              <w:jc w:val="center"/>
              <w:rPr>
                <w:rFonts w:eastAsia="Times New Roman"/>
                <w:noProof/>
              </w:rPr>
            </w:pPr>
            <w:r>
              <w:rPr>
                <w:noProof/>
              </w:rPr>
              <w:t>16.16</w:t>
            </w:r>
          </w:p>
        </w:tc>
        <w:tc>
          <w:tcPr>
            <w:tcW w:w="1276" w:type="dxa"/>
            <w:shd w:val="clear" w:color="auto" w:fill="C4EFCE"/>
            <w:noWrap/>
            <w:vAlign w:val="center"/>
          </w:tcPr>
          <w:p w14:paraId="763655D4" w14:textId="6D8AFDF4" w:rsidR="00776A1F" w:rsidRDefault="00D8574B">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1D87961C" w14:textId="083D5D73" w:rsidR="00776A1F" w:rsidRDefault="00D8574B">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75967FD1" w14:textId="3536B628" w:rsidR="00776A1F" w:rsidRDefault="00D8574B">
            <w:pPr>
              <w:pStyle w:val="P68B1DB1-Normal12"/>
              <w:spacing w:after="0" w:line="240" w:lineRule="auto"/>
              <w:jc w:val="center"/>
              <w:rPr>
                <w:rFonts w:eastAsia="Times New Roman"/>
                <w:noProof/>
              </w:rPr>
            </w:pPr>
            <w:r>
              <w:rPr>
                <w:noProof/>
              </w:rPr>
              <w:t>“Rūpniecība 4.0” projektu atlase</w:t>
            </w:r>
          </w:p>
        </w:tc>
        <w:tc>
          <w:tcPr>
            <w:tcW w:w="1275" w:type="dxa"/>
            <w:shd w:val="clear" w:color="auto" w:fill="C4EFCE"/>
            <w:noWrap/>
            <w:vAlign w:val="center"/>
          </w:tcPr>
          <w:p w14:paraId="29B2785A" w14:textId="77777777" w:rsidR="00776A1F" w:rsidRDefault="00776A1F">
            <w:pPr>
              <w:spacing w:after="0" w:line="240" w:lineRule="auto"/>
              <w:jc w:val="center"/>
              <w:rPr>
                <w:rFonts w:eastAsia="Times New Roman"/>
                <w:noProof/>
                <w:sz w:val="16"/>
              </w:rPr>
            </w:pPr>
          </w:p>
        </w:tc>
        <w:tc>
          <w:tcPr>
            <w:tcW w:w="993" w:type="dxa"/>
            <w:shd w:val="clear" w:color="auto" w:fill="C4EFCE"/>
            <w:noWrap/>
            <w:vAlign w:val="center"/>
          </w:tcPr>
          <w:p w14:paraId="3EBFDF40" w14:textId="0EF6EAE9" w:rsidR="00776A1F" w:rsidRDefault="00D8574B">
            <w:pPr>
              <w:pStyle w:val="P68B1DB1-Normal12"/>
              <w:spacing w:after="0" w:line="240" w:lineRule="auto"/>
              <w:jc w:val="center"/>
              <w:rPr>
                <w:rFonts w:eastAsia="Times New Roman"/>
                <w:noProof/>
              </w:rPr>
            </w:pPr>
            <w:r>
              <w:rPr>
                <w:noProof/>
              </w:rPr>
              <w:t>Skaits</w:t>
            </w:r>
          </w:p>
        </w:tc>
        <w:tc>
          <w:tcPr>
            <w:tcW w:w="992" w:type="dxa"/>
            <w:shd w:val="clear" w:color="auto" w:fill="C4EFCE"/>
            <w:noWrap/>
            <w:vAlign w:val="center"/>
          </w:tcPr>
          <w:p w14:paraId="61E469D2" w14:textId="319E9FF9" w:rsidR="00776A1F" w:rsidRDefault="00D8574B">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12BC99BF" w14:textId="2D6BD732" w:rsidR="00776A1F" w:rsidRDefault="00D8574B">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686302E9" w14:textId="1D2B546F" w:rsidR="00776A1F" w:rsidRDefault="00D8574B">
            <w:pPr>
              <w:pStyle w:val="P68B1DB1-Normal12"/>
              <w:spacing w:after="0" w:line="240" w:lineRule="auto"/>
              <w:jc w:val="center"/>
              <w:rPr>
                <w:rFonts w:eastAsia="Times New Roman"/>
                <w:noProof/>
              </w:rPr>
            </w:pPr>
            <w:r>
              <w:rPr>
                <w:noProof/>
              </w:rPr>
              <w:t>4. CET.</w:t>
            </w:r>
          </w:p>
        </w:tc>
        <w:tc>
          <w:tcPr>
            <w:tcW w:w="708" w:type="dxa"/>
            <w:shd w:val="clear" w:color="auto" w:fill="C4EFCE"/>
            <w:noWrap/>
            <w:vAlign w:val="center"/>
          </w:tcPr>
          <w:p w14:paraId="39738C45" w14:textId="2252F3CD" w:rsidR="00776A1F" w:rsidRDefault="00D8574B">
            <w:pPr>
              <w:pStyle w:val="P68B1DB1-Normal12"/>
              <w:spacing w:after="0" w:line="240" w:lineRule="auto"/>
              <w:jc w:val="center"/>
              <w:rPr>
                <w:rFonts w:eastAsia="Times New Roman"/>
                <w:noProof/>
              </w:rPr>
            </w:pPr>
            <w:r>
              <w:rPr>
                <w:noProof/>
              </w:rPr>
              <w:t>2023</w:t>
            </w:r>
          </w:p>
        </w:tc>
        <w:tc>
          <w:tcPr>
            <w:tcW w:w="3969" w:type="dxa"/>
            <w:shd w:val="clear" w:color="auto" w:fill="C4EFCE"/>
            <w:vAlign w:val="center"/>
          </w:tcPr>
          <w:p w14:paraId="635FD244" w14:textId="3B0DF872" w:rsidR="00776A1F" w:rsidRDefault="00D8574B">
            <w:pPr>
              <w:pStyle w:val="P68B1DB1-Bodytext1013"/>
              <w:spacing w:after="0" w:line="240" w:lineRule="auto"/>
              <w:rPr>
                <w:rFonts w:cstheme="minorBidi"/>
                <w:noProof/>
              </w:rPr>
            </w:pPr>
            <w:r>
              <w:rPr>
                <w:noProof/>
              </w:rPr>
              <w:t>Atlasa 200 projektus “Rūpniecība 4.0”. Projekti atbilst pasākuma aprakstā aprakstītajai darbību tipoloģijai.</w:t>
            </w:r>
          </w:p>
          <w:p w14:paraId="20D914ED" w14:textId="5E511421" w:rsidR="00776A1F" w:rsidRDefault="00D8574B">
            <w:pPr>
              <w:pStyle w:val="P68B1DB1-Normal12"/>
              <w:spacing w:after="0" w:line="240" w:lineRule="auto"/>
              <w:jc w:val="both"/>
              <w:rPr>
                <w:rFonts w:eastAsia="Times New Roman"/>
                <w:noProof/>
              </w:rPr>
            </w:pPr>
            <w:r>
              <w:rPr>
                <w:noProof/>
              </w:rPr>
              <w:t>Atlases kritēriji nodrošina saskaņā ar šo pasākumu atbalstīto darījumu atbilstību Tehniskajiem norādījumiem “nenodari būtisku kaitējumu” (2021/C58/01), izmantojot izslēgšanas sarakstu, kā norādīts pasākuma aprakstā, un prasību par atbilstību attiecīgajiem ES un valsts tiesību aktiem vides jomā.</w:t>
            </w:r>
          </w:p>
        </w:tc>
      </w:tr>
      <w:tr w:rsidR="00776A1F" w14:paraId="46C66D80" w14:textId="77777777">
        <w:trPr>
          <w:trHeight w:val="420"/>
        </w:trPr>
        <w:tc>
          <w:tcPr>
            <w:tcW w:w="1135" w:type="dxa"/>
            <w:shd w:val="clear" w:color="auto" w:fill="C5EFCE"/>
            <w:vAlign w:val="center"/>
          </w:tcPr>
          <w:p w14:paraId="26F66ABE" w14:textId="545B5AF7" w:rsidR="00776A1F" w:rsidRDefault="00D8574B">
            <w:pPr>
              <w:pStyle w:val="P68B1DB1-Normal11"/>
              <w:spacing w:after="0" w:line="240" w:lineRule="auto"/>
              <w:jc w:val="center"/>
              <w:rPr>
                <w:rFonts w:eastAsia="Times New Roman"/>
                <w:noProof/>
              </w:rPr>
            </w:pPr>
            <w:r>
              <w:rPr>
                <w:noProof/>
              </w:rPr>
              <w:t>16.17</w:t>
            </w:r>
          </w:p>
        </w:tc>
        <w:tc>
          <w:tcPr>
            <w:tcW w:w="1276" w:type="dxa"/>
            <w:shd w:val="clear" w:color="auto" w:fill="C4EFCE"/>
            <w:noWrap/>
            <w:vAlign w:val="center"/>
          </w:tcPr>
          <w:p w14:paraId="5669B910" w14:textId="4FBD872D" w:rsidR="00776A1F" w:rsidRDefault="00D8574B">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30ED83F0" w14:textId="34F7B432" w:rsidR="00776A1F" w:rsidRDefault="00D8574B">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EB61F6" w14:textId="1577C572" w:rsidR="00776A1F" w:rsidRDefault="00D8574B">
            <w:pPr>
              <w:pStyle w:val="P68B1DB1-Bodytext1013"/>
              <w:rPr>
                <w:rFonts w:cstheme="minorBidi"/>
                <w:noProof/>
              </w:rPr>
            </w:pPr>
            <w:r>
              <w:rPr>
                <w:noProof/>
              </w:rPr>
              <w:t>“Rūpniecība 4.0” projektu pabeigšana</w:t>
            </w:r>
          </w:p>
        </w:tc>
        <w:tc>
          <w:tcPr>
            <w:tcW w:w="1275" w:type="dxa"/>
            <w:shd w:val="clear" w:color="auto" w:fill="C4EFCE"/>
            <w:noWrap/>
            <w:vAlign w:val="center"/>
          </w:tcPr>
          <w:p w14:paraId="3B19D0B1" w14:textId="77777777" w:rsidR="00776A1F" w:rsidRDefault="00776A1F">
            <w:pPr>
              <w:spacing w:after="0" w:line="240" w:lineRule="auto"/>
              <w:jc w:val="center"/>
              <w:rPr>
                <w:rFonts w:eastAsia="Times New Roman"/>
                <w:noProof/>
                <w:sz w:val="16"/>
              </w:rPr>
            </w:pPr>
          </w:p>
        </w:tc>
        <w:tc>
          <w:tcPr>
            <w:tcW w:w="993" w:type="dxa"/>
            <w:shd w:val="clear" w:color="auto" w:fill="C4EFCE"/>
            <w:noWrap/>
            <w:vAlign w:val="center"/>
          </w:tcPr>
          <w:p w14:paraId="6867E439" w14:textId="38FE02BE" w:rsidR="00776A1F" w:rsidRDefault="00D8574B">
            <w:pPr>
              <w:pStyle w:val="P68B1DB1-Normal12"/>
              <w:spacing w:after="0" w:line="240" w:lineRule="auto"/>
              <w:jc w:val="center"/>
              <w:rPr>
                <w:rFonts w:eastAsia="Times New Roman"/>
                <w:noProof/>
              </w:rPr>
            </w:pPr>
            <w:r>
              <w:rPr>
                <w:noProof/>
              </w:rPr>
              <w:t>Skaits</w:t>
            </w:r>
          </w:p>
        </w:tc>
        <w:tc>
          <w:tcPr>
            <w:tcW w:w="992" w:type="dxa"/>
            <w:shd w:val="clear" w:color="auto" w:fill="C4EFCE"/>
            <w:noWrap/>
            <w:vAlign w:val="center"/>
          </w:tcPr>
          <w:p w14:paraId="74AB5B4F" w14:textId="03BC0992" w:rsidR="00776A1F" w:rsidRDefault="00D8574B">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6CDAE886" w14:textId="5FC7D1A5" w:rsidR="00776A1F" w:rsidRDefault="00D8574B">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25173C37" w14:textId="0FC29C35" w:rsidR="00776A1F" w:rsidRDefault="00D8574B">
            <w:pPr>
              <w:pStyle w:val="P68B1DB1-Normal12"/>
              <w:spacing w:after="0" w:line="240" w:lineRule="auto"/>
              <w:jc w:val="center"/>
              <w:rPr>
                <w:rFonts w:eastAsia="Times New Roman"/>
                <w:noProof/>
              </w:rPr>
            </w:pPr>
            <w:r>
              <w:rPr>
                <w:noProof/>
              </w:rPr>
              <w:t>4. CET.</w:t>
            </w:r>
          </w:p>
        </w:tc>
        <w:tc>
          <w:tcPr>
            <w:tcW w:w="708" w:type="dxa"/>
            <w:shd w:val="clear" w:color="auto" w:fill="C4EFCE"/>
            <w:noWrap/>
            <w:vAlign w:val="center"/>
          </w:tcPr>
          <w:p w14:paraId="076DD43D" w14:textId="37EF5AFF" w:rsidR="00776A1F" w:rsidRDefault="00D8574B">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1B73DBDD" w14:textId="54C9FED3" w:rsidR="00776A1F" w:rsidRDefault="00D8574B">
            <w:pPr>
              <w:pStyle w:val="P68B1DB1-Bodytext1013"/>
              <w:spacing w:after="0" w:line="240" w:lineRule="auto"/>
              <w:jc w:val="both"/>
              <w:rPr>
                <w:rFonts w:cstheme="minorBidi"/>
                <w:noProof/>
              </w:rPr>
            </w:pPr>
            <w:r>
              <w:rPr>
                <w:noProof/>
              </w:rPr>
              <w:t>Pabeidz 200 “Rūpniecība 4.0” projektus. Projekti atbilst pasākuma aprakstā aprakstītajai darbību tipoloģijai.</w:t>
            </w:r>
          </w:p>
        </w:tc>
      </w:tr>
      <w:tr w:rsidR="00776A1F" w14:paraId="69BB9BE5" w14:textId="77777777">
        <w:trPr>
          <w:trHeight w:val="420"/>
        </w:trPr>
        <w:tc>
          <w:tcPr>
            <w:tcW w:w="1135" w:type="dxa"/>
            <w:shd w:val="clear" w:color="auto" w:fill="C5EFCE"/>
            <w:vAlign w:val="center"/>
          </w:tcPr>
          <w:p w14:paraId="4E63D694" w14:textId="76E3D32E" w:rsidR="00776A1F" w:rsidRDefault="00D8574B">
            <w:pPr>
              <w:pStyle w:val="P68B1DB1-Normal11"/>
              <w:spacing w:after="0" w:line="240" w:lineRule="auto"/>
              <w:jc w:val="center"/>
              <w:rPr>
                <w:rFonts w:eastAsia="Times New Roman"/>
                <w:noProof/>
              </w:rPr>
            </w:pPr>
            <w:r>
              <w:rPr>
                <w:noProof/>
              </w:rPr>
              <w:t>16.18</w:t>
            </w:r>
          </w:p>
        </w:tc>
        <w:tc>
          <w:tcPr>
            <w:tcW w:w="1276" w:type="dxa"/>
            <w:shd w:val="clear" w:color="auto" w:fill="C4EFCE"/>
            <w:noWrap/>
            <w:vAlign w:val="center"/>
          </w:tcPr>
          <w:p w14:paraId="672BD7BC" w14:textId="1D2975A9" w:rsidR="00776A1F" w:rsidRDefault="00D8574B">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8003DB0" w14:textId="5A93A83D" w:rsidR="00776A1F" w:rsidRDefault="00D8574B">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5C4B3C1D" w14:textId="1FCEFD83" w:rsidR="00776A1F" w:rsidRDefault="00D8574B">
            <w:pPr>
              <w:pStyle w:val="P68B1DB1-Normal12"/>
              <w:spacing w:after="0" w:line="240" w:lineRule="auto"/>
              <w:jc w:val="center"/>
              <w:rPr>
                <w:noProof/>
              </w:rPr>
            </w:pPr>
            <w:r>
              <w:rPr>
                <w:noProof/>
              </w:rPr>
              <w:t>Pabeigto projektu skaits uzņēmumu digitālās pārkārtošanās veicināšanas sistēmas ietvaros</w:t>
            </w:r>
          </w:p>
        </w:tc>
        <w:tc>
          <w:tcPr>
            <w:tcW w:w="1275" w:type="dxa"/>
            <w:shd w:val="clear" w:color="auto" w:fill="C4EFCE"/>
            <w:noWrap/>
            <w:vAlign w:val="center"/>
          </w:tcPr>
          <w:p w14:paraId="4D4E00B2" w14:textId="77777777" w:rsidR="00776A1F" w:rsidRDefault="00776A1F">
            <w:pPr>
              <w:spacing w:after="0" w:line="240" w:lineRule="auto"/>
              <w:jc w:val="center"/>
              <w:rPr>
                <w:noProof/>
                <w:sz w:val="16"/>
              </w:rPr>
            </w:pPr>
          </w:p>
        </w:tc>
        <w:tc>
          <w:tcPr>
            <w:tcW w:w="993" w:type="dxa"/>
            <w:shd w:val="clear" w:color="auto" w:fill="C4EFCE"/>
            <w:noWrap/>
            <w:vAlign w:val="center"/>
          </w:tcPr>
          <w:p w14:paraId="447D968A" w14:textId="302D8EBB" w:rsidR="00776A1F" w:rsidRDefault="00D8574B">
            <w:pPr>
              <w:pStyle w:val="P68B1DB1-Normal12"/>
              <w:spacing w:after="0" w:line="240" w:lineRule="auto"/>
              <w:jc w:val="center"/>
              <w:rPr>
                <w:rFonts w:eastAsia="Times New Roman"/>
                <w:noProof/>
              </w:rPr>
            </w:pPr>
            <w:r>
              <w:rPr>
                <w:noProof/>
              </w:rPr>
              <w:t>Skaits</w:t>
            </w:r>
          </w:p>
        </w:tc>
        <w:tc>
          <w:tcPr>
            <w:tcW w:w="992" w:type="dxa"/>
            <w:shd w:val="clear" w:color="auto" w:fill="C4EFCE"/>
            <w:noWrap/>
            <w:vAlign w:val="center"/>
          </w:tcPr>
          <w:p w14:paraId="2104F8DD" w14:textId="5EC972A0" w:rsidR="00776A1F" w:rsidRDefault="00D8574B">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56CBE9C3" w14:textId="713F4408" w:rsidR="00776A1F" w:rsidRDefault="00D8574B">
            <w:pPr>
              <w:pStyle w:val="P68B1DB1-Normal12"/>
              <w:spacing w:after="0" w:line="240" w:lineRule="auto"/>
              <w:jc w:val="center"/>
              <w:rPr>
                <w:rFonts w:eastAsia="Times New Roman"/>
                <w:noProof/>
              </w:rPr>
            </w:pPr>
            <w:r>
              <w:rPr>
                <w:noProof/>
              </w:rPr>
              <w:t>350</w:t>
            </w:r>
          </w:p>
        </w:tc>
        <w:tc>
          <w:tcPr>
            <w:tcW w:w="426" w:type="dxa"/>
            <w:shd w:val="clear" w:color="auto" w:fill="C4EFCE"/>
            <w:noWrap/>
            <w:vAlign w:val="center"/>
          </w:tcPr>
          <w:p w14:paraId="67D3AF82" w14:textId="2B6F454B" w:rsidR="00776A1F" w:rsidRDefault="00D8574B">
            <w:pPr>
              <w:pStyle w:val="P68B1DB1-Normal12"/>
              <w:spacing w:after="0" w:line="240" w:lineRule="auto"/>
              <w:jc w:val="center"/>
              <w:rPr>
                <w:rFonts w:eastAsia="Times New Roman"/>
                <w:noProof/>
              </w:rPr>
            </w:pPr>
            <w:r>
              <w:rPr>
                <w:noProof/>
              </w:rPr>
              <w:t>2. CET.</w:t>
            </w:r>
          </w:p>
        </w:tc>
        <w:tc>
          <w:tcPr>
            <w:tcW w:w="708" w:type="dxa"/>
            <w:shd w:val="clear" w:color="auto" w:fill="C4EFCE"/>
            <w:noWrap/>
            <w:vAlign w:val="center"/>
          </w:tcPr>
          <w:p w14:paraId="3F010DFB" w14:textId="14DE7404" w:rsidR="00776A1F" w:rsidRDefault="00D8574B">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26822469" w14:textId="3E45E6E1" w:rsidR="00776A1F" w:rsidRDefault="00D8574B">
            <w:pPr>
              <w:pStyle w:val="P68B1DB1-Bodytext1013"/>
              <w:spacing w:after="0" w:line="240" w:lineRule="auto"/>
              <w:jc w:val="both"/>
              <w:rPr>
                <w:rFonts w:cstheme="minorBidi"/>
                <w:noProof/>
              </w:rPr>
            </w:pPr>
            <w:r>
              <w:rPr>
                <w:noProof/>
              </w:rPr>
              <w:t>350 projektus pabeidz saskaņā ar Uzņēmumu digitālās pārkārtošanās veicināšanas sistēmu. Projekti atbilst darbību tipoloģijai, kas aprakstītas saskaņā ar 1. darbības virzienu, 2. darbības virzienu vai 3. darbības virzienu pasākuma aprakstā.</w:t>
            </w:r>
          </w:p>
        </w:tc>
      </w:tr>
      <w:tr w:rsidR="00776A1F" w14:paraId="2E682C8F" w14:textId="77777777">
        <w:trPr>
          <w:trHeight w:val="420"/>
        </w:trPr>
        <w:tc>
          <w:tcPr>
            <w:tcW w:w="1135" w:type="dxa"/>
            <w:shd w:val="clear" w:color="auto" w:fill="C5EFCE"/>
            <w:vAlign w:val="center"/>
          </w:tcPr>
          <w:p w14:paraId="380A2F8F" w14:textId="66F3324C" w:rsidR="00776A1F" w:rsidRDefault="00D8574B">
            <w:pPr>
              <w:pStyle w:val="P68B1DB1-Normal11"/>
              <w:spacing w:after="0" w:line="240" w:lineRule="auto"/>
              <w:jc w:val="center"/>
              <w:rPr>
                <w:rFonts w:eastAsia="Times New Roman"/>
                <w:noProof/>
              </w:rPr>
            </w:pPr>
            <w:r>
              <w:rPr>
                <w:noProof/>
              </w:rPr>
              <w:t>16.19</w:t>
            </w:r>
          </w:p>
        </w:tc>
        <w:tc>
          <w:tcPr>
            <w:tcW w:w="1276" w:type="dxa"/>
            <w:shd w:val="clear" w:color="auto" w:fill="C4EFCE"/>
            <w:noWrap/>
            <w:vAlign w:val="center"/>
          </w:tcPr>
          <w:p w14:paraId="79CF44D5" w14:textId="1ADD6940" w:rsidR="00776A1F" w:rsidRDefault="00D8574B">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F908EF3" w14:textId="2500FFAF" w:rsidR="00776A1F" w:rsidRDefault="00D8574B">
            <w:pPr>
              <w:pStyle w:val="P68B1DB1-Normal12"/>
              <w:spacing w:after="0" w:line="240" w:lineRule="auto"/>
              <w:jc w:val="center"/>
              <w:rPr>
                <w:rFonts w:eastAsia="Times New Roman"/>
                <w:noProof/>
              </w:rPr>
            </w:pPr>
            <w:r>
              <w:rPr>
                <w:noProof/>
              </w:rPr>
              <w:t>M</w:t>
            </w:r>
          </w:p>
        </w:tc>
        <w:tc>
          <w:tcPr>
            <w:tcW w:w="1701" w:type="dxa"/>
            <w:shd w:val="clear" w:color="auto" w:fill="C4EFCE"/>
            <w:noWrap/>
            <w:vAlign w:val="center"/>
          </w:tcPr>
          <w:p w14:paraId="07C8C597" w14:textId="27719A8B" w:rsidR="00776A1F" w:rsidRDefault="00D8574B">
            <w:pPr>
              <w:pStyle w:val="P68B1DB1-Normal12"/>
              <w:spacing w:after="0" w:line="240" w:lineRule="auto"/>
              <w:jc w:val="center"/>
              <w:rPr>
                <w:rFonts w:eastAsia="Times New Roman"/>
                <w:noProof/>
              </w:rPr>
            </w:pPr>
            <w:r>
              <w:rPr>
                <w:noProof/>
              </w:rPr>
              <w:t>Paplašināti vai aprīkoti zinātnes un tehnoloģiju parki</w:t>
            </w:r>
          </w:p>
        </w:tc>
        <w:tc>
          <w:tcPr>
            <w:tcW w:w="1275" w:type="dxa"/>
            <w:shd w:val="clear" w:color="auto" w:fill="C4EFCE"/>
            <w:noWrap/>
            <w:vAlign w:val="center"/>
          </w:tcPr>
          <w:p w14:paraId="3C50E602" w14:textId="4C429DB6" w:rsidR="00776A1F" w:rsidRDefault="00D8574B">
            <w:pPr>
              <w:pStyle w:val="P68B1DB1-Normal12"/>
              <w:spacing w:after="0" w:line="240" w:lineRule="auto"/>
              <w:jc w:val="center"/>
              <w:rPr>
                <w:rFonts w:eastAsia="Times New Roman"/>
                <w:noProof/>
              </w:rPr>
            </w:pPr>
            <w:r>
              <w:rPr>
                <w:noProof/>
              </w:rPr>
              <w:t>Uzstādītā un izbūvētā tīkla un datošanas infrastruktūra</w:t>
            </w:r>
          </w:p>
        </w:tc>
        <w:tc>
          <w:tcPr>
            <w:tcW w:w="993" w:type="dxa"/>
            <w:shd w:val="clear" w:color="auto" w:fill="C4EFCE"/>
            <w:noWrap/>
            <w:vAlign w:val="center"/>
          </w:tcPr>
          <w:p w14:paraId="06949E64" w14:textId="379E29AD" w:rsidR="00776A1F" w:rsidRDefault="00776A1F">
            <w:pPr>
              <w:spacing w:after="0" w:line="240" w:lineRule="auto"/>
              <w:jc w:val="center"/>
              <w:rPr>
                <w:noProof/>
                <w:sz w:val="16"/>
              </w:rPr>
            </w:pPr>
          </w:p>
        </w:tc>
        <w:tc>
          <w:tcPr>
            <w:tcW w:w="992" w:type="dxa"/>
            <w:shd w:val="clear" w:color="auto" w:fill="C4EFCE"/>
            <w:noWrap/>
            <w:vAlign w:val="center"/>
          </w:tcPr>
          <w:p w14:paraId="0E8D16A2" w14:textId="6A47AB65" w:rsidR="00776A1F" w:rsidRDefault="00776A1F">
            <w:pPr>
              <w:spacing w:after="0" w:line="240" w:lineRule="auto"/>
              <w:jc w:val="center"/>
              <w:rPr>
                <w:noProof/>
                <w:sz w:val="16"/>
              </w:rPr>
            </w:pPr>
          </w:p>
        </w:tc>
        <w:tc>
          <w:tcPr>
            <w:tcW w:w="850" w:type="dxa"/>
            <w:shd w:val="clear" w:color="auto" w:fill="C4EFCE"/>
            <w:noWrap/>
            <w:vAlign w:val="center"/>
          </w:tcPr>
          <w:p w14:paraId="55A9F016" w14:textId="3D8C3522" w:rsidR="00776A1F" w:rsidRDefault="00776A1F">
            <w:pPr>
              <w:spacing w:after="0" w:line="240" w:lineRule="auto"/>
              <w:jc w:val="center"/>
              <w:rPr>
                <w:noProof/>
                <w:sz w:val="16"/>
              </w:rPr>
            </w:pPr>
          </w:p>
        </w:tc>
        <w:tc>
          <w:tcPr>
            <w:tcW w:w="426" w:type="dxa"/>
            <w:shd w:val="clear" w:color="auto" w:fill="C4EFCE"/>
            <w:noWrap/>
            <w:vAlign w:val="center"/>
          </w:tcPr>
          <w:p w14:paraId="736C4E69" w14:textId="0EFE5CFF" w:rsidR="00776A1F" w:rsidRDefault="00D8574B">
            <w:pPr>
              <w:pStyle w:val="P68B1DB1-Normal12"/>
              <w:spacing w:after="0" w:line="240" w:lineRule="auto"/>
              <w:jc w:val="center"/>
              <w:rPr>
                <w:rFonts w:eastAsia="Times New Roman"/>
                <w:noProof/>
              </w:rPr>
            </w:pPr>
            <w:r>
              <w:rPr>
                <w:noProof/>
              </w:rPr>
              <w:t>2. CET.</w:t>
            </w:r>
          </w:p>
        </w:tc>
        <w:tc>
          <w:tcPr>
            <w:tcW w:w="708" w:type="dxa"/>
            <w:shd w:val="clear" w:color="auto" w:fill="C4EFCE"/>
            <w:noWrap/>
            <w:vAlign w:val="center"/>
          </w:tcPr>
          <w:p w14:paraId="1D090ADB" w14:textId="4F4266E5" w:rsidR="00776A1F" w:rsidRDefault="00D8574B">
            <w:pPr>
              <w:pStyle w:val="P68B1DB1-Normal12"/>
              <w:spacing w:after="0" w:line="240" w:lineRule="auto"/>
              <w:jc w:val="center"/>
              <w:rPr>
                <w:rFonts w:eastAsia="Times New Roman"/>
                <w:noProof/>
              </w:rPr>
            </w:pPr>
            <w:r>
              <w:rPr>
                <w:noProof/>
              </w:rPr>
              <w:t>2026</w:t>
            </w:r>
          </w:p>
        </w:tc>
        <w:tc>
          <w:tcPr>
            <w:tcW w:w="3969" w:type="dxa"/>
            <w:shd w:val="clear" w:color="auto" w:fill="C4EFCE"/>
          </w:tcPr>
          <w:p w14:paraId="7EF23F02" w14:textId="5B5C41B8" w:rsidR="00776A1F" w:rsidRDefault="00D8574B">
            <w:pPr>
              <w:pStyle w:val="P68B1DB1-Normal12"/>
              <w:spacing w:after="0" w:line="240" w:lineRule="auto"/>
              <w:jc w:val="both"/>
              <w:rPr>
                <w:rFonts w:eastAsia="Times New Roman"/>
                <w:noProof/>
              </w:rPr>
            </w:pPr>
            <w:r>
              <w:rPr>
                <w:noProof/>
              </w:rPr>
              <w:t>Netangonajā zinātnes un tehnoloģiju parkā uzstāda jaunus tīkla un datošanas infrastruktūras aktīvus (aparatūru) un Terinov zinātnes un tehnoloģiju parkā būvē jaunu energoefektīvu ēku aptuveni 878 kvadrātmetru platībā. Jaunu ēku primārās enerģijas pieprasījums ir vismaz par 20 % zemāks nekā prasības, kas noteiktas gandrīz nulles enerģijas ēkām. Ar energoefektivitātes renovāciju vidēji panāk vismaz vidēja līmeņa renovāciju, kā noteikts Komisijas Ieteikumā (ES) 2019/786 par ēku renovāciju.</w:t>
            </w:r>
          </w:p>
        </w:tc>
      </w:tr>
      <w:tr w:rsidR="00776A1F" w14:paraId="1BB3C3E0" w14:textId="77777777">
        <w:trPr>
          <w:trHeight w:val="420"/>
        </w:trPr>
        <w:tc>
          <w:tcPr>
            <w:tcW w:w="1135" w:type="dxa"/>
            <w:shd w:val="clear" w:color="auto" w:fill="C5EFCE"/>
            <w:vAlign w:val="center"/>
          </w:tcPr>
          <w:p w14:paraId="6422BF72" w14:textId="48224803" w:rsidR="00776A1F" w:rsidRDefault="00D8574B">
            <w:pPr>
              <w:pStyle w:val="P68B1DB1-Normal11"/>
              <w:spacing w:after="0" w:line="240" w:lineRule="auto"/>
              <w:jc w:val="center"/>
              <w:rPr>
                <w:rFonts w:eastAsia="Times New Roman"/>
                <w:noProof/>
              </w:rPr>
            </w:pPr>
            <w:r>
              <w:rPr>
                <w:noProof/>
              </w:rPr>
              <w:t>16.20</w:t>
            </w:r>
          </w:p>
        </w:tc>
        <w:tc>
          <w:tcPr>
            <w:tcW w:w="1276" w:type="dxa"/>
            <w:shd w:val="clear" w:color="auto" w:fill="C4EFCE"/>
            <w:noWrap/>
            <w:vAlign w:val="center"/>
          </w:tcPr>
          <w:p w14:paraId="241755ED" w14:textId="663183C3" w:rsidR="00776A1F" w:rsidRDefault="00D8574B">
            <w:pPr>
              <w:pStyle w:val="P68B1DB1-Normal12"/>
              <w:spacing w:after="0" w:line="240" w:lineRule="auto"/>
              <w:jc w:val="center"/>
              <w:rPr>
                <w:rFonts w:eastAsia="Times New Roman"/>
                <w:noProof/>
              </w:rPr>
            </w:pPr>
            <w:r>
              <w:rPr>
                <w:noProof/>
              </w:rPr>
              <w:t>TD-C16-i06-RAM</w:t>
            </w:r>
          </w:p>
        </w:tc>
        <w:tc>
          <w:tcPr>
            <w:tcW w:w="1134" w:type="dxa"/>
            <w:shd w:val="clear" w:color="auto" w:fill="C4EFCE"/>
            <w:noWrap/>
            <w:vAlign w:val="center"/>
          </w:tcPr>
          <w:p w14:paraId="2E4832F3" w14:textId="1498C687" w:rsidR="00776A1F" w:rsidRDefault="00D8574B">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D7638E" w14:textId="1AB722F4" w:rsidR="00776A1F" w:rsidRDefault="00D8574B">
            <w:pPr>
              <w:pStyle w:val="P68B1DB1-Normal12"/>
              <w:spacing w:after="0" w:line="240" w:lineRule="auto"/>
              <w:jc w:val="center"/>
              <w:rPr>
                <w:rFonts w:eastAsia="Times New Roman"/>
                <w:noProof/>
              </w:rPr>
            </w:pPr>
            <w:r>
              <w:rPr>
                <w:noProof/>
              </w:rPr>
              <w:t>Uzņēmums 4.0</w:t>
            </w:r>
          </w:p>
        </w:tc>
        <w:tc>
          <w:tcPr>
            <w:tcW w:w="1275" w:type="dxa"/>
            <w:shd w:val="clear" w:color="auto" w:fill="C4EFCE"/>
            <w:noWrap/>
            <w:vAlign w:val="center"/>
          </w:tcPr>
          <w:p w14:paraId="3C12F8CE" w14:textId="77777777" w:rsidR="00776A1F" w:rsidRDefault="00776A1F">
            <w:pPr>
              <w:spacing w:after="0" w:line="240" w:lineRule="auto"/>
              <w:jc w:val="center"/>
              <w:rPr>
                <w:rFonts w:eastAsia="Times New Roman"/>
                <w:noProof/>
                <w:sz w:val="16"/>
              </w:rPr>
            </w:pPr>
          </w:p>
        </w:tc>
        <w:tc>
          <w:tcPr>
            <w:tcW w:w="993" w:type="dxa"/>
            <w:shd w:val="clear" w:color="auto" w:fill="C4EFCE"/>
            <w:noWrap/>
            <w:vAlign w:val="center"/>
          </w:tcPr>
          <w:p w14:paraId="3EDFD5D8" w14:textId="0DAE7C66" w:rsidR="00776A1F" w:rsidRDefault="00D8574B">
            <w:pPr>
              <w:pStyle w:val="P68B1DB1-Normal12"/>
              <w:spacing w:after="0" w:line="240" w:lineRule="auto"/>
              <w:jc w:val="center"/>
              <w:rPr>
                <w:rFonts w:eastAsia="Times New Roman"/>
                <w:noProof/>
              </w:rPr>
            </w:pPr>
            <w:r>
              <w:rPr>
                <w:noProof/>
              </w:rPr>
              <w:t>Skaits</w:t>
            </w:r>
          </w:p>
        </w:tc>
        <w:tc>
          <w:tcPr>
            <w:tcW w:w="992" w:type="dxa"/>
            <w:shd w:val="clear" w:color="auto" w:fill="C4EFCE"/>
            <w:noWrap/>
            <w:vAlign w:val="center"/>
          </w:tcPr>
          <w:p w14:paraId="2C1BA599" w14:textId="79E71A0F" w:rsidR="00776A1F" w:rsidRDefault="00D8574B">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3BACA82A" w14:textId="31DFBCD1" w:rsidR="00776A1F" w:rsidRDefault="00D8574B">
            <w:pPr>
              <w:pStyle w:val="P68B1DB1-Normal12"/>
              <w:spacing w:after="0" w:line="240" w:lineRule="auto"/>
              <w:jc w:val="center"/>
              <w:rPr>
                <w:rFonts w:eastAsia="Times New Roman"/>
                <w:noProof/>
              </w:rPr>
            </w:pPr>
            <w:r>
              <w:rPr>
                <w:noProof/>
              </w:rPr>
              <w:t>300</w:t>
            </w:r>
          </w:p>
        </w:tc>
        <w:tc>
          <w:tcPr>
            <w:tcW w:w="426" w:type="dxa"/>
            <w:shd w:val="clear" w:color="auto" w:fill="C4EFCE"/>
            <w:noWrap/>
            <w:vAlign w:val="center"/>
          </w:tcPr>
          <w:p w14:paraId="69BC14F8" w14:textId="02E6162D" w:rsidR="00776A1F" w:rsidRDefault="00D8574B">
            <w:pPr>
              <w:pStyle w:val="P68B1DB1-Normal12"/>
              <w:spacing w:after="0" w:line="240" w:lineRule="auto"/>
              <w:jc w:val="center"/>
              <w:rPr>
                <w:rFonts w:eastAsia="Times New Roman"/>
                <w:noProof/>
              </w:rPr>
            </w:pPr>
            <w:r>
              <w:rPr>
                <w:noProof/>
              </w:rPr>
              <w:t>4. CET.</w:t>
            </w:r>
          </w:p>
        </w:tc>
        <w:tc>
          <w:tcPr>
            <w:tcW w:w="708" w:type="dxa"/>
            <w:shd w:val="clear" w:color="auto" w:fill="C4EFCE"/>
            <w:noWrap/>
            <w:vAlign w:val="center"/>
          </w:tcPr>
          <w:p w14:paraId="6F7D5365" w14:textId="2233F5B5" w:rsidR="00776A1F" w:rsidRDefault="00D8574B">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20DC7735" w14:textId="02E207D5" w:rsidR="00776A1F" w:rsidRDefault="00D8574B">
            <w:pPr>
              <w:pStyle w:val="P68B1DB1-Bodytext1013"/>
              <w:spacing w:after="0" w:line="240" w:lineRule="auto"/>
              <w:rPr>
                <w:rFonts w:cstheme="minorBidi"/>
                <w:noProof/>
              </w:rPr>
            </w:pPr>
            <w:r>
              <w:rPr>
                <w:noProof/>
              </w:rPr>
              <w:t>Pabeidz 300 digitalizācijas projektus MVU. Projekti sastāv no tādu materiālo vai nemateriālo aktīvu izstrādes vai iegādes, kas ir tieši saistīti ar investīcijām digitālajā pārkārtošanā.</w:t>
            </w:r>
          </w:p>
          <w:p w14:paraId="35F539B6" w14:textId="02E207D5" w:rsidR="00776A1F" w:rsidRDefault="00D8574B">
            <w:pPr>
              <w:pStyle w:val="P68B1DB1-Normal12"/>
              <w:spacing w:after="0" w:line="240" w:lineRule="auto"/>
              <w:jc w:val="both"/>
              <w:rPr>
                <w:rFonts w:eastAsia="Times New Roman"/>
                <w:noProof/>
              </w:rPr>
            </w:pPr>
            <w:r>
              <w:rPr>
                <w:noProof/>
              </w:rPr>
              <w:t>Atlases kritēriji nodrošina saskaņā ar šo pasākumu atbalstīto darījumu atbilstību Tehniskajiem norādījumiem “nenodari būtisku kaitējumu” (2021/C58/01), izmantojot izslēgšanas sarakstu, kā norādīts pasākuma aprakstā, un prasību par atbilstību attiecīgajiem ES un valsts tiesību aktiem vides jomā.</w:t>
            </w:r>
          </w:p>
        </w:tc>
      </w:tr>
    </w:tbl>
    <w:p w14:paraId="4E8D9638" w14:textId="77777777" w:rsidR="00776A1F" w:rsidRDefault="00776A1F">
      <w:pPr>
        <w:spacing w:before="40" w:after="0" w:line="259" w:lineRule="auto"/>
        <w:jc w:val="both"/>
        <w:rPr>
          <w:rFonts w:ascii="Times New Roman" w:eastAsiaTheme="minorEastAsia" w:hAnsi="Times New Roman" w:cs="Times New Roman"/>
          <w:noProof/>
          <w:sz w:val="24"/>
          <w:u w:val="single"/>
        </w:rPr>
      </w:pPr>
    </w:p>
    <w:p w14:paraId="0AC9B701" w14:textId="77777777" w:rsidR="00776A1F" w:rsidRDefault="00776A1F">
      <w:pPr>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60"/>
        </w:sectPr>
      </w:pPr>
    </w:p>
    <w:p w14:paraId="777E4EB1"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Q.</w:t>
      </w:r>
      <w:r>
        <w:rPr>
          <w:smallCaps/>
          <w:noProof/>
        </w:rPr>
        <w:t>KOMPONENTS 1</w:t>
      </w:r>
      <w:r>
        <w:rPr>
          <w:noProof/>
        </w:rPr>
        <w:t>7</w:t>
      </w:r>
      <w:r>
        <w:rPr>
          <w:smallCaps/>
          <w:noProof/>
        </w:rPr>
        <w:t>: Publisko finanšu</w:t>
      </w:r>
      <w:r>
        <w:rPr>
          <w:noProof/>
        </w:rPr>
        <w:t>kvalitāte un ilgtspēja</w:t>
      </w:r>
    </w:p>
    <w:p w14:paraId="439DD862" w14:textId="77777777" w:rsidR="00776A1F" w:rsidRDefault="00D8574B">
      <w:pPr>
        <w:pStyle w:val="P68B1DB1-Normal4"/>
        <w:spacing w:before="40" w:after="0" w:line="259" w:lineRule="auto"/>
        <w:jc w:val="both"/>
        <w:rPr>
          <w:rFonts w:eastAsiaTheme="minorEastAsia" w:cs="Times New Roman"/>
          <w:noProof/>
        </w:rPr>
      </w:pPr>
      <w:r>
        <w:rPr>
          <w:noProof/>
        </w:rPr>
        <w:t>Komponents risina problēmas, kas saistītas ar Portugāles augsto valsts parāda attiecību pret IKP, kas Covid-19 krīzes dēļ vēl vairāk saasinājās. Portugāles valsts parāda attiecība pret IKP ierobežo pieejamo fiskālo telpu un, ja to pieļaus ekonomiskie apstākļi, prasa nodrošināt fiskālo ilgtspēju vidējā termiņā. Šajā kontekstā gaidāms, ka stingrāki fiskālās politikas pamatnosacījumi veicinās izaugsmi veicinošāku virzību uz spēcīgāku fiskālo stabilitāti.</w:t>
      </w:r>
    </w:p>
    <w:p w14:paraId="1982F9A7" w14:textId="77777777" w:rsidR="00776A1F" w:rsidRDefault="00D8574B">
      <w:pPr>
        <w:pStyle w:val="P68B1DB1-Normal4"/>
        <w:spacing w:before="40" w:after="120" w:line="259" w:lineRule="auto"/>
        <w:jc w:val="both"/>
        <w:rPr>
          <w:rFonts w:eastAsiaTheme="minorEastAsia" w:cs="Times New Roman"/>
          <w:noProof/>
        </w:rPr>
      </w:pPr>
      <w:r>
        <w:rPr>
          <w:noProof/>
        </w:rPr>
        <w:t>Komponenta mērķis ir uzlabot publisko finanšu pārvaldību Portugālē un novērst pašreizējās nepilnības fiskālajās strukturālajās reformās. Šie mērķi cita starpā ir šādi:</w:t>
      </w:r>
    </w:p>
    <w:p w14:paraId="50B02B2C" w14:textId="77777777" w:rsidR="00776A1F" w:rsidRDefault="00D8574B">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pilnībā un efektīvi īstenot 2015. gada Budžeta pamatlikumu un ar to saistītās strukturālās izmaiņas budžeta plānošanas, grāmatvedības un informācijas sistēmu ziņā; </w:t>
      </w:r>
    </w:p>
    <w:p w14:paraId="117516F8" w14:textId="77777777" w:rsidR="00776A1F" w:rsidRDefault="00D8574B">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palielināt efektivitātes ietaupījumus, vairāk izmantojot centralizētas iepirkuma un izdevumu pārskatīšanas, ko plānots integrēt parastajā budžeta procesā un veikt sistemātiskus </w:t>
      </w:r>
      <w:r>
        <w:rPr>
          <w:i/>
          <w:noProof/>
        </w:rPr>
        <w:t>ex post</w:t>
      </w:r>
      <w:r>
        <w:rPr>
          <w:noProof/>
        </w:rPr>
        <w:t xml:space="preserve"> novērtējumus;</w:t>
      </w:r>
    </w:p>
    <w:p w14:paraId="53FEF5B8" w14:textId="77777777" w:rsidR="00776A1F" w:rsidRDefault="00D8574B">
      <w:pPr>
        <w:pStyle w:val="P68B1DB1-Normal4"/>
        <w:keepNext/>
        <w:numPr>
          <w:ilvl w:val="0"/>
          <w:numId w:val="61"/>
        </w:numPr>
        <w:spacing w:before="40" w:after="160" w:line="259" w:lineRule="auto"/>
        <w:contextualSpacing/>
        <w:jc w:val="both"/>
        <w:rPr>
          <w:rFonts w:eastAsiaTheme="minorEastAsia" w:cs="Times New Roman"/>
          <w:noProof/>
        </w:rPr>
      </w:pPr>
      <w:r>
        <w:rPr>
          <w:noProof/>
        </w:rPr>
        <w:t>uzlabot valsts uzņēmumu finansiālos rādītājus, nodrošinot lielāku pārredzamību, pastiprinātu uzraudzību un stingrāku pārvaldību, un vadība kļūst pārskatatbildīgāka un vairāk orientēta uz sniegumu; kā arī</w:t>
      </w:r>
    </w:p>
    <w:p w14:paraId="77257493" w14:textId="77777777" w:rsidR="00776A1F" w:rsidRDefault="00D8574B">
      <w:pPr>
        <w:pStyle w:val="P68B1DB1-Normal4"/>
        <w:keepNext/>
        <w:numPr>
          <w:ilvl w:val="0"/>
          <w:numId w:val="61"/>
        </w:numPr>
        <w:spacing w:before="40" w:after="160" w:line="259" w:lineRule="auto"/>
        <w:contextualSpacing/>
        <w:jc w:val="both"/>
        <w:rPr>
          <w:rFonts w:eastAsiaTheme="minorEastAsia" w:cs="Times New Roman"/>
          <w:noProof/>
        </w:rPr>
      </w:pPr>
      <w:r>
        <w:rPr>
          <w:noProof/>
        </w:rPr>
        <w:t>ieņēmumu pārvaldības efektivitātes palielināšana, ietverot gan Nodokļu un muitas iestādi, gan sociālā nodrošinājuma dienestus, izmantojot pieejamās iespējas lielākai digitalizācijai un uzņēmējdarbības ērtumam.</w:t>
      </w:r>
    </w:p>
    <w:p w14:paraId="0D3AD004" w14:textId="7EC49C9D" w:rsidR="00776A1F" w:rsidRDefault="00D8574B">
      <w:pPr>
        <w:pStyle w:val="P68B1DB1-Normal4"/>
        <w:spacing w:before="40" w:after="120" w:line="259" w:lineRule="auto"/>
        <w:jc w:val="both"/>
        <w:rPr>
          <w:rFonts w:eastAsiaTheme="minorEastAsia" w:cs="Times New Roman"/>
          <w:noProof/>
        </w:rPr>
      </w:pPr>
      <w:r>
        <w:rPr>
          <w:noProof/>
        </w:rPr>
        <w:t>Komponents palīdz īstenot konkrētai valstij adresēto ieteikumu uzlabot publisko finanšu kvalitāti, vienlaikus stiprinot vispārējo izdevumu kontroli, izmaksu efektivitāti un pienācīgu budžeta plānošanu (konkrētais valsts ieteikums Nr. 1 2019), ieteikumu uzlabot valsts uzņēmumu finansiālo ilgtspēju, vienlaikus nodrošinot savlaicīgāku, pārredzamāku un visaptverošāku uzraudzību (konkrētais valsts ieteikums Nr. 1 2019), ieteikumu, kad to pieļaus ekonomiskie apstākļi, īstenot fiskālo politiku, kuras mērķis ir panākt piesardzīgu vidēja termiņa fiskālo stāvokli un nodrošināt parāda ilgtspēju (konkrētais ieteikums Nr. 1 2020), un ieteikumu uzlabot nodokļu sistēmas efektivitāti, jo īpaši par prioritāti nosakot tās satvara vienkāršošanu (Valsts īpašais ieteikums Nr. 1 2022. un 2023. gads). Komponents arī palīdz īstenot konkrētai valstij adresēto ieteikumu koncentrēt investīcijas uz digitālo pārkārtošanos (konkrētais ieteikums Nr. 3 2020).</w:t>
      </w:r>
    </w:p>
    <w:p w14:paraId="6610EC5D" w14:textId="77777777" w:rsidR="00776A1F" w:rsidRDefault="00D8574B">
      <w:pPr>
        <w:pStyle w:val="P68B1DB1-Normal4"/>
        <w:spacing w:before="40" w:after="120" w:line="259" w:lineRule="auto"/>
        <w:jc w:val="both"/>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3248AA7D" w14:textId="77777777" w:rsidR="00776A1F" w:rsidRDefault="00776A1F">
      <w:pPr>
        <w:spacing w:before="40" w:after="120" w:line="259" w:lineRule="auto"/>
        <w:jc w:val="both"/>
        <w:rPr>
          <w:rFonts w:ascii="Times New Roman" w:eastAsiaTheme="minorEastAsia" w:hAnsi="Times New Roman" w:cs="Times New Roman"/>
          <w:noProof/>
          <w:sz w:val="24"/>
        </w:rPr>
      </w:pPr>
    </w:p>
    <w:p w14:paraId="28C15D2C"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Q.1. Neatmaksājamam finansiālajam atbalstam pieteikto reformu un investīciju apraksts</w:t>
      </w:r>
    </w:p>
    <w:p w14:paraId="1D2019B5" w14:textId="329788CF" w:rsidR="00776A1F" w:rsidRDefault="00D8574B">
      <w:pPr>
        <w:pStyle w:val="P68B1DB1-Normal5"/>
        <w:spacing w:before="240" w:after="0" w:line="259" w:lineRule="auto"/>
        <w:ind w:left="851"/>
        <w:jc w:val="both"/>
        <w:outlineLvl w:val="2"/>
        <w:rPr>
          <w:rFonts w:eastAsia="Times New Roman" w:cs="Times New Roman"/>
          <w:noProof/>
        </w:rPr>
      </w:pPr>
      <w:r>
        <w:rPr>
          <w:noProof/>
        </w:rPr>
        <w:t>TD-r32 reforma: Publisko finanšu pārvaldības modernizācija un vienkāršošana</w:t>
      </w:r>
    </w:p>
    <w:p w14:paraId="7386FB7C" w14:textId="77777777" w:rsidR="00776A1F" w:rsidRDefault="00D8574B">
      <w:pPr>
        <w:pStyle w:val="P68B1DB1-Normal4"/>
        <w:spacing w:before="40" w:after="120" w:line="259" w:lineRule="auto"/>
        <w:jc w:val="both"/>
        <w:rPr>
          <w:rFonts w:eastAsiaTheme="minorEastAsia" w:cs="Times New Roman"/>
          <w:noProof/>
        </w:rPr>
      </w:pPr>
      <w:r>
        <w:rPr>
          <w:noProof/>
        </w:rPr>
        <w:t>Reformas vispārējais mērķis ir uzlabot publisko finanšu kvalitāti un ilgtspēju un jo īpaši stiprināt izdevumu kontroli un pienācīgu budžeta plānošanu. Reformas mērķis ir arī palielināt pārredzamību un efektivitāti publisko resursu izmantošanā, izmantojot integrētāku administratīvo un finanšu procesu pārvaldību visās vispārējās valdības struktūrās.</w:t>
      </w:r>
    </w:p>
    <w:p w14:paraId="1C6AAFDF" w14:textId="77777777" w:rsidR="00776A1F" w:rsidRDefault="00D8574B">
      <w:pPr>
        <w:pStyle w:val="P68B1DB1-Normal4"/>
        <w:spacing w:before="40" w:after="120" w:line="259" w:lineRule="auto"/>
        <w:jc w:val="both"/>
        <w:rPr>
          <w:rFonts w:eastAsia="Times New Roman" w:cs="Times New Roman"/>
          <w:noProof/>
        </w:rPr>
      </w:pPr>
      <w:r>
        <w:rPr>
          <w:noProof/>
        </w:rPr>
        <w:t xml:space="preserve">Reforma ir visaptveroša fiskāla strukturāla reforma, kas sastāv no savstarpēji pastiprinošām iniciatīvām. </w:t>
      </w:r>
    </w:p>
    <w:p w14:paraId="43E9C02C" w14:textId="57B93928" w:rsidR="00776A1F" w:rsidRDefault="00D8574B">
      <w:pPr>
        <w:pStyle w:val="P68B1DB1-Normal4"/>
        <w:keepNext/>
        <w:numPr>
          <w:ilvl w:val="0"/>
          <w:numId w:val="67"/>
        </w:numPr>
        <w:spacing w:before="40" w:after="120" w:line="259" w:lineRule="auto"/>
        <w:contextualSpacing/>
        <w:jc w:val="both"/>
        <w:rPr>
          <w:rFonts w:eastAsiaTheme="minorEastAsia" w:cs="Times New Roman"/>
          <w:noProof/>
        </w:rPr>
      </w:pPr>
      <w:r>
        <w:rPr>
          <w:noProof/>
        </w:rPr>
        <w:t>Pirmkārt, pakāpeniski pasākumi veicina 2015. gada Budžeta pamatlikuma pilnīgu un efektīvu īstenošanu. Tie ietver programmu budžeta plānošanas izstrādi un tās iekļaušanu budžeta plānošanā un uzraudzībā, kā arī tādu tiesību aktu stāšanos spēkā, ar kuriem valsts grāmatvedības struktūra netiek papildināta. Paredzams, ka plānotā būtiskā publisko finanšu pārvaldības informācijas sistēmu modernizācija arī veicinās uzkrājumu grāmatvedības sistēmas ievērošanu.</w:t>
      </w:r>
    </w:p>
    <w:p w14:paraId="797E40BB" w14:textId="77777777" w:rsidR="00776A1F" w:rsidRDefault="00D8574B">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Otrkārt, ir plānots, ka izdevumu pārskatīšana kļūs par Portugāles budžeta procesa strukturālu iezīmi, labāk integrējot tās gada budžeta ciklā un ex post novērtējot iespējamo efektivitātes pieaugumu. </w:t>
      </w:r>
    </w:p>
    <w:p w14:paraId="7B864396" w14:textId="77777777" w:rsidR="00776A1F" w:rsidRDefault="00D8574B">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Treškārt, lai stiprinātu efektivitāti, tiek veikti uzlabojumi centralizētā iepirkuma jomā. </w:t>
      </w:r>
    </w:p>
    <w:p w14:paraId="68DBC2DB" w14:textId="77777777" w:rsidR="00776A1F" w:rsidRDefault="00D8574B">
      <w:pPr>
        <w:pStyle w:val="P68B1DB1-Normal4"/>
        <w:keepNext/>
        <w:numPr>
          <w:ilvl w:val="0"/>
          <w:numId w:val="67"/>
        </w:numPr>
        <w:spacing w:before="40" w:after="120" w:line="259" w:lineRule="auto"/>
        <w:contextualSpacing/>
        <w:jc w:val="both"/>
        <w:rPr>
          <w:rFonts w:eastAsiaTheme="minorEastAsia" w:cs="Times New Roman"/>
          <w:noProof/>
        </w:rPr>
      </w:pPr>
      <w:r>
        <w:rPr>
          <w:noProof/>
        </w:rPr>
        <w:t>Ceturtkārt, attiecībā uz valsts uzņēmumiem ir plānota divvirzienu pieeja, saskaņā ar kuru pasākumi, kuru mērķis ir palielināt pārredzamību finanšu datu atklāšanā, ir jāpapildina ar pasākumiem pārvaldības stiprināšanai, tostarp izmantojot uzlabotus vadības līgumus, lai veicinātu uz stimuliem balstītu vadības praksi, un parakstot budžetu un darbības plānus, kas nodrošina lielāku autonomiju apvienojumā ar stingrāku pārskatatbildību un uzraudzību.</w:t>
      </w:r>
    </w:p>
    <w:p w14:paraId="51CF4504" w14:textId="77777777" w:rsidR="00776A1F" w:rsidRDefault="00D8574B">
      <w:pPr>
        <w:pStyle w:val="P68B1DB1-Normal4"/>
        <w:spacing w:before="40" w:after="120" w:line="259" w:lineRule="auto"/>
        <w:jc w:val="both"/>
        <w:rPr>
          <w:rFonts w:eastAsiaTheme="minorEastAsia" w:cs="Times New Roman"/>
          <w:noProof/>
        </w:rPr>
      </w:pPr>
      <w:r>
        <w:rPr>
          <w:noProof/>
        </w:rPr>
        <w:t>Reformas īstenošanu pabeidz līdz 2025. gada 31. decembrim.</w:t>
      </w:r>
    </w:p>
    <w:p w14:paraId="17979527" w14:textId="77777777" w:rsidR="00776A1F" w:rsidRDefault="00D8574B">
      <w:pPr>
        <w:pStyle w:val="P68B1DB1-Normal5"/>
        <w:spacing w:before="240" w:after="0" w:line="259" w:lineRule="auto"/>
        <w:ind w:left="851"/>
        <w:jc w:val="both"/>
        <w:outlineLvl w:val="2"/>
        <w:rPr>
          <w:rFonts w:eastAsia="Times New Roman" w:cs="Times New Roman"/>
          <w:noProof/>
        </w:rPr>
      </w:pPr>
      <w:r>
        <w:rPr>
          <w:noProof/>
        </w:rPr>
        <w:t>Ieguldījums TD-C17-i01: Publisko finanšu pārvaldības informācijas sistēmas</w:t>
      </w:r>
    </w:p>
    <w:p w14:paraId="2D41C5D2" w14:textId="77777777" w:rsidR="00776A1F" w:rsidRDefault="00D8574B">
      <w:pPr>
        <w:pStyle w:val="P68B1DB1-Normal4"/>
        <w:spacing w:before="40" w:after="120" w:line="259" w:lineRule="auto"/>
        <w:jc w:val="both"/>
        <w:rPr>
          <w:rFonts w:eastAsia="Times New Roman" w:cs="Times New Roman"/>
          <w:noProof/>
        </w:rPr>
      </w:pPr>
      <w:r>
        <w:rPr>
          <w:noProof/>
        </w:rPr>
        <w:t>Ieguldījuma mērķis ir īstenot saistīto publisko finanšu pārvaldības reformu, lai uzlabotu publisko finanšu kvalitāti un ilgtspēju. Ieguldījumi ir īpaši svarīgi, lai pilnībā un efektīvi īstenotu 2015. gada Budžeta pamatlikumu.</w:t>
      </w:r>
    </w:p>
    <w:p w14:paraId="4F4EDC29" w14:textId="77777777" w:rsidR="00776A1F" w:rsidRDefault="00D8574B">
      <w:pPr>
        <w:pStyle w:val="P68B1DB1-Normal4"/>
        <w:spacing w:before="40" w:after="120" w:line="259" w:lineRule="auto"/>
        <w:jc w:val="both"/>
        <w:rPr>
          <w:rFonts w:eastAsia="Times New Roman" w:cs="Times New Roman"/>
          <w:noProof/>
        </w:rPr>
      </w:pPr>
      <w:r>
        <w:rPr>
          <w:noProof/>
        </w:rPr>
        <w:t>Ieguldījums sastāv no papildu apakšieguldījumiem, kuriem kopā būtu jāveicina publisko ieņēmumu un izdevumu integrēta pārvaldība. Pirmkārt, apakšieguldījumi ir vērsti uz informācijas tehnoloģiju risinājumiem, kas ļauj uzraudzīt valdības darījumus, pamatojoties uz procesu digitalizāciju, grāmatvedības automatizāciju un integrāciju Finanšu ministrijas centrālajās sistēmās, tādējādi veicinot budžeta plānošanu, uzraudzību un pārskatatbildību. Tie ietver tādu informācijas tehnoloģiju risinājumu izstrādi, kas ļauj integrēti pārvaldīt valsts kasi ar Valsts grāmatvedības struktūras starpniecību, kā arī atbalstīt valsts budžeta sagatavošanu un vidēja termiņa budžeta plānošanu, ieviešot programmu budžeta plānošanu un ievērojot uzkrājumu grāmatvedības sistēmu. Otrkārt, papildu uzlabojumi ir paredzēti arī centralizēto iepirkumu informācijas sistēmās, kā arī sabiedrisko transportlīdzekļu un nekustamā īpašuma pārvaldībā.</w:t>
      </w:r>
    </w:p>
    <w:p w14:paraId="1F60E6B1" w14:textId="77777777" w:rsidR="00776A1F" w:rsidRDefault="00D8574B">
      <w:pPr>
        <w:pStyle w:val="P68B1DB1-Normal4"/>
        <w:spacing w:before="40" w:after="0" w:line="259" w:lineRule="auto"/>
        <w:jc w:val="both"/>
        <w:rPr>
          <w:rFonts w:eastAsia="Times New Roman" w:cs="Times New Roman"/>
          <w:noProof/>
        </w:rPr>
      </w:pPr>
      <w:r>
        <w:rPr>
          <w:noProof/>
        </w:rPr>
        <w:t>Ieguldījumu īstenošanu pabeidz līdz 2026. gada 30. jūnijam.</w:t>
      </w:r>
    </w:p>
    <w:p w14:paraId="637EC6F3" w14:textId="77777777" w:rsidR="00776A1F" w:rsidRDefault="00D8574B">
      <w:pPr>
        <w:pStyle w:val="P68B1DB1-Normal5"/>
        <w:spacing w:before="240" w:after="0" w:line="259" w:lineRule="auto"/>
        <w:ind w:left="851"/>
        <w:jc w:val="both"/>
        <w:outlineLvl w:val="2"/>
        <w:rPr>
          <w:rFonts w:eastAsia="Times New Roman" w:cs="Times New Roman"/>
          <w:noProof/>
        </w:rPr>
      </w:pPr>
      <w:r>
        <w:rPr>
          <w:noProof/>
        </w:rPr>
        <w:t>Ieguldījums TD-C17-i02: Nodokļu un muitas iestādes informācijas sistēmu modernizācija attiecībā uz lauku īpašuma nodokļiem</w:t>
      </w:r>
    </w:p>
    <w:p w14:paraId="11A35064" w14:textId="77777777" w:rsidR="00776A1F" w:rsidRDefault="00D8574B">
      <w:pPr>
        <w:pStyle w:val="P68B1DB1-Normal4"/>
        <w:spacing w:before="40" w:after="120" w:line="259" w:lineRule="auto"/>
        <w:jc w:val="both"/>
        <w:rPr>
          <w:rFonts w:eastAsia="Times New Roman" w:cs="Times New Roman"/>
          <w:noProof/>
        </w:rPr>
      </w:pPr>
      <w:r>
        <w:rPr>
          <w:noProof/>
        </w:rPr>
        <w:t>Ieguldījuma mērķis ir veicināt visu ar lauku īpašumu aplikšanu ar nodokļiem saistīto procesu digitalizāciju, jo īpaši saistītās informācijas — kartēšanu un ar to saistītās iezīmes (piemēram, kultūraugus un ekonomisko potenciālu) — digitalizāciju un iepriekšēju aizpildīšanu konkrētu deklarēšanas pienākumu izpildei.</w:t>
      </w:r>
    </w:p>
    <w:p w14:paraId="414FC653" w14:textId="1B3EFAB6" w:rsidR="00776A1F" w:rsidRDefault="00D8574B">
      <w:pPr>
        <w:pStyle w:val="P68B1DB1-Normal4"/>
        <w:keepNext/>
        <w:spacing w:before="40" w:after="120" w:line="259" w:lineRule="auto"/>
        <w:jc w:val="both"/>
        <w:rPr>
          <w:rFonts w:eastAsia="Times New Roman" w:cs="Times New Roman"/>
          <w:noProof/>
        </w:rPr>
      </w:pPr>
      <w:r>
        <w:rPr>
          <w:noProof/>
        </w:rPr>
        <w:t>Ieguldījums sastāv no vairākiem apakšieguldījumiem, ko veido: īpašuma matricām paredzētās atbalsta informācijas digitalizācija; informācijas tehnoloģiju infrastruktūras stiprināšana, lai saglabātu digitalizētu informāciju par īpašumu; III) nekustamā īpašuma matricu konsultāciju un vizualizācijas mehānismu izstrāde; informācijas sistēmas izstrāde, lai atbalstītu vienkāršotu lauku īpašumu kadastrālo novērtējumu; V) ģeoreferencētas informācijas pārvaldības risinājuma izstrāde; un vi) deklaratīvu iepriekšējas aizpildīšanas pakalpojumu izstrāde (jo īpaši nekustamā īpašuma aplikšanai ar nodokli un īpašiem darījumiem, uz kuriem attiecas zīmognodeva).</w:t>
      </w:r>
    </w:p>
    <w:p w14:paraId="2C782842" w14:textId="77777777" w:rsidR="00776A1F" w:rsidRDefault="00D8574B">
      <w:pPr>
        <w:pStyle w:val="P68B1DB1-Normal4"/>
        <w:spacing w:before="40" w:after="0" w:line="259" w:lineRule="auto"/>
        <w:jc w:val="both"/>
        <w:rPr>
          <w:rFonts w:eastAsia="Times New Roman" w:cs="Times New Roman"/>
          <w:noProof/>
        </w:rPr>
      </w:pPr>
      <w:r>
        <w:rPr>
          <w:noProof/>
        </w:rPr>
        <w:t>Ieguldījumu īstenošanu pabeidz līdz 2025. gada 31. decembrim.</w:t>
      </w:r>
    </w:p>
    <w:p w14:paraId="18AD381B" w14:textId="77777777" w:rsidR="00776A1F" w:rsidRDefault="00D8574B">
      <w:pPr>
        <w:pStyle w:val="P68B1DB1-Normal5"/>
        <w:keepNext/>
        <w:spacing w:before="240" w:after="0" w:line="259" w:lineRule="auto"/>
        <w:ind w:left="851"/>
        <w:jc w:val="both"/>
        <w:outlineLvl w:val="2"/>
        <w:rPr>
          <w:rFonts w:eastAsia="Times New Roman" w:cs="Times New Roman"/>
          <w:noProof/>
        </w:rPr>
      </w:pPr>
      <w:r>
        <w:rPr>
          <w:noProof/>
        </w:rPr>
        <w:t>Ieguldījums TD-C17-i03: Sociālā nodrošinājuma pakalpojumu digitālā pārkārtošanās</w:t>
      </w:r>
    </w:p>
    <w:p w14:paraId="484E2C44" w14:textId="77777777" w:rsidR="00776A1F" w:rsidRDefault="00D8574B">
      <w:pPr>
        <w:pStyle w:val="P68B1DB1-Normal4"/>
        <w:keepNext/>
        <w:spacing w:before="40" w:after="120" w:line="259" w:lineRule="auto"/>
        <w:jc w:val="both"/>
        <w:rPr>
          <w:rFonts w:eastAsia="Times New Roman" w:cs="Times New Roman"/>
          <w:noProof/>
        </w:rPr>
      </w:pPr>
      <w:r>
        <w:rPr>
          <w:noProof/>
        </w:rPr>
        <w:t>Ieguldījumu mērķis ir veicināt sociālā nodrošinājuma pakalpojumu digitalizāciju, lai padarītu tos lietotājdraudzīgākus, veicinātu efektivitāti un ierobežotu krāpšanu un izvairīšanos no nodokļu maksāšanas.</w:t>
      </w:r>
    </w:p>
    <w:p w14:paraId="7A04F8FA" w14:textId="77777777" w:rsidR="00776A1F" w:rsidRDefault="00D8574B">
      <w:pPr>
        <w:pStyle w:val="P68B1DB1-Normal4"/>
        <w:keepNext/>
        <w:spacing w:before="40" w:after="120" w:line="259" w:lineRule="auto"/>
        <w:jc w:val="both"/>
        <w:rPr>
          <w:rFonts w:eastAsia="Times New Roman" w:cs="Times New Roman"/>
          <w:noProof/>
        </w:rPr>
      </w:pPr>
      <w:r>
        <w:rPr>
          <w:noProof/>
        </w:rPr>
        <w:t xml:space="preserve">Ieguldījums sastāv no pasākumiem, lai: uzlabot sociālā nodrošinājuma pakalpojumu izstrādi un organizāciju, pamatojoties uz pamatā esošo informācijas sistēmu modernizāciju, sociālo pabalstu, sociālo iemaksu, krāpšanas novēršanas, informācijas pārvaldības un maksājumu kanālu jomā; izstrādāt un īstenot jaunu attiecību modeli, kurā paredzēts integrēt dažādus mijiedarbības kanālus starp iedzīvotājiem, uzņēmumiem un sociālā nodrošinājuma dienestiem, izmantojot visaptverošu pieeju; III) pielāgot sociālā nodrošinājuma dienestu darba vietas, lai nodrošinātu elastīgāku darba režīmu, piemēram, tāldarbu; ieviest informācijas tehnoloģiju infrastruktūru, kuras pamatā ir mākoņdatošanas risinājumi, kam ir potenciāls atbalstīt veiktspēju un sadarbspēju; un v) pārskatīt iekšējos procesus un apmācīt sociālā nodrošinājuma darbiniekus, lai atbalstītu iepriekš minēto investīciju un strukturālo pārmaiņu raitu īstenošanu. </w:t>
      </w:r>
    </w:p>
    <w:p w14:paraId="1A95DF4E" w14:textId="77777777" w:rsidR="00776A1F" w:rsidRDefault="00D8574B">
      <w:pPr>
        <w:pStyle w:val="P68B1DB1-Normal4"/>
        <w:spacing w:before="40" w:after="0" w:line="259" w:lineRule="auto"/>
        <w:jc w:val="both"/>
        <w:rPr>
          <w:rFonts w:eastAsia="Times New Roman" w:cs="Times New Roman"/>
          <w:noProof/>
        </w:rPr>
      </w:pPr>
      <w:r>
        <w:rPr>
          <w:noProof/>
        </w:rPr>
        <w:t>Ieguldījumu īstenošanu pabeidz līdz 2025. gada 31. decembrim.</w:t>
      </w:r>
    </w:p>
    <w:p w14:paraId="4F1F38D4" w14:textId="399786BD" w:rsidR="00776A1F" w:rsidRDefault="00D8574B">
      <w:pPr>
        <w:pStyle w:val="P68B1DB1-Normal5"/>
        <w:keepNext/>
        <w:spacing w:before="240" w:after="0" w:line="259" w:lineRule="auto"/>
        <w:ind w:left="851"/>
        <w:jc w:val="both"/>
        <w:outlineLvl w:val="2"/>
        <w:rPr>
          <w:rFonts w:eastAsia="Times New Roman" w:cs="Times New Roman"/>
          <w:noProof/>
        </w:rPr>
      </w:pPr>
      <w:bookmarkStart w:id="32" w:name="_Toc137472472"/>
      <w:r>
        <w:rPr>
          <w:noProof/>
        </w:rPr>
        <w:t xml:space="preserve">Reforma TD-C17-r40: Nodokļu sistēmas vienkāršošana </w:t>
      </w:r>
      <w:bookmarkEnd w:id="32"/>
    </w:p>
    <w:p w14:paraId="7BD4017E" w14:textId="77777777" w:rsidR="00776A1F" w:rsidRDefault="00D8574B">
      <w:pPr>
        <w:spacing w:before="40" w:after="0" w:line="259" w:lineRule="auto"/>
        <w:jc w:val="both"/>
        <w:rPr>
          <w:rFonts w:ascii="Times New Roman" w:hAnsi="Times New Roman" w:cs="Times New Roman"/>
          <w:noProof/>
          <w:sz w:val="24"/>
        </w:rPr>
      </w:pPr>
      <w:r>
        <w:rPr>
          <w:rFonts w:ascii="Times New Roman" w:hAnsi="Times New Roman"/>
          <w:noProof/>
          <w:sz w:val="24"/>
        </w:rPr>
        <w:t>Šīs reformas mērķis ir uzlabot Portugāles nodokļu sistēmas efektivitāti. Ar reformu ievieš pastāvīgu sistēmu, lai pastāvīgi uzraudzītu un novērtētu jaunos un esošos nodokļu atvieglojumus (“</w:t>
      </w:r>
      <w:r>
        <w:rPr>
          <w:rFonts w:ascii="Times New Roman" w:hAnsi="Times New Roman"/>
          <w:i/>
          <w:noProof/>
          <w:sz w:val="24"/>
        </w:rPr>
        <w:t>benefícios fiscais</w:t>
      </w:r>
      <w:r>
        <w:rPr>
          <w:rFonts w:ascii="Times New Roman" w:hAnsi="Times New Roman"/>
          <w:noProof/>
          <w:sz w:val="24"/>
        </w:rPr>
        <w:t>”)</w:t>
      </w:r>
      <w:r>
        <w:rPr>
          <w:rStyle w:val="FootnoteReference"/>
          <w:rFonts w:ascii="Times New Roman" w:hAnsi="Times New Roman" w:cs="Times New Roman"/>
          <w:noProof/>
          <w:sz w:val="24"/>
        </w:rPr>
        <w:footnoteReference w:id="76"/>
      </w:r>
      <w:r>
        <w:rPr>
          <w:rFonts w:ascii="Times New Roman" w:hAnsi="Times New Roman"/>
          <w:noProof/>
          <w:sz w:val="24"/>
        </w:rPr>
        <w:t>. Tā rezultātā tiks vienkāršots pašreizējais regulējums, samazinot nodokļu atvieglojumu skaitu, samazinot ar tiem saistītos nodokļu izdevumus (“despesas</w:t>
      </w:r>
      <w:r>
        <w:rPr>
          <w:rFonts w:ascii="Times New Roman" w:hAnsi="Times New Roman"/>
          <w:i/>
          <w:noProof/>
          <w:sz w:val="24"/>
        </w:rPr>
        <w:t>fiscais”</w:t>
      </w:r>
      <w:r>
        <w:rPr>
          <w:rFonts w:ascii="Times New Roman" w:hAnsi="Times New Roman"/>
          <w:noProof/>
          <w:sz w:val="24"/>
        </w:rPr>
        <w:t>) un stiprinot to nodokļu atvieglojumu izmaksu efektivitāti, kas paliek spēkā.</w:t>
      </w:r>
    </w:p>
    <w:p w14:paraId="0F4A2EDF" w14:textId="77777777" w:rsidR="00776A1F" w:rsidRDefault="00D8574B">
      <w:pPr>
        <w:pStyle w:val="P68B1DB1-Normal4"/>
        <w:spacing w:before="40" w:after="0" w:line="259" w:lineRule="auto"/>
        <w:jc w:val="both"/>
        <w:rPr>
          <w:rFonts w:eastAsia="@MS Mincho" w:cs="Times New Roman"/>
          <w:noProof/>
        </w:rPr>
      </w:pPr>
      <w:r>
        <w:rPr>
          <w:noProof/>
        </w:rPr>
        <w:t>Reformu veido tiesību akts, ar ko izveido pastāvīgu tehniskās nodokļu politikas vienību (</w:t>
      </w:r>
      <w:r>
        <w:rPr>
          <w:i/>
          <w:noProof/>
        </w:rPr>
        <w:t>Undade Técnica de Avaliação Tributária e Aduaneira</w:t>
      </w:r>
      <w:r>
        <w:rPr>
          <w:noProof/>
        </w:rPr>
        <w:t xml:space="preserve">, pazīstams arī kā U-TAX) ar pilnvarām sistemātiski uzraudzīt un novērtēt jaunus un esošus nodokļu atvieglojumus un sniegt ieguldījumu nodokļu politikas izstrādē, īstenošanā un ietekmes novērtēšanā. Nodokļu politikas nodaļa arī palīdz sagatavot tiesību aktus nodokļu jomā sadarbībā ar citām attiecīgām struktūrām, piemēram, </w:t>
      </w:r>
      <w:r>
        <w:rPr>
          <w:i/>
          <w:noProof/>
        </w:rPr>
        <w:t xml:space="preserve">Centro de Estudos Fiscais e Aduaneiros ( </w:t>
      </w:r>
      <w:r>
        <w:rPr>
          <w:noProof/>
        </w:rPr>
        <w:t>CEF). Tiesību aktā norāda U-TAX oficiālo struktūru, tostarp tās struktūrshēmu, darbību un uzdevumus. U-TAX ir tehniski neatkarīgs no Nodokļu un muitas iestādes un tieši atbild Finanšu ministrijai. U-TAX sastāv no pastāvīga tehniskā personāla, kam ir speciālas zināšanas nodokļu politikas jomā. Tiesību aktā arī nosaka oficiālo mijiedarbību starp U-TAX un citām attiecīgām publiskām un privātām struktūrām kā pētniecības un akadēmiskām iestādēm un nosaka datu kopīgošanas nolīgumu starp U-TAX un attiecīgajām publiskajām struktūrām, piemēram, Nodokļu un muitas iestādi un Portugāles Statistikas institūtu (INE). Tiesību akts arī nodrošina U-TAX saistības attiecībā uz tās analītisko ziņojumu kvalitāti un pārredzamību un datu kvalitātes standartu saglabāšanu. Šī nodokļu politikas nodaļa publicē novērtējuma ziņojumu ar izmaksu un ieguvumu analīzi par esošajiem nodokļu atvieglojumiem, norādot efektivitātes un lietderības kritērijus, kā arī vides apsvērumus. Pēc šā novērtējuma veikšanas veic būtiska nodokļu atvieglojumu kopuma tiesiskā regulējuma pārskatīšanu.</w:t>
      </w:r>
    </w:p>
    <w:p w14:paraId="6901A2AB" w14:textId="77777777" w:rsidR="00776A1F" w:rsidRDefault="00D8574B">
      <w:pPr>
        <w:pStyle w:val="P68B1DB1-Normal4"/>
        <w:spacing w:before="40" w:after="0" w:line="259" w:lineRule="auto"/>
        <w:jc w:val="both"/>
        <w:rPr>
          <w:rFonts w:cs="Times New Roman"/>
          <w:noProof/>
        </w:rPr>
      </w:pPr>
      <w:r>
        <w:rPr>
          <w:noProof/>
        </w:rPr>
        <w:t>Šīs reformas īstenošanu pabeidz līdz 2026. gada 31. martam.</w:t>
      </w:r>
    </w:p>
    <w:p w14:paraId="282DA7C3" w14:textId="77777777" w:rsidR="00776A1F" w:rsidRDefault="00776A1F">
      <w:pPr>
        <w:spacing w:before="40" w:after="0" w:line="259" w:lineRule="auto"/>
        <w:jc w:val="both"/>
        <w:rPr>
          <w:rFonts w:ascii="Times New Roman" w:eastAsia="Times New Roman" w:hAnsi="Times New Roman" w:cs="Times New Roman"/>
          <w:noProof/>
          <w:sz w:val="24"/>
        </w:rPr>
      </w:pPr>
    </w:p>
    <w:p w14:paraId="03613E4E" w14:textId="75A6C9BA" w:rsidR="00776A1F" w:rsidRDefault="00776A1F">
      <w:pPr>
        <w:spacing w:before="40" w:after="0" w:line="259" w:lineRule="auto"/>
        <w:jc w:val="both"/>
        <w:rPr>
          <w:rFonts w:ascii="Times New Roman" w:eastAsia="Times New Roman" w:hAnsi="Times New Roman" w:cs="Times New Roman"/>
          <w:noProof/>
          <w:sz w:val="24"/>
        </w:rPr>
        <w:sectPr w:rsidR="00776A1F" w:rsidSect="00E00EDD">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60"/>
        </w:sectPr>
      </w:pPr>
    </w:p>
    <w:p w14:paraId="449FF56D"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Q.2. Atskaites punkti, mērķrādītāji, citi rādītāji un neatmaksājamā finansiālā atbalsta uzraudzības un īstenošanas grafiks</w:t>
      </w:r>
    </w:p>
    <w:p w14:paraId="47972E30"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52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036"/>
        <w:gridCol w:w="1161"/>
        <w:gridCol w:w="1034"/>
        <w:gridCol w:w="1539"/>
        <w:gridCol w:w="1356"/>
        <w:gridCol w:w="909"/>
        <w:gridCol w:w="908"/>
        <w:gridCol w:w="657"/>
        <w:gridCol w:w="530"/>
        <w:gridCol w:w="656"/>
        <w:gridCol w:w="5456"/>
      </w:tblGrid>
      <w:tr w:rsidR="00776A1F" w14:paraId="0CC744D9" w14:textId="77777777">
        <w:trPr>
          <w:trHeight w:val="910"/>
          <w:tblHeader/>
        </w:trPr>
        <w:tc>
          <w:tcPr>
            <w:tcW w:w="1043" w:type="dxa"/>
            <w:gridSpan w:val="2"/>
            <w:vMerge w:val="restart"/>
            <w:shd w:val="clear" w:color="auto" w:fill="BDD6EE"/>
            <w:vAlign w:val="center"/>
            <w:hideMark/>
          </w:tcPr>
          <w:p w14:paraId="0DD3CE3E"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161" w:type="dxa"/>
            <w:vMerge w:val="restart"/>
            <w:shd w:val="clear" w:color="auto" w:fill="BDD6EE"/>
            <w:vAlign w:val="center"/>
            <w:hideMark/>
          </w:tcPr>
          <w:p w14:paraId="119BDC18"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034" w:type="dxa"/>
            <w:vMerge w:val="restart"/>
            <w:shd w:val="clear" w:color="auto" w:fill="BDD6EE"/>
            <w:vAlign w:val="center"/>
            <w:hideMark/>
          </w:tcPr>
          <w:p w14:paraId="68B0DBF9" w14:textId="77777777" w:rsidR="00776A1F" w:rsidRDefault="00D8574B">
            <w:pPr>
              <w:pStyle w:val="P68B1DB1-Normal6"/>
              <w:spacing w:after="0" w:line="240" w:lineRule="auto"/>
              <w:jc w:val="center"/>
              <w:rPr>
                <w:rFonts w:eastAsia="Times New Roman" w:cs="Times New Roman"/>
                <w:noProof/>
              </w:rPr>
            </w:pPr>
            <w:r>
              <w:rPr>
                <w:noProof/>
              </w:rPr>
              <w:t>Stūrakmens/</w:t>
            </w:r>
          </w:p>
          <w:p w14:paraId="235747B5" w14:textId="63F3C043" w:rsidR="00776A1F" w:rsidRDefault="00D8574B">
            <w:pPr>
              <w:pStyle w:val="P68B1DB1-Normal6"/>
              <w:spacing w:after="0" w:line="240" w:lineRule="auto"/>
              <w:jc w:val="center"/>
              <w:rPr>
                <w:rFonts w:eastAsia="Times New Roman" w:cs="Times New Roman"/>
                <w:noProof/>
              </w:rPr>
            </w:pPr>
            <w:r>
              <w:rPr>
                <w:noProof/>
              </w:rPr>
              <w:t>Mērķa</w:t>
            </w:r>
          </w:p>
        </w:tc>
        <w:tc>
          <w:tcPr>
            <w:tcW w:w="1539" w:type="dxa"/>
            <w:vMerge w:val="restart"/>
            <w:shd w:val="clear" w:color="auto" w:fill="BDD6EE"/>
            <w:vAlign w:val="center"/>
            <w:hideMark/>
          </w:tcPr>
          <w:p w14:paraId="6666AD10"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356" w:type="dxa"/>
            <w:vMerge w:val="restart"/>
            <w:shd w:val="clear" w:color="auto" w:fill="BDD6EE"/>
            <w:vAlign w:val="center"/>
            <w:hideMark/>
          </w:tcPr>
          <w:p w14:paraId="0C0A3581"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474" w:type="dxa"/>
            <w:gridSpan w:val="3"/>
            <w:shd w:val="clear" w:color="auto" w:fill="BDD6EE"/>
            <w:vAlign w:val="center"/>
            <w:hideMark/>
          </w:tcPr>
          <w:p w14:paraId="7EB33E8C"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186" w:type="dxa"/>
            <w:gridSpan w:val="2"/>
            <w:shd w:val="clear" w:color="auto" w:fill="BDD6EE"/>
            <w:vAlign w:val="center"/>
            <w:hideMark/>
          </w:tcPr>
          <w:p w14:paraId="3D7372E7"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5456" w:type="dxa"/>
            <w:vMerge w:val="restart"/>
            <w:shd w:val="clear" w:color="auto" w:fill="BDD6EE"/>
            <w:noWrap/>
            <w:vAlign w:val="center"/>
            <w:hideMark/>
          </w:tcPr>
          <w:p w14:paraId="110BCD14"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26D58C7B" w14:textId="77777777">
        <w:trPr>
          <w:trHeight w:val="521"/>
          <w:tblHeader/>
        </w:trPr>
        <w:tc>
          <w:tcPr>
            <w:tcW w:w="1043" w:type="dxa"/>
            <w:gridSpan w:val="2"/>
            <w:vMerge/>
            <w:vAlign w:val="center"/>
          </w:tcPr>
          <w:p w14:paraId="0A90FC04" w14:textId="77777777" w:rsidR="00776A1F" w:rsidRDefault="00776A1F">
            <w:pPr>
              <w:spacing w:after="0" w:line="240" w:lineRule="auto"/>
              <w:jc w:val="center"/>
              <w:rPr>
                <w:rFonts w:ascii="Calibri" w:eastAsia="Times New Roman" w:hAnsi="Calibri" w:cs="Calibri"/>
                <w:b/>
                <w:noProof/>
                <w:sz w:val="16"/>
              </w:rPr>
            </w:pPr>
          </w:p>
        </w:tc>
        <w:tc>
          <w:tcPr>
            <w:tcW w:w="1161" w:type="dxa"/>
            <w:vMerge/>
            <w:noWrap/>
            <w:vAlign w:val="center"/>
          </w:tcPr>
          <w:p w14:paraId="7720E5AA" w14:textId="77777777" w:rsidR="00776A1F" w:rsidRDefault="00776A1F">
            <w:pPr>
              <w:spacing w:after="0" w:line="240" w:lineRule="auto"/>
              <w:jc w:val="center"/>
              <w:rPr>
                <w:rFonts w:ascii="Calibri" w:eastAsia="Times New Roman" w:hAnsi="Calibri" w:cs="Calibri"/>
                <w:noProof/>
                <w:sz w:val="16"/>
              </w:rPr>
            </w:pPr>
          </w:p>
        </w:tc>
        <w:tc>
          <w:tcPr>
            <w:tcW w:w="1034" w:type="dxa"/>
            <w:vMerge/>
            <w:noWrap/>
            <w:vAlign w:val="center"/>
          </w:tcPr>
          <w:p w14:paraId="44179E26" w14:textId="77777777" w:rsidR="00776A1F" w:rsidRDefault="00776A1F">
            <w:pPr>
              <w:spacing w:after="0" w:line="240" w:lineRule="auto"/>
              <w:jc w:val="center"/>
              <w:rPr>
                <w:rFonts w:ascii="Calibri" w:eastAsia="Times New Roman" w:hAnsi="Calibri" w:cs="Calibri"/>
                <w:noProof/>
                <w:sz w:val="16"/>
              </w:rPr>
            </w:pPr>
          </w:p>
        </w:tc>
        <w:tc>
          <w:tcPr>
            <w:tcW w:w="1539" w:type="dxa"/>
            <w:vMerge/>
            <w:noWrap/>
            <w:vAlign w:val="center"/>
          </w:tcPr>
          <w:p w14:paraId="591AE727" w14:textId="77777777" w:rsidR="00776A1F" w:rsidRDefault="00776A1F">
            <w:pPr>
              <w:spacing w:after="0" w:line="240" w:lineRule="auto"/>
              <w:jc w:val="center"/>
              <w:rPr>
                <w:rFonts w:ascii="Calibri" w:eastAsia="Times New Roman" w:hAnsi="Calibri" w:cs="Calibri"/>
                <w:noProof/>
                <w:sz w:val="16"/>
              </w:rPr>
            </w:pPr>
          </w:p>
        </w:tc>
        <w:tc>
          <w:tcPr>
            <w:tcW w:w="1356" w:type="dxa"/>
            <w:vMerge/>
            <w:noWrap/>
            <w:vAlign w:val="center"/>
          </w:tcPr>
          <w:p w14:paraId="7822AAB7" w14:textId="77777777" w:rsidR="00776A1F" w:rsidRDefault="00776A1F">
            <w:pPr>
              <w:spacing w:after="0" w:line="240" w:lineRule="auto"/>
              <w:jc w:val="center"/>
              <w:rPr>
                <w:rFonts w:ascii="Calibri" w:eastAsia="Times New Roman" w:hAnsi="Calibri" w:cs="Calibri"/>
                <w:noProof/>
                <w:sz w:val="16"/>
              </w:rPr>
            </w:pPr>
          </w:p>
        </w:tc>
        <w:tc>
          <w:tcPr>
            <w:tcW w:w="909" w:type="dxa"/>
            <w:shd w:val="clear" w:color="auto" w:fill="BDD6EE"/>
            <w:noWrap/>
            <w:vAlign w:val="center"/>
          </w:tcPr>
          <w:p w14:paraId="64FC2FBB" w14:textId="4031209A" w:rsidR="00776A1F" w:rsidRDefault="00D8574B">
            <w:pPr>
              <w:pStyle w:val="P68B1DB1-Normal6"/>
              <w:spacing w:after="0" w:line="240" w:lineRule="auto"/>
              <w:jc w:val="center"/>
              <w:rPr>
                <w:rFonts w:ascii="Calibri" w:eastAsia="Times New Roman" w:hAnsi="Calibri" w:cs="Calibri"/>
                <w:noProof/>
                <w:sz w:val="16"/>
              </w:rPr>
            </w:pPr>
            <w:r>
              <w:rPr>
                <w:noProof/>
              </w:rPr>
              <w:t>Mēra vienība</w:t>
            </w:r>
          </w:p>
        </w:tc>
        <w:tc>
          <w:tcPr>
            <w:tcW w:w="908" w:type="dxa"/>
            <w:shd w:val="clear" w:color="auto" w:fill="BDD6EE"/>
            <w:noWrap/>
            <w:vAlign w:val="center"/>
          </w:tcPr>
          <w:p w14:paraId="39BFFF83" w14:textId="07A9DA21" w:rsidR="00776A1F" w:rsidRDefault="00D8574B">
            <w:pPr>
              <w:pStyle w:val="P68B1DB1-Normal6"/>
              <w:spacing w:after="0" w:line="240" w:lineRule="auto"/>
              <w:jc w:val="center"/>
              <w:rPr>
                <w:rFonts w:ascii="Calibri" w:eastAsia="Times New Roman" w:hAnsi="Calibri" w:cs="Calibri"/>
                <w:noProof/>
                <w:sz w:val="16"/>
              </w:rPr>
            </w:pPr>
            <w:r>
              <w:rPr>
                <w:noProof/>
              </w:rPr>
              <w:t>Pamatscenārijs</w:t>
            </w:r>
          </w:p>
        </w:tc>
        <w:tc>
          <w:tcPr>
            <w:tcW w:w="657" w:type="dxa"/>
            <w:shd w:val="clear" w:color="auto" w:fill="BDD6EE"/>
            <w:noWrap/>
            <w:vAlign w:val="center"/>
          </w:tcPr>
          <w:p w14:paraId="15BA119E" w14:textId="139D46FC" w:rsidR="00776A1F" w:rsidRDefault="00D8574B">
            <w:pPr>
              <w:pStyle w:val="P68B1DB1-Normal6"/>
              <w:spacing w:after="0" w:line="240" w:lineRule="auto"/>
              <w:jc w:val="center"/>
              <w:rPr>
                <w:rFonts w:ascii="Calibri" w:eastAsia="Times New Roman" w:hAnsi="Calibri" w:cs="Calibri"/>
                <w:noProof/>
                <w:sz w:val="16"/>
              </w:rPr>
            </w:pPr>
            <w:r>
              <w:rPr>
                <w:noProof/>
              </w:rPr>
              <w:t>Mērķis</w:t>
            </w:r>
          </w:p>
        </w:tc>
        <w:tc>
          <w:tcPr>
            <w:tcW w:w="530" w:type="dxa"/>
            <w:shd w:val="clear" w:color="auto" w:fill="BDD6EE"/>
            <w:noWrap/>
            <w:vAlign w:val="center"/>
          </w:tcPr>
          <w:p w14:paraId="1E42A9C0" w14:textId="475D06D5" w:rsidR="00776A1F" w:rsidRDefault="00D8574B">
            <w:pPr>
              <w:pStyle w:val="P68B1DB1-Normal6"/>
              <w:spacing w:after="0" w:line="240" w:lineRule="auto"/>
              <w:jc w:val="center"/>
              <w:rPr>
                <w:rFonts w:ascii="Calibri" w:eastAsia="Times New Roman" w:hAnsi="Calibri" w:cs="Calibri"/>
                <w:noProof/>
                <w:sz w:val="16"/>
              </w:rPr>
            </w:pPr>
            <w:r>
              <w:rPr>
                <w:noProof/>
              </w:rPr>
              <w:t>Q</w:t>
            </w:r>
          </w:p>
        </w:tc>
        <w:tc>
          <w:tcPr>
            <w:tcW w:w="656" w:type="dxa"/>
            <w:shd w:val="clear" w:color="auto" w:fill="BDD6EE"/>
            <w:noWrap/>
            <w:vAlign w:val="center"/>
          </w:tcPr>
          <w:p w14:paraId="7E76EBEF" w14:textId="6888EA5F" w:rsidR="00776A1F" w:rsidRDefault="00D8574B">
            <w:pPr>
              <w:pStyle w:val="P68B1DB1-Normal6"/>
              <w:spacing w:after="0" w:line="240" w:lineRule="auto"/>
              <w:jc w:val="center"/>
              <w:rPr>
                <w:rFonts w:ascii="Calibri" w:eastAsia="Times New Roman" w:hAnsi="Calibri" w:cs="Calibri"/>
                <w:noProof/>
                <w:sz w:val="16"/>
              </w:rPr>
            </w:pPr>
            <w:r>
              <w:rPr>
                <w:noProof/>
              </w:rPr>
              <w:t>Gadā</w:t>
            </w:r>
          </w:p>
        </w:tc>
        <w:tc>
          <w:tcPr>
            <w:tcW w:w="5456" w:type="dxa"/>
            <w:vMerge/>
            <w:noWrap/>
            <w:vAlign w:val="center"/>
          </w:tcPr>
          <w:p w14:paraId="33463114" w14:textId="77777777" w:rsidR="00776A1F" w:rsidRDefault="00776A1F">
            <w:pPr>
              <w:spacing w:after="0" w:line="240" w:lineRule="auto"/>
              <w:jc w:val="both"/>
              <w:rPr>
                <w:rFonts w:ascii="Calibri" w:eastAsia="Times New Roman" w:hAnsi="Calibri" w:cs="Calibri"/>
                <w:noProof/>
                <w:sz w:val="16"/>
              </w:rPr>
            </w:pPr>
          </w:p>
        </w:tc>
      </w:tr>
      <w:tr w:rsidR="00776A1F" w14:paraId="7694BA31" w14:textId="77777777">
        <w:trPr>
          <w:trHeight w:val="850"/>
        </w:trPr>
        <w:tc>
          <w:tcPr>
            <w:tcW w:w="1043" w:type="dxa"/>
            <w:gridSpan w:val="2"/>
            <w:shd w:val="clear" w:color="auto" w:fill="C4EFCE"/>
            <w:vAlign w:val="center"/>
            <w:hideMark/>
          </w:tcPr>
          <w:p w14:paraId="3E3FBA2E" w14:textId="77777777" w:rsidR="00776A1F" w:rsidRDefault="00D8574B">
            <w:pPr>
              <w:pStyle w:val="P68B1DB1-Normal7"/>
              <w:spacing w:after="0" w:line="240" w:lineRule="auto"/>
              <w:jc w:val="center"/>
              <w:rPr>
                <w:rFonts w:eastAsia="Times New Roman" w:cs="Calibri"/>
                <w:noProof/>
              </w:rPr>
            </w:pPr>
            <w:r>
              <w:rPr>
                <w:noProof/>
              </w:rPr>
              <w:t>17.1</w:t>
            </w:r>
          </w:p>
        </w:tc>
        <w:tc>
          <w:tcPr>
            <w:tcW w:w="1161" w:type="dxa"/>
            <w:shd w:val="clear" w:color="auto" w:fill="C4EFCE"/>
            <w:noWrap/>
            <w:vAlign w:val="center"/>
            <w:hideMark/>
          </w:tcPr>
          <w:p w14:paraId="2DD63E92"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F2B21F0"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4C19ED3" w14:textId="77777777" w:rsidR="00776A1F" w:rsidRDefault="00D8574B">
            <w:pPr>
              <w:pStyle w:val="P68B1DB1-Normal8"/>
              <w:spacing w:after="0" w:line="240" w:lineRule="auto"/>
              <w:jc w:val="center"/>
              <w:rPr>
                <w:rFonts w:eastAsia="Times New Roman" w:cs="Calibri"/>
                <w:noProof/>
              </w:rPr>
            </w:pPr>
            <w:r>
              <w:rPr>
                <w:noProof/>
              </w:rPr>
              <w:t>Pabeigt jaunu iepirkuma modeļu izstrādi un īstenošanu valsts centrālajai publiskā iepirkuma sistēmai, kā paredzēts publiskās pārvaldes kopīgo pakalpojumu subjekta stratēģiskajā plānā 2020.–2023. gadam</w:t>
            </w:r>
          </w:p>
        </w:tc>
        <w:tc>
          <w:tcPr>
            <w:tcW w:w="1356" w:type="dxa"/>
            <w:shd w:val="clear" w:color="auto" w:fill="C4EFCE"/>
            <w:noWrap/>
            <w:vAlign w:val="center"/>
            <w:hideMark/>
          </w:tcPr>
          <w:p w14:paraId="12F6C5B1" w14:textId="77777777" w:rsidR="00776A1F" w:rsidRDefault="00D8574B">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200AE441" w14:textId="77777777" w:rsidR="00776A1F" w:rsidRDefault="00D8574B">
            <w:pPr>
              <w:pStyle w:val="P68B1DB1-Normal8"/>
              <w:spacing w:after="0" w:line="240" w:lineRule="auto"/>
              <w:jc w:val="center"/>
              <w:rPr>
                <w:rFonts w:eastAsia="Times New Roman" w:cs="Calibri"/>
                <w:noProof/>
              </w:rPr>
            </w:pPr>
            <w:r>
              <w:rPr>
                <w:noProof/>
              </w:rPr>
              <w:t>Skaits</w:t>
            </w:r>
          </w:p>
        </w:tc>
        <w:tc>
          <w:tcPr>
            <w:tcW w:w="908" w:type="dxa"/>
            <w:shd w:val="clear" w:color="auto" w:fill="C4EFCE"/>
            <w:noWrap/>
            <w:vAlign w:val="center"/>
            <w:hideMark/>
          </w:tcPr>
          <w:p w14:paraId="5CE359FE" w14:textId="77777777" w:rsidR="00776A1F" w:rsidRDefault="00D8574B">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190050F3" w14:textId="77777777" w:rsidR="00776A1F" w:rsidRDefault="00D8574B">
            <w:pPr>
              <w:pStyle w:val="P68B1DB1-Normal8"/>
              <w:spacing w:after="0" w:line="240" w:lineRule="auto"/>
              <w:jc w:val="center"/>
              <w:rPr>
                <w:rFonts w:eastAsia="Times New Roman" w:cs="Calibri"/>
                <w:noProof/>
              </w:rPr>
            </w:pPr>
            <w:r>
              <w:rPr>
                <w:noProof/>
              </w:rPr>
              <w:t>10</w:t>
            </w:r>
          </w:p>
        </w:tc>
        <w:tc>
          <w:tcPr>
            <w:tcW w:w="530" w:type="dxa"/>
            <w:shd w:val="clear" w:color="auto" w:fill="C4EFCE"/>
            <w:noWrap/>
            <w:vAlign w:val="center"/>
            <w:hideMark/>
          </w:tcPr>
          <w:p w14:paraId="3C2E2E6E"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52B7F59F" w14:textId="77777777" w:rsidR="00776A1F" w:rsidRDefault="00D8574B">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7656AF6C" w14:textId="77777777" w:rsidR="00776A1F" w:rsidRDefault="00D8574B">
            <w:pPr>
              <w:pStyle w:val="P68B1DB1-Normal8"/>
              <w:spacing w:after="0" w:line="240" w:lineRule="auto"/>
              <w:jc w:val="both"/>
              <w:rPr>
                <w:rFonts w:eastAsia="Times New Roman" w:cs="Calibri"/>
                <w:noProof/>
              </w:rPr>
            </w:pPr>
            <w:r>
              <w:rPr>
                <w:noProof/>
              </w:rPr>
              <w:t>Pārskatīto pamatnolīgumu un līgumu modeļu skaits, lai: veicināt administratīvo vienkāršošanu; pastiprināt uzraudzības un kontroles mehānismus; III) veicināt izmaksu efektivitāti un racionalizācijas apsvērumus; paplašināt to preču un pakalpojumu sarakstu, uz kuriem attiecas centralizēts iepirkums; un v) veicināt sadarbību starp iekšējām un ārējām ieinteresētajām personām.</w:t>
            </w:r>
          </w:p>
        </w:tc>
      </w:tr>
      <w:tr w:rsidR="00776A1F" w14:paraId="5D6E4B31" w14:textId="77777777">
        <w:trPr>
          <w:trHeight w:val="640"/>
        </w:trPr>
        <w:tc>
          <w:tcPr>
            <w:tcW w:w="1043" w:type="dxa"/>
            <w:gridSpan w:val="2"/>
            <w:shd w:val="clear" w:color="auto" w:fill="C4EFCE"/>
            <w:vAlign w:val="center"/>
            <w:hideMark/>
          </w:tcPr>
          <w:p w14:paraId="42B7E2A9" w14:textId="77777777" w:rsidR="00776A1F" w:rsidRDefault="00D8574B">
            <w:pPr>
              <w:pStyle w:val="P68B1DB1-Normal7"/>
              <w:spacing w:after="0" w:line="240" w:lineRule="auto"/>
              <w:jc w:val="center"/>
              <w:rPr>
                <w:rFonts w:eastAsia="Times New Roman" w:cs="Calibri"/>
                <w:noProof/>
              </w:rPr>
            </w:pPr>
            <w:r>
              <w:rPr>
                <w:noProof/>
              </w:rPr>
              <w:t>17.2</w:t>
            </w:r>
          </w:p>
        </w:tc>
        <w:tc>
          <w:tcPr>
            <w:tcW w:w="1161" w:type="dxa"/>
            <w:shd w:val="clear" w:color="auto" w:fill="C4EFCE"/>
            <w:noWrap/>
            <w:vAlign w:val="center"/>
            <w:hideMark/>
          </w:tcPr>
          <w:p w14:paraId="237F46C9"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64CB5B3E"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8784BA3" w14:textId="77777777" w:rsidR="00776A1F" w:rsidRDefault="00D8574B">
            <w:pPr>
              <w:pStyle w:val="P68B1DB1-Normal8"/>
              <w:spacing w:after="0" w:line="240" w:lineRule="auto"/>
              <w:jc w:val="center"/>
              <w:rPr>
                <w:rFonts w:eastAsia="Times New Roman" w:cs="Calibri"/>
                <w:noProof/>
              </w:rPr>
            </w:pPr>
            <w:r>
              <w:rPr>
                <w:noProof/>
              </w:rPr>
              <w:t>Valsts grāmatvedības vienības pamatā esošo tiesību aktu stāšanās spēkā</w:t>
            </w:r>
          </w:p>
        </w:tc>
        <w:tc>
          <w:tcPr>
            <w:tcW w:w="1356" w:type="dxa"/>
            <w:shd w:val="clear" w:color="auto" w:fill="C4EFCE"/>
            <w:noWrap/>
            <w:vAlign w:val="center"/>
            <w:hideMark/>
          </w:tcPr>
          <w:p w14:paraId="69FA9E8E" w14:textId="77777777" w:rsidR="00776A1F" w:rsidRDefault="00D8574B">
            <w:pPr>
              <w:pStyle w:val="P68B1DB1-Normal8"/>
              <w:spacing w:after="0" w:line="240" w:lineRule="auto"/>
              <w:jc w:val="center"/>
              <w:rPr>
                <w:rFonts w:eastAsia="Times New Roman" w:cs="Calibri"/>
                <w:noProof/>
              </w:rPr>
            </w:pPr>
            <w:r>
              <w:rPr>
                <w:noProof/>
              </w:rPr>
              <w:t>Valsts grāmatvedības vienības pamatā esošo tiesību aktu stāšanās spēkā</w:t>
            </w:r>
          </w:p>
        </w:tc>
        <w:tc>
          <w:tcPr>
            <w:tcW w:w="909" w:type="dxa"/>
            <w:shd w:val="clear" w:color="auto" w:fill="C4EFCE"/>
            <w:noWrap/>
            <w:vAlign w:val="center"/>
            <w:hideMark/>
          </w:tcPr>
          <w:p w14:paraId="4EA18E78"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26E3661D"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7CD13C2D"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1FE7BCB"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1ADFCE86" w14:textId="77777777" w:rsidR="00776A1F" w:rsidRDefault="00D8574B">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1702B1DE" w14:textId="77777777" w:rsidR="00776A1F" w:rsidRDefault="00D8574B">
            <w:pPr>
              <w:pStyle w:val="P68B1DB1-Normal8"/>
              <w:spacing w:after="0" w:line="240" w:lineRule="auto"/>
              <w:jc w:val="both"/>
              <w:rPr>
                <w:rFonts w:eastAsia="Times New Roman" w:cs="Calibri"/>
                <w:noProof/>
              </w:rPr>
            </w:pPr>
            <w:r>
              <w:rPr>
                <w:noProof/>
              </w:rPr>
              <w:t>Stājas spēkā sekundārie tiesību akti (un/vai administratīvās pamatnostādnes), lai reglamentētu, kuri konkrēti ieņēmumu un izdevumu posteņi jāiekļauj valsts grāmatvedības struktūras budžetā, pilnībā ievērojot 2015. gada Budžeta pamatlikuma 49. un 55. pantu.</w:t>
            </w:r>
          </w:p>
        </w:tc>
      </w:tr>
      <w:tr w:rsidR="00776A1F" w14:paraId="2670F13A" w14:textId="77777777">
        <w:trPr>
          <w:trHeight w:val="640"/>
        </w:trPr>
        <w:tc>
          <w:tcPr>
            <w:tcW w:w="1043" w:type="dxa"/>
            <w:gridSpan w:val="2"/>
            <w:shd w:val="clear" w:color="auto" w:fill="C4EFCE"/>
            <w:vAlign w:val="center"/>
            <w:hideMark/>
          </w:tcPr>
          <w:p w14:paraId="6B4783D2" w14:textId="77777777" w:rsidR="00776A1F" w:rsidRDefault="00D8574B">
            <w:pPr>
              <w:pStyle w:val="P68B1DB1-Normal7"/>
              <w:spacing w:after="0" w:line="240" w:lineRule="auto"/>
              <w:jc w:val="center"/>
              <w:rPr>
                <w:rFonts w:eastAsia="Times New Roman" w:cs="Calibri"/>
                <w:noProof/>
              </w:rPr>
            </w:pPr>
            <w:r>
              <w:rPr>
                <w:noProof/>
              </w:rPr>
              <w:t>17.3</w:t>
            </w:r>
          </w:p>
        </w:tc>
        <w:tc>
          <w:tcPr>
            <w:tcW w:w="1161" w:type="dxa"/>
            <w:shd w:val="clear" w:color="auto" w:fill="C4EFCE"/>
            <w:noWrap/>
            <w:vAlign w:val="center"/>
            <w:hideMark/>
          </w:tcPr>
          <w:p w14:paraId="3198F425"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53DAF5CC"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148275" w14:textId="77777777" w:rsidR="00776A1F" w:rsidRDefault="00D8574B">
            <w:pPr>
              <w:pStyle w:val="P68B1DB1-Normal8"/>
              <w:spacing w:after="0" w:line="240" w:lineRule="auto"/>
              <w:jc w:val="center"/>
              <w:rPr>
                <w:rFonts w:eastAsia="Times New Roman" w:cs="Calibri"/>
                <w:noProof/>
              </w:rPr>
            </w:pPr>
            <w:r>
              <w:rPr>
                <w:noProof/>
              </w:rPr>
              <w:t>Vispārējās valdības budžeta un finanšu izpildes uzraudzības modeļa pabeigšana un apstiprināšana</w:t>
            </w:r>
          </w:p>
        </w:tc>
        <w:tc>
          <w:tcPr>
            <w:tcW w:w="1356" w:type="dxa"/>
            <w:shd w:val="clear" w:color="auto" w:fill="C4EFCE"/>
            <w:noWrap/>
            <w:vAlign w:val="center"/>
            <w:hideMark/>
          </w:tcPr>
          <w:p w14:paraId="37DD72D5" w14:textId="77777777" w:rsidR="00776A1F" w:rsidRDefault="00D8574B">
            <w:pPr>
              <w:pStyle w:val="P68B1DB1-Normal8"/>
              <w:spacing w:after="0" w:line="240" w:lineRule="auto"/>
              <w:jc w:val="center"/>
              <w:rPr>
                <w:rFonts w:eastAsia="Times New Roman" w:cs="Calibri"/>
                <w:noProof/>
              </w:rPr>
            </w:pPr>
            <w:r>
              <w:rPr>
                <w:noProof/>
              </w:rPr>
              <w:t>Vispārējās valdības budžeta un finanšu izpildes uzraudzības modeļa pabeigšana un apstiprināšana</w:t>
            </w:r>
          </w:p>
        </w:tc>
        <w:tc>
          <w:tcPr>
            <w:tcW w:w="909" w:type="dxa"/>
            <w:shd w:val="clear" w:color="auto" w:fill="C4EFCE"/>
            <w:noWrap/>
            <w:vAlign w:val="center"/>
            <w:hideMark/>
          </w:tcPr>
          <w:p w14:paraId="458B3549"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881E8B"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690878FC"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516481F"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42D9884E" w14:textId="77777777" w:rsidR="00776A1F" w:rsidRDefault="00D8574B">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2E4EF746" w14:textId="77777777" w:rsidR="00776A1F" w:rsidRDefault="00D8574B">
            <w:pPr>
              <w:pStyle w:val="P68B1DB1-Normal8"/>
              <w:spacing w:after="0" w:line="240" w:lineRule="auto"/>
              <w:jc w:val="both"/>
              <w:rPr>
                <w:rFonts w:eastAsia="Times New Roman" w:cs="Calibri"/>
                <w:noProof/>
              </w:rPr>
            </w:pPr>
            <w:r>
              <w:rPr>
                <w:noProof/>
              </w:rPr>
              <w:t xml:space="preserve">Finanšu ministrijas sagatavots un apstiprināts vispārējās valdības budžeta un finanšu izpildes kontroles un uzraudzības modelis, pilnībā ievērojot 2015. gada Budžeta pamatlikuma noteikumus un valsts pārvaldes grāmatvedības standarta uzkrājumu principu. </w:t>
            </w:r>
          </w:p>
        </w:tc>
      </w:tr>
      <w:tr w:rsidR="00776A1F" w14:paraId="5A197FDC" w14:textId="77777777">
        <w:trPr>
          <w:trHeight w:val="640"/>
        </w:trPr>
        <w:tc>
          <w:tcPr>
            <w:tcW w:w="1043" w:type="dxa"/>
            <w:gridSpan w:val="2"/>
            <w:shd w:val="clear" w:color="auto" w:fill="C4EFCE"/>
            <w:vAlign w:val="center"/>
            <w:hideMark/>
          </w:tcPr>
          <w:p w14:paraId="55E30BC5" w14:textId="77777777" w:rsidR="00776A1F" w:rsidRDefault="00D8574B">
            <w:pPr>
              <w:pStyle w:val="P68B1DB1-Normal7"/>
              <w:spacing w:after="0" w:line="240" w:lineRule="auto"/>
              <w:jc w:val="center"/>
              <w:rPr>
                <w:rFonts w:eastAsia="Times New Roman" w:cs="Calibri"/>
                <w:noProof/>
              </w:rPr>
            </w:pPr>
            <w:r>
              <w:rPr>
                <w:noProof/>
              </w:rPr>
              <w:t>17.4</w:t>
            </w:r>
          </w:p>
        </w:tc>
        <w:tc>
          <w:tcPr>
            <w:tcW w:w="1161" w:type="dxa"/>
            <w:shd w:val="clear" w:color="auto" w:fill="C4EFCE"/>
            <w:noWrap/>
            <w:vAlign w:val="center"/>
            <w:hideMark/>
          </w:tcPr>
          <w:p w14:paraId="02476C45"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9115588"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90AFA4D" w14:textId="77777777" w:rsidR="00776A1F" w:rsidRDefault="00D8574B">
            <w:pPr>
              <w:pStyle w:val="P68B1DB1-Normal8"/>
              <w:spacing w:after="0" w:line="240" w:lineRule="auto"/>
              <w:jc w:val="center"/>
              <w:rPr>
                <w:rFonts w:eastAsia="Times New Roman" w:cs="Calibri"/>
                <w:noProof/>
              </w:rPr>
            </w:pPr>
            <w:r>
              <w:rPr>
                <w:noProof/>
              </w:rPr>
              <w:t>Programmas budžeta plānošanas izmaksu modeļa pieņemšana</w:t>
            </w:r>
          </w:p>
        </w:tc>
        <w:tc>
          <w:tcPr>
            <w:tcW w:w="1356" w:type="dxa"/>
            <w:shd w:val="clear" w:color="auto" w:fill="C4EFCE"/>
            <w:noWrap/>
            <w:vAlign w:val="center"/>
            <w:hideMark/>
          </w:tcPr>
          <w:p w14:paraId="35316023" w14:textId="77777777" w:rsidR="00776A1F" w:rsidRDefault="00D8574B">
            <w:pPr>
              <w:pStyle w:val="P68B1DB1-Normal8"/>
              <w:spacing w:after="0" w:line="240" w:lineRule="auto"/>
              <w:jc w:val="center"/>
              <w:rPr>
                <w:rFonts w:eastAsia="Times New Roman" w:cs="Calibri"/>
                <w:noProof/>
              </w:rPr>
            </w:pPr>
            <w:r>
              <w:rPr>
                <w:noProof/>
              </w:rPr>
              <w:t>Tiesību aktu pieņemšana par programmas budžeta plānošanas izmaksu modeli</w:t>
            </w:r>
          </w:p>
        </w:tc>
        <w:tc>
          <w:tcPr>
            <w:tcW w:w="909" w:type="dxa"/>
            <w:shd w:val="clear" w:color="auto" w:fill="C4EFCE"/>
            <w:noWrap/>
            <w:vAlign w:val="center"/>
            <w:hideMark/>
          </w:tcPr>
          <w:p w14:paraId="4241F94E"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805EFF6"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6D3AD47"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51AB287A"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2E3CA631"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67C05F6B" w14:textId="31DDD4CA" w:rsidR="00776A1F" w:rsidRDefault="00D8574B">
            <w:pPr>
              <w:pStyle w:val="P68B1DB1-Normal8"/>
              <w:spacing w:after="0" w:line="240" w:lineRule="auto"/>
              <w:jc w:val="both"/>
              <w:rPr>
                <w:rFonts w:eastAsia="Times New Roman" w:cs="Calibri"/>
                <w:noProof/>
              </w:rPr>
            </w:pPr>
            <w:r>
              <w:rPr>
                <w:noProof/>
              </w:rPr>
              <w:t>Sekundāro tiesību aktu (un/vai administratīvo pamatnostādņu) pieņemšana, lai noteiktu principus izmaksu noteikšanai un uz rezultātiem balstīto rādītāju ievērošanas uzraudzībai, kas noteikti katrai budžeta programmai un sabiedriskajai politikai, lai tie stātos spēkā līdz 2027. gada 1. ceturksnim.</w:t>
            </w:r>
          </w:p>
        </w:tc>
      </w:tr>
      <w:tr w:rsidR="00776A1F" w14:paraId="38313B89" w14:textId="77777777">
        <w:trPr>
          <w:trHeight w:val="420"/>
        </w:trPr>
        <w:tc>
          <w:tcPr>
            <w:tcW w:w="1043" w:type="dxa"/>
            <w:gridSpan w:val="2"/>
            <w:shd w:val="clear" w:color="auto" w:fill="C4EFCE"/>
            <w:vAlign w:val="center"/>
            <w:hideMark/>
          </w:tcPr>
          <w:p w14:paraId="1F4AFBA8" w14:textId="77777777" w:rsidR="00776A1F" w:rsidRDefault="00D8574B">
            <w:pPr>
              <w:pStyle w:val="P68B1DB1-Normal7"/>
              <w:spacing w:after="0" w:line="240" w:lineRule="auto"/>
              <w:jc w:val="center"/>
              <w:rPr>
                <w:rFonts w:eastAsia="Times New Roman" w:cs="Calibri"/>
                <w:noProof/>
              </w:rPr>
            </w:pPr>
            <w:r>
              <w:rPr>
                <w:noProof/>
              </w:rPr>
              <w:t>17.5</w:t>
            </w:r>
          </w:p>
        </w:tc>
        <w:tc>
          <w:tcPr>
            <w:tcW w:w="1161" w:type="dxa"/>
            <w:shd w:val="clear" w:color="auto" w:fill="C4EFCE"/>
            <w:noWrap/>
            <w:vAlign w:val="center"/>
            <w:hideMark/>
          </w:tcPr>
          <w:p w14:paraId="1AA5229E"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C2DBEEB"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022E11" w14:textId="77777777" w:rsidR="00776A1F" w:rsidRDefault="00D8574B">
            <w:pPr>
              <w:pStyle w:val="P68B1DB1-Normal8"/>
              <w:spacing w:after="0" w:line="240" w:lineRule="auto"/>
              <w:jc w:val="center"/>
              <w:rPr>
                <w:rFonts w:eastAsia="Times New Roman" w:cs="Calibri"/>
                <w:noProof/>
              </w:rPr>
            </w:pPr>
            <w:r>
              <w:rPr>
                <w:noProof/>
              </w:rPr>
              <w:t>Mehānismu īstenošana, lai izdevumu pārskatus integrētu regulārajā budžeta procesā, tostarp efektivitātes ietaupījumu ex post novērtējumā</w:t>
            </w:r>
          </w:p>
        </w:tc>
        <w:tc>
          <w:tcPr>
            <w:tcW w:w="1356" w:type="dxa"/>
            <w:shd w:val="clear" w:color="auto" w:fill="C4EFCE"/>
            <w:noWrap/>
            <w:vAlign w:val="center"/>
            <w:hideMark/>
          </w:tcPr>
          <w:p w14:paraId="78ADFCD7" w14:textId="77777777" w:rsidR="00776A1F" w:rsidRDefault="00D8574B">
            <w:pPr>
              <w:pStyle w:val="P68B1DB1-Normal8"/>
              <w:spacing w:after="0" w:line="240" w:lineRule="auto"/>
              <w:jc w:val="center"/>
              <w:rPr>
                <w:rFonts w:eastAsia="Times New Roman" w:cs="Calibri"/>
                <w:noProof/>
              </w:rPr>
            </w:pPr>
            <w:r>
              <w:rPr>
                <w:noProof/>
              </w:rPr>
              <w:t>Ziņojums par izdevumu pārskatu integrēšanu regulārajā budžeta procesā un to ex post novērtējumu</w:t>
            </w:r>
          </w:p>
        </w:tc>
        <w:tc>
          <w:tcPr>
            <w:tcW w:w="909" w:type="dxa"/>
            <w:shd w:val="clear" w:color="auto" w:fill="C4EFCE"/>
            <w:noWrap/>
            <w:vAlign w:val="center"/>
            <w:hideMark/>
          </w:tcPr>
          <w:p w14:paraId="45C9CCED" w14:textId="5C00014C" w:rsidR="00776A1F" w:rsidRDefault="00776A1F">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69C76DA5" w14:textId="073E9F9F" w:rsidR="00776A1F" w:rsidRDefault="00776A1F">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22C65312" w14:textId="087E5688" w:rsidR="00776A1F" w:rsidRDefault="00776A1F">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2D6DA43E"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6242BC08" w14:textId="77777777" w:rsidR="00776A1F" w:rsidRDefault="00D8574B">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ADBED7B" w14:textId="14A7F5C0" w:rsidR="00776A1F" w:rsidRDefault="00D8574B">
            <w:pPr>
              <w:pStyle w:val="P68B1DB1-Normal8"/>
              <w:spacing w:after="0" w:line="240" w:lineRule="auto"/>
              <w:jc w:val="both"/>
              <w:rPr>
                <w:rFonts w:eastAsia="Times New Roman" w:cs="Calibri"/>
                <w:noProof/>
              </w:rPr>
            </w:pPr>
            <w:r>
              <w:rPr>
                <w:noProof/>
              </w:rPr>
              <w:t xml:space="preserve">Izstrādā strukturālu un institucionālu sistēmu izdevumu pārskatīšanai, lai tos pilnībā integrētu ikgadējā budžeta procesā un Portugāles vidēja termiņa budžeta sistēmā. </w:t>
            </w:r>
          </w:p>
          <w:p w14:paraId="0D6B1F45" w14:textId="62498E10" w:rsidR="00776A1F" w:rsidRDefault="00D8574B">
            <w:pPr>
              <w:pStyle w:val="P68B1DB1-Normal8"/>
              <w:spacing w:after="0" w:line="240" w:lineRule="auto"/>
              <w:jc w:val="both"/>
              <w:rPr>
                <w:rFonts w:eastAsia="Times New Roman" w:cs="Calibri"/>
                <w:noProof/>
              </w:rPr>
            </w:pPr>
            <w:r>
              <w:rPr>
                <w:noProof/>
              </w:rPr>
              <w:t>Šis process ietver diagnostiku, risinājumu izstrādi un tāda modeļa definēšanu, kas ļauj radīt efektivitātes pieaugumu sabiedrisko pakalpojumu sniegšanā, veicinot izdevumu pārskatu paplašināšanu, attiecinot to arī uz citām vispārējās valdības nozarēm, un ar efektivitātes pieaugumu atbrīvojot resursus digitālajai un zaļajai pārejai.</w:t>
            </w:r>
          </w:p>
          <w:p w14:paraId="3534731F" w14:textId="619B412E" w:rsidR="00776A1F" w:rsidRDefault="00D8574B">
            <w:pPr>
              <w:pStyle w:val="P68B1DB1-Normal8"/>
              <w:spacing w:after="0" w:line="240" w:lineRule="auto"/>
              <w:jc w:val="both"/>
              <w:rPr>
                <w:rFonts w:eastAsia="Times New Roman" w:cs="Calibri"/>
                <w:noProof/>
              </w:rPr>
            </w:pPr>
            <w:r>
              <w:rPr>
                <w:noProof/>
              </w:rPr>
              <w:t>Papildus izdevumu pārskatu integrēšanai ikgadējā budžeta procesā tiem veic efektīvus gada ex post novērtējumus, lai pārliecinātos par sasniegto efektivitātes pieaugumu. Tas var ietvert kopīgu pakalpojumu plašāku izmantošanu un centralizētu publisko iepirkumu, kura pamatā ir tehnoloģisko platformu un kopīgu resursu izmantošana.</w:t>
            </w:r>
          </w:p>
        </w:tc>
      </w:tr>
      <w:tr w:rsidR="00776A1F" w14:paraId="621F6AC1" w14:textId="77777777">
        <w:trPr>
          <w:trHeight w:val="640"/>
        </w:trPr>
        <w:tc>
          <w:tcPr>
            <w:tcW w:w="1043" w:type="dxa"/>
            <w:gridSpan w:val="2"/>
            <w:shd w:val="clear" w:color="auto" w:fill="C4EFCE"/>
            <w:vAlign w:val="center"/>
            <w:hideMark/>
          </w:tcPr>
          <w:p w14:paraId="47662CD7" w14:textId="77777777" w:rsidR="00776A1F" w:rsidRDefault="00D8574B">
            <w:pPr>
              <w:pStyle w:val="P68B1DB1-Normal7"/>
              <w:spacing w:after="0" w:line="240" w:lineRule="auto"/>
              <w:jc w:val="center"/>
              <w:rPr>
                <w:rFonts w:eastAsia="Times New Roman" w:cs="Calibri"/>
                <w:noProof/>
              </w:rPr>
            </w:pPr>
            <w:r>
              <w:rPr>
                <w:noProof/>
              </w:rPr>
              <w:t>17.6</w:t>
            </w:r>
          </w:p>
        </w:tc>
        <w:tc>
          <w:tcPr>
            <w:tcW w:w="1161" w:type="dxa"/>
            <w:shd w:val="clear" w:color="auto" w:fill="C4EFCE"/>
            <w:noWrap/>
            <w:vAlign w:val="center"/>
            <w:hideMark/>
          </w:tcPr>
          <w:p w14:paraId="35D30780"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7BD399B4"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FBC9748" w14:textId="77777777" w:rsidR="00776A1F" w:rsidRDefault="00D8574B">
            <w:pPr>
              <w:pStyle w:val="P68B1DB1-Normal8"/>
              <w:spacing w:after="0" w:line="240" w:lineRule="auto"/>
              <w:jc w:val="center"/>
              <w:rPr>
                <w:rFonts w:eastAsia="Times New Roman" w:cs="Calibri"/>
                <w:noProof/>
              </w:rPr>
            </w:pPr>
            <w:r>
              <w:rPr>
                <w:noProof/>
              </w:rPr>
              <w:t>Stājas spēkā jaunā pārvaldības līguma veidne saskaņā ar jauno stimulu/sankciju sistēmu valsts uzņēmumu pārvaldībai</w:t>
            </w:r>
          </w:p>
        </w:tc>
        <w:tc>
          <w:tcPr>
            <w:tcW w:w="1356" w:type="dxa"/>
            <w:shd w:val="clear" w:color="auto" w:fill="C4EFCE"/>
            <w:noWrap/>
            <w:vAlign w:val="center"/>
            <w:hideMark/>
          </w:tcPr>
          <w:p w14:paraId="01049FF8" w14:textId="77777777" w:rsidR="00776A1F" w:rsidRDefault="00D8574B">
            <w:pPr>
              <w:pStyle w:val="P68B1DB1-Normal8"/>
              <w:spacing w:after="0" w:line="240" w:lineRule="auto"/>
              <w:jc w:val="center"/>
              <w:rPr>
                <w:rFonts w:eastAsia="Times New Roman" w:cs="Calibri"/>
                <w:noProof/>
              </w:rPr>
            </w:pPr>
            <w:r>
              <w:rPr>
                <w:noProof/>
              </w:rPr>
              <w:t>Jaunās pārvaldības līguma veidnes stāšanās spēkā</w:t>
            </w:r>
          </w:p>
        </w:tc>
        <w:tc>
          <w:tcPr>
            <w:tcW w:w="909" w:type="dxa"/>
            <w:shd w:val="clear" w:color="auto" w:fill="C4EFCE"/>
            <w:noWrap/>
            <w:vAlign w:val="center"/>
            <w:hideMark/>
          </w:tcPr>
          <w:p w14:paraId="2979957B"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86865DA"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8183D31"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74F04CA0"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41B88F6F" w14:textId="77777777" w:rsidR="00776A1F" w:rsidRDefault="00D8574B">
            <w:pPr>
              <w:pStyle w:val="P68B1DB1-Normal8"/>
              <w:spacing w:after="0" w:line="240" w:lineRule="auto"/>
              <w:jc w:val="center"/>
              <w:rPr>
                <w:rFonts w:eastAsia="Times New Roman" w:cs="Calibri"/>
                <w:noProof/>
              </w:rPr>
            </w:pPr>
            <w:r>
              <w:rPr>
                <w:noProof/>
              </w:rPr>
              <w:t>2021</w:t>
            </w:r>
          </w:p>
        </w:tc>
        <w:tc>
          <w:tcPr>
            <w:tcW w:w="5456" w:type="dxa"/>
            <w:shd w:val="clear" w:color="auto" w:fill="C4EFCE"/>
            <w:noWrap/>
            <w:vAlign w:val="center"/>
            <w:hideMark/>
          </w:tcPr>
          <w:p w14:paraId="60637229" w14:textId="77777777" w:rsidR="00776A1F" w:rsidRDefault="00D8574B">
            <w:pPr>
              <w:pStyle w:val="P68B1DB1-Normal8"/>
              <w:spacing w:after="0" w:line="240" w:lineRule="auto"/>
              <w:jc w:val="both"/>
              <w:rPr>
                <w:rFonts w:eastAsia="Times New Roman" w:cs="Calibri"/>
                <w:noProof/>
              </w:rPr>
            </w:pPr>
            <w:r>
              <w:rPr>
                <w:noProof/>
              </w:rPr>
              <w:t>Stājas spēkā jaunā pārvaldības līguma veidne, kas jāparaksta ar valsts vadītājiem, kuri iecelti valsts uzņēmumu direktoru padomēs, lai palielinātu atbildību un pārskatatbildību publisko resursu pārvaldībā, izmantojot jaunu uz darbības rezultātiem orientētu stimulu/sodu sistēmu.</w:t>
            </w:r>
          </w:p>
        </w:tc>
      </w:tr>
      <w:tr w:rsidR="00776A1F" w14:paraId="05E11610" w14:textId="77777777">
        <w:trPr>
          <w:trHeight w:val="640"/>
        </w:trPr>
        <w:tc>
          <w:tcPr>
            <w:tcW w:w="1043" w:type="dxa"/>
            <w:gridSpan w:val="2"/>
            <w:shd w:val="clear" w:color="auto" w:fill="C4EFCE"/>
            <w:vAlign w:val="center"/>
            <w:hideMark/>
          </w:tcPr>
          <w:p w14:paraId="6A4F627A" w14:textId="77777777" w:rsidR="00776A1F" w:rsidRDefault="00D8574B">
            <w:pPr>
              <w:pStyle w:val="P68B1DB1-Normal7"/>
              <w:spacing w:after="0" w:line="240" w:lineRule="auto"/>
              <w:jc w:val="center"/>
              <w:rPr>
                <w:rFonts w:eastAsia="Times New Roman" w:cs="Calibri"/>
                <w:noProof/>
              </w:rPr>
            </w:pPr>
            <w:r>
              <w:rPr>
                <w:noProof/>
              </w:rPr>
              <w:t>17.7</w:t>
            </w:r>
          </w:p>
        </w:tc>
        <w:tc>
          <w:tcPr>
            <w:tcW w:w="1161" w:type="dxa"/>
            <w:shd w:val="clear" w:color="auto" w:fill="C4EFCE"/>
            <w:noWrap/>
            <w:vAlign w:val="center"/>
            <w:hideMark/>
          </w:tcPr>
          <w:p w14:paraId="0281BF89"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69D9CBF"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27932B26" w14:textId="77777777" w:rsidR="00776A1F" w:rsidRDefault="00D8574B">
            <w:pPr>
              <w:pStyle w:val="P68B1DB1-Normal8"/>
              <w:spacing w:after="0" w:line="240" w:lineRule="auto"/>
              <w:jc w:val="center"/>
              <w:rPr>
                <w:rFonts w:eastAsia="Times New Roman" w:cs="Calibri"/>
                <w:noProof/>
              </w:rPr>
            </w:pPr>
            <w:r>
              <w:rPr>
                <w:noProof/>
              </w:rPr>
              <w:t>Stājas spēkā jaunais modelis valsts uzņēmumu finansiālā stāvokļa un darbības rezultātu analīzei un atklāšanai</w:t>
            </w:r>
          </w:p>
        </w:tc>
        <w:tc>
          <w:tcPr>
            <w:tcW w:w="1356" w:type="dxa"/>
            <w:shd w:val="clear" w:color="auto" w:fill="C4EFCE"/>
            <w:noWrap/>
            <w:vAlign w:val="center"/>
            <w:hideMark/>
          </w:tcPr>
          <w:p w14:paraId="53EB2087" w14:textId="77777777" w:rsidR="00776A1F" w:rsidRDefault="00D8574B">
            <w:pPr>
              <w:pStyle w:val="P68B1DB1-Normal8"/>
              <w:spacing w:after="0" w:line="240" w:lineRule="auto"/>
              <w:jc w:val="center"/>
              <w:rPr>
                <w:rFonts w:eastAsia="Times New Roman" w:cs="Calibri"/>
                <w:noProof/>
              </w:rPr>
            </w:pPr>
            <w:r>
              <w:rPr>
                <w:noProof/>
              </w:rPr>
              <w:t>Stājas spēkā jaunais ziņojums, kurā sīki izklāstīts valsts uzņēmumu finansiālais stāvoklis un darbības rezultāti</w:t>
            </w:r>
          </w:p>
        </w:tc>
        <w:tc>
          <w:tcPr>
            <w:tcW w:w="909" w:type="dxa"/>
            <w:shd w:val="clear" w:color="auto" w:fill="C4EFCE"/>
            <w:noWrap/>
            <w:vAlign w:val="center"/>
            <w:hideMark/>
          </w:tcPr>
          <w:p w14:paraId="7E4BBF12"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AEE0230"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57D6AD99"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1CEAF54"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5129272B" w14:textId="77777777" w:rsidR="00776A1F" w:rsidRDefault="00D8574B">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32D08DEA" w14:textId="77777777" w:rsidR="00776A1F" w:rsidRDefault="00D8574B">
            <w:pPr>
              <w:pStyle w:val="P68B1DB1-Normal8"/>
              <w:spacing w:after="0" w:line="240" w:lineRule="auto"/>
              <w:jc w:val="both"/>
              <w:rPr>
                <w:rFonts w:eastAsia="Times New Roman" w:cs="Calibri"/>
                <w:noProof/>
              </w:rPr>
            </w:pPr>
            <w:r>
              <w:rPr>
                <w:noProof/>
              </w:rPr>
              <w:t>Stājas spēkā jaunais ziņojums, kurā regulāri un savlaicīgi sīki izklāstīta valsts uzņēmumu finansiālā situācija un darbības rezultāti, iekļaujot finanšu datus, kas savākti, izmantojot jauno valstij piederošo uzņēmumu nozares informācijas sistēmu.</w:t>
            </w:r>
          </w:p>
        </w:tc>
      </w:tr>
      <w:tr w:rsidR="00776A1F" w14:paraId="67B2B5AF" w14:textId="77777777">
        <w:trPr>
          <w:trHeight w:val="1060"/>
        </w:trPr>
        <w:tc>
          <w:tcPr>
            <w:tcW w:w="1043" w:type="dxa"/>
            <w:gridSpan w:val="2"/>
            <w:shd w:val="clear" w:color="auto" w:fill="C4EFCE"/>
            <w:vAlign w:val="center"/>
            <w:hideMark/>
          </w:tcPr>
          <w:p w14:paraId="2718254D" w14:textId="77777777" w:rsidR="00776A1F" w:rsidRDefault="00D8574B">
            <w:pPr>
              <w:pStyle w:val="P68B1DB1-Normal7"/>
              <w:spacing w:after="0" w:line="240" w:lineRule="auto"/>
              <w:jc w:val="center"/>
              <w:rPr>
                <w:rFonts w:eastAsia="Times New Roman" w:cs="Calibri"/>
                <w:noProof/>
              </w:rPr>
            </w:pPr>
            <w:r>
              <w:rPr>
                <w:noProof/>
              </w:rPr>
              <w:t>17.8</w:t>
            </w:r>
          </w:p>
        </w:tc>
        <w:tc>
          <w:tcPr>
            <w:tcW w:w="1161" w:type="dxa"/>
            <w:shd w:val="clear" w:color="auto" w:fill="C4EFCE"/>
            <w:noWrap/>
            <w:vAlign w:val="center"/>
            <w:hideMark/>
          </w:tcPr>
          <w:p w14:paraId="645BCB5E" w14:textId="77777777" w:rsidR="00776A1F" w:rsidRDefault="00D8574B">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3095D188"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7E9415F6" w14:textId="77777777" w:rsidR="00776A1F" w:rsidRDefault="00D8574B">
            <w:pPr>
              <w:pStyle w:val="P68B1DB1-Normal8"/>
              <w:spacing w:after="0" w:line="240" w:lineRule="auto"/>
              <w:jc w:val="center"/>
              <w:rPr>
                <w:rFonts w:eastAsia="Times New Roman" w:cs="Calibri"/>
                <w:noProof/>
              </w:rPr>
            </w:pPr>
            <w:r>
              <w:rPr>
                <w:noProof/>
              </w:rPr>
              <w:t>Valsts uzņēmumu budžeta un darbības plānu skaits, ko konsekventi apstiprinājis finanšu ministrs un attiecīgais(-ie) ministrs(-i)</w:t>
            </w:r>
          </w:p>
        </w:tc>
        <w:tc>
          <w:tcPr>
            <w:tcW w:w="1356" w:type="dxa"/>
            <w:shd w:val="clear" w:color="auto" w:fill="C4EFCE"/>
            <w:noWrap/>
            <w:vAlign w:val="center"/>
            <w:hideMark/>
          </w:tcPr>
          <w:p w14:paraId="121B6A1E" w14:textId="77777777" w:rsidR="00776A1F" w:rsidRDefault="00D8574B">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40C2BC2B" w14:textId="77777777" w:rsidR="00776A1F" w:rsidRDefault="00D8574B">
            <w:pPr>
              <w:pStyle w:val="P68B1DB1-Normal8"/>
              <w:spacing w:after="0" w:line="240" w:lineRule="auto"/>
              <w:jc w:val="center"/>
              <w:rPr>
                <w:rFonts w:eastAsia="Times New Roman" w:cs="Calibri"/>
                <w:noProof/>
              </w:rPr>
            </w:pPr>
            <w:r>
              <w:rPr>
                <w:noProof/>
              </w:rPr>
              <w:t>Skaits</w:t>
            </w:r>
          </w:p>
        </w:tc>
        <w:tc>
          <w:tcPr>
            <w:tcW w:w="908" w:type="dxa"/>
            <w:shd w:val="clear" w:color="auto" w:fill="C4EFCE"/>
            <w:noWrap/>
            <w:vAlign w:val="center"/>
            <w:hideMark/>
          </w:tcPr>
          <w:p w14:paraId="09B98B1A" w14:textId="77777777" w:rsidR="00776A1F" w:rsidRDefault="00D8574B">
            <w:pPr>
              <w:pStyle w:val="P68B1DB1-Normal8"/>
              <w:spacing w:after="0" w:line="240" w:lineRule="auto"/>
              <w:jc w:val="center"/>
              <w:rPr>
                <w:rFonts w:eastAsia="Times New Roman" w:cs="Calibri"/>
                <w:noProof/>
              </w:rPr>
            </w:pPr>
            <w:r>
              <w:rPr>
                <w:noProof/>
              </w:rPr>
              <w:t>74</w:t>
            </w:r>
          </w:p>
        </w:tc>
        <w:tc>
          <w:tcPr>
            <w:tcW w:w="657" w:type="dxa"/>
            <w:shd w:val="clear" w:color="auto" w:fill="C4EFCE"/>
            <w:noWrap/>
            <w:vAlign w:val="center"/>
            <w:hideMark/>
          </w:tcPr>
          <w:p w14:paraId="2E1A10E1" w14:textId="77777777" w:rsidR="00776A1F" w:rsidRDefault="00D8574B">
            <w:pPr>
              <w:pStyle w:val="P68B1DB1-Normal8"/>
              <w:spacing w:after="0" w:line="240" w:lineRule="auto"/>
              <w:jc w:val="center"/>
              <w:rPr>
                <w:rFonts w:eastAsia="Times New Roman" w:cs="Calibri"/>
                <w:noProof/>
              </w:rPr>
            </w:pPr>
            <w:r>
              <w:rPr>
                <w:noProof/>
              </w:rPr>
              <w:t>136</w:t>
            </w:r>
          </w:p>
        </w:tc>
        <w:tc>
          <w:tcPr>
            <w:tcW w:w="530" w:type="dxa"/>
            <w:shd w:val="clear" w:color="auto" w:fill="C4EFCE"/>
            <w:noWrap/>
            <w:vAlign w:val="center"/>
            <w:hideMark/>
          </w:tcPr>
          <w:p w14:paraId="39065690"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4333AF73"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0DEA027" w14:textId="77777777" w:rsidR="00776A1F" w:rsidRDefault="00D8574B">
            <w:pPr>
              <w:pStyle w:val="P68B1DB1-Normal8"/>
              <w:spacing w:after="0" w:line="240" w:lineRule="auto"/>
              <w:jc w:val="both"/>
              <w:rPr>
                <w:rFonts w:eastAsia="Times New Roman" w:cs="Calibri"/>
                <w:noProof/>
              </w:rPr>
            </w:pPr>
            <w:r>
              <w:rPr>
                <w:noProof/>
              </w:rPr>
              <w:t>Savlaicīgi novērtēt valsts uzņēmumu budžetu un darbības plānus. Tie ir trīs gadu stratēģiskie pārvaldības plāni, kuros valsts uzņēmumi nosaka un apspriež ar finanšu ministru un attiecīgo(-ajiem) ministru(-iem) savus galvenos darbības virzienus, pakalpojumu portfeli, cilvēkresursus, ieguldījumu plānu, palīdzības darbības līmeņus un ekonomikas un finanšu pārskatu trīs gadu laikposmam, kā arī izskaidro efektivitātes un produktivitātes pieaugumu, kas nodrošinās to finansiālo ilgtspēju vidējā termiņā un ilgtermiņā.</w:t>
            </w:r>
          </w:p>
        </w:tc>
      </w:tr>
      <w:tr w:rsidR="00776A1F" w14:paraId="17BCAA4C" w14:textId="77777777">
        <w:trPr>
          <w:trHeight w:val="430"/>
        </w:trPr>
        <w:tc>
          <w:tcPr>
            <w:tcW w:w="1043" w:type="dxa"/>
            <w:gridSpan w:val="2"/>
            <w:shd w:val="clear" w:color="auto" w:fill="C4EFCE"/>
            <w:vAlign w:val="center"/>
            <w:hideMark/>
          </w:tcPr>
          <w:p w14:paraId="4DF0D948" w14:textId="41156502" w:rsidR="00776A1F" w:rsidRDefault="00D8574B">
            <w:pPr>
              <w:pStyle w:val="P68B1DB1-Normal7"/>
              <w:spacing w:after="0" w:line="240" w:lineRule="auto"/>
              <w:jc w:val="center"/>
              <w:rPr>
                <w:rFonts w:eastAsia="Times New Roman" w:cs="Calibri"/>
                <w:noProof/>
              </w:rPr>
            </w:pPr>
            <w:r>
              <w:rPr>
                <w:noProof/>
              </w:rPr>
              <w:t>17.9</w:t>
            </w:r>
          </w:p>
        </w:tc>
        <w:tc>
          <w:tcPr>
            <w:tcW w:w="1161" w:type="dxa"/>
            <w:shd w:val="clear" w:color="auto" w:fill="C4EFCE"/>
            <w:noWrap/>
            <w:vAlign w:val="center"/>
            <w:hideMark/>
          </w:tcPr>
          <w:p w14:paraId="2BCC8FC6" w14:textId="77777777" w:rsidR="00776A1F" w:rsidRDefault="00D8574B">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1B478FE"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3928ED9" w14:textId="77777777" w:rsidR="00776A1F" w:rsidRDefault="00D8574B">
            <w:pPr>
              <w:pStyle w:val="P68B1DB1-Normal8"/>
              <w:spacing w:after="0" w:line="240" w:lineRule="auto"/>
              <w:jc w:val="center"/>
              <w:rPr>
                <w:rFonts w:eastAsia="Times New Roman" w:cs="Calibri"/>
                <w:noProof/>
              </w:rPr>
            </w:pPr>
            <w:r>
              <w:rPr>
                <w:noProof/>
              </w:rPr>
              <w:t>Valsts grāmatvedības vienības ieviešanas pabeigšana</w:t>
            </w:r>
          </w:p>
        </w:tc>
        <w:tc>
          <w:tcPr>
            <w:tcW w:w="1356" w:type="dxa"/>
            <w:shd w:val="clear" w:color="auto" w:fill="C4EFCE"/>
            <w:noWrap/>
            <w:vAlign w:val="center"/>
            <w:hideMark/>
          </w:tcPr>
          <w:p w14:paraId="087F0E3A" w14:textId="77777777" w:rsidR="00776A1F" w:rsidRDefault="00D8574B">
            <w:pPr>
              <w:pStyle w:val="P68B1DB1-Normal8"/>
              <w:spacing w:after="0" w:line="240" w:lineRule="auto"/>
              <w:jc w:val="center"/>
              <w:rPr>
                <w:rFonts w:eastAsia="Times New Roman" w:cs="Calibri"/>
                <w:noProof/>
              </w:rPr>
            </w:pPr>
            <w:r>
              <w:rPr>
                <w:noProof/>
              </w:rPr>
              <w:t>Valsts grāmatvedības vienības ieviešanas pabeigšana</w:t>
            </w:r>
          </w:p>
        </w:tc>
        <w:tc>
          <w:tcPr>
            <w:tcW w:w="909" w:type="dxa"/>
            <w:shd w:val="clear" w:color="auto" w:fill="C4EFCE"/>
            <w:noWrap/>
            <w:vAlign w:val="center"/>
            <w:hideMark/>
          </w:tcPr>
          <w:p w14:paraId="0D51700F"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44B0A4"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E39381A"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42A23F4" w14:textId="77D292C3" w:rsidR="00776A1F" w:rsidRDefault="00D8574B">
            <w:pPr>
              <w:pStyle w:val="P68B1DB1-Normal8"/>
              <w:spacing w:after="0" w:line="240" w:lineRule="auto"/>
              <w:jc w:val="center"/>
              <w:rPr>
                <w:rFonts w:eastAsia="Times New Roman" w:cs="Calibri"/>
                <w:noProof/>
              </w:rPr>
            </w:pPr>
            <w:r>
              <w:rPr>
                <w:noProof/>
              </w:rPr>
              <w:t>2. CET.</w:t>
            </w:r>
          </w:p>
        </w:tc>
        <w:tc>
          <w:tcPr>
            <w:tcW w:w="656" w:type="dxa"/>
            <w:shd w:val="clear" w:color="auto" w:fill="C4EFCE"/>
            <w:noWrap/>
            <w:vAlign w:val="center"/>
            <w:hideMark/>
          </w:tcPr>
          <w:p w14:paraId="5FB1E755" w14:textId="64553DDF" w:rsidR="00776A1F" w:rsidRDefault="00D8574B">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4704A1B6" w14:textId="77777777" w:rsidR="00776A1F" w:rsidRDefault="00D8574B">
            <w:pPr>
              <w:pStyle w:val="P68B1DB1-Normal8"/>
              <w:spacing w:after="0" w:line="240" w:lineRule="auto"/>
              <w:jc w:val="both"/>
              <w:rPr>
                <w:rFonts w:eastAsia="Times New Roman" w:cs="Calibri"/>
                <w:noProof/>
              </w:rPr>
            </w:pPr>
            <w:r>
              <w:rPr>
                <w:noProof/>
              </w:rPr>
              <w:t>Pabeigt valsts grāmatvedības struktūras īstenošanu, pilnībā ievērojot 2015. gada Budžeta pamatlikuma 49. un 55. pantu.</w:t>
            </w:r>
          </w:p>
        </w:tc>
      </w:tr>
      <w:tr w:rsidR="00776A1F" w14:paraId="162E15E3" w14:textId="77777777">
        <w:trPr>
          <w:trHeight w:val="640"/>
        </w:trPr>
        <w:tc>
          <w:tcPr>
            <w:tcW w:w="1043" w:type="dxa"/>
            <w:gridSpan w:val="2"/>
            <w:shd w:val="clear" w:color="auto" w:fill="C4EFCE"/>
            <w:vAlign w:val="center"/>
            <w:hideMark/>
          </w:tcPr>
          <w:p w14:paraId="3BDDDDA8" w14:textId="77777777" w:rsidR="00776A1F" w:rsidRDefault="00D8574B">
            <w:pPr>
              <w:pStyle w:val="P68B1DB1-Normal7"/>
              <w:spacing w:after="0" w:line="240" w:lineRule="auto"/>
              <w:jc w:val="center"/>
              <w:rPr>
                <w:rFonts w:eastAsia="Times New Roman" w:cs="Calibri"/>
                <w:noProof/>
              </w:rPr>
            </w:pPr>
            <w:r>
              <w:rPr>
                <w:noProof/>
              </w:rPr>
              <w:t>17.10</w:t>
            </w:r>
          </w:p>
        </w:tc>
        <w:tc>
          <w:tcPr>
            <w:tcW w:w="1161" w:type="dxa"/>
            <w:shd w:val="clear" w:color="auto" w:fill="C4EFCE"/>
            <w:noWrap/>
            <w:vAlign w:val="center"/>
            <w:hideMark/>
          </w:tcPr>
          <w:p w14:paraId="498D4AC6" w14:textId="77777777" w:rsidR="00776A1F" w:rsidRDefault="00D8574B">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4C7A787A"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16CC567" w14:textId="77777777" w:rsidR="00776A1F" w:rsidRDefault="00D8574B">
            <w:pPr>
              <w:pStyle w:val="P68B1DB1-Normal8"/>
              <w:spacing w:after="0" w:line="240" w:lineRule="auto"/>
              <w:jc w:val="center"/>
              <w:rPr>
                <w:rFonts w:eastAsia="Times New Roman" w:cs="Calibri"/>
                <w:noProof/>
              </w:rPr>
            </w:pPr>
            <w:r>
              <w:rPr>
                <w:noProof/>
              </w:rPr>
              <w:t>Informācijas sistēmas darbības uzsākšana budžeta procesa pārveidošanai un īstenošanai, iekļaujot programmas budžeta plānošanu</w:t>
            </w:r>
          </w:p>
        </w:tc>
        <w:tc>
          <w:tcPr>
            <w:tcW w:w="1356" w:type="dxa"/>
            <w:shd w:val="clear" w:color="auto" w:fill="C4EFCE"/>
            <w:noWrap/>
            <w:vAlign w:val="center"/>
            <w:hideMark/>
          </w:tcPr>
          <w:p w14:paraId="14DDB52C" w14:textId="77777777" w:rsidR="00776A1F" w:rsidRDefault="00D8574B">
            <w:pPr>
              <w:pStyle w:val="P68B1DB1-Normal8"/>
              <w:spacing w:after="0" w:line="240" w:lineRule="auto"/>
              <w:jc w:val="center"/>
              <w:rPr>
                <w:rFonts w:eastAsia="Times New Roman" w:cs="Calibri"/>
                <w:noProof/>
              </w:rPr>
            </w:pPr>
            <w:r>
              <w:rPr>
                <w:noProof/>
              </w:rPr>
              <w:t>Informācijas sistēmas darbības sākšana budžeta procesa pārveidošanai un īstenošanai</w:t>
            </w:r>
          </w:p>
        </w:tc>
        <w:tc>
          <w:tcPr>
            <w:tcW w:w="909" w:type="dxa"/>
            <w:shd w:val="clear" w:color="auto" w:fill="C4EFCE"/>
            <w:noWrap/>
            <w:vAlign w:val="center"/>
            <w:hideMark/>
          </w:tcPr>
          <w:p w14:paraId="187C07AB"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693EE4D0"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CDCFA85"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34839CEE"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38281D6B" w14:textId="77777777" w:rsidR="00776A1F" w:rsidRDefault="00D8574B">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75FD6C3B" w14:textId="77777777" w:rsidR="00776A1F" w:rsidRDefault="00D8574B">
            <w:pPr>
              <w:pStyle w:val="P68B1DB1-Normal8"/>
              <w:spacing w:after="0" w:line="240" w:lineRule="auto"/>
              <w:jc w:val="both"/>
              <w:rPr>
                <w:rFonts w:eastAsia="Times New Roman" w:cs="Calibri"/>
                <w:noProof/>
              </w:rPr>
            </w:pPr>
            <w:r>
              <w:rPr>
                <w:noProof/>
              </w:rPr>
              <w:t>Informācijas sistēmas darbības uzsākšana, lai nodrošinātu, ka visas vispārējās valdības struktūras sniedz budžeta/grāmatvedības informāciju saskaņā ar jaunajiem formātiem, kas noteikti 2015. gada Budžeta pamatlikumā, tostarp attiecībā uz jaunām uz darbības rezultātiem balstītām budžeta programmām.</w:t>
            </w:r>
          </w:p>
        </w:tc>
      </w:tr>
      <w:tr w:rsidR="00776A1F" w14:paraId="6E9D296B" w14:textId="77777777">
        <w:trPr>
          <w:trHeight w:val="640"/>
        </w:trPr>
        <w:tc>
          <w:tcPr>
            <w:tcW w:w="1043" w:type="dxa"/>
            <w:gridSpan w:val="2"/>
            <w:shd w:val="clear" w:color="auto" w:fill="C4EFCE"/>
            <w:vAlign w:val="center"/>
            <w:hideMark/>
          </w:tcPr>
          <w:p w14:paraId="010A6216" w14:textId="77777777" w:rsidR="00776A1F" w:rsidRDefault="00D8574B">
            <w:pPr>
              <w:pStyle w:val="P68B1DB1-Normal7"/>
              <w:spacing w:after="0" w:line="240" w:lineRule="auto"/>
              <w:jc w:val="center"/>
              <w:rPr>
                <w:rFonts w:eastAsia="Times New Roman" w:cs="Calibri"/>
                <w:noProof/>
              </w:rPr>
            </w:pPr>
            <w:r>
              <w:rPr>
                <w:noProof/>
              </w:rPr>
              <w:t>17.11</w:t>
            </w:r>
          </w:p>
        </w:tc>
        <w:tc>
          <w:tcPr>
            <w:tcW w:w="1161" w:type="dxa"/>
            <w:shd w:val="clear" w:color="auto" w:fill="C4EFCE"/>
            <w:noWrap/>
            <w:vAlign w:val="center"/>
            <w:hideMark/>
          </w:tcPr>
          <w:p w14:paraId="06619773" w14:textId="77777777" w:rsidR="00776A1F" w:rsidRDefault="00D8574B">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8FBC5C2"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DDE848B" w14:textId="77777777" w:rsidR="00776A1F" w:rsidRDefault="00D8574B">
            <w:pPr>
              <w:pStyle w:val="P68B1DB1-Normal8"/>
              <w:spacing w:after="0" w:line="240" w:lineRule="auto"/>
              <w:jc w:val="center"/>
              <w:rPr>
                <w:rFonts w:eastAsia="Times New Roman" w:cs="Calibri"/>
                <w:noProof/>
              </w:rPr>
            </w:pPr>
            <w:r>
              <w:rPr>
                <w:noProof/>
              </w:rPr>
              <w:t>Atbalsta informācijas sistēmas darbības uzsākšana jaunajam budžeta un finanšu kontroles modelim</w:t>
            </w:r>
          </w:p>
        </w:tc>
        <w:tc>
          <w:tcPr>
            <w:tcW w:w="1356" w:type="dxa"/>
            <w:shd w:val="clear" w:color="auto" w:fill="C4EFCE"/>
            <w:noWrap/>
            <w:vAlign w:val="center"/>
            <w:hideMark/>
          </w:tcPr>
          <w:p w14:paraId="7C8F93A5" w14:textId="77777777" w:rsidR="00776A1F" w:rsidRDefault="00D8574B">
            <w:pPr>
              <w:pStyle w:val="P68B1DB1-Normal8"/>
              <w:spacing w:after="0" w:line="240" w:lineRule="auto"/>
              <w:jc w:val="center"/>
              <w:rPr>
                <w:rFonts w:eastAsia="Times New Roman" w:cs="Calibri"/>
                <w:noProof/>
              </w:rPr>
            </w:pPr>
            <w:r>
              <w:rPr>
                <w:noProof/>
              </w:rPr>
              <w:t>Darbojas informācijas sistēma</w:t>
            </w:r>
          </w:p>
        </w:tc>
        <w:tc>
          <w:tcPr>
            <w:tcW w:w="909" w:type="dxa"/>
            <w:shd w:val="clear" w:color="auto" w:fill="C4EFCE"/>
            <w:noWrap/>
            <w:vAlign w:val="center"/>
            <w:hideMark/>
          </w:tcPr>
          <w:p w14:paraId="2B202843"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BB56DFB"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A48EF47"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B10605D"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6E4DCD5D"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9CC531C" w14:textId="77777777" w:rsidR="00776A1F" w:rsidRDefault="00D8574B">
            <w:pPr>
              <w:pStyle w:val="P68B1DB1-Normal8"/>
              <w:spacing w:after="0" w:line="240" w:lineRule="auto"/>
              <w:jc w:val="both"/>
              <w:rPr>
                <w:rFonts w:eastAsia="Times New Roman" w:cs="Calibri"/>
                <w:noProof/>
              </w:rPr>
            </w:pPr>
            <w:r>
              <w:rPr>
                <w:noProof/>
              </w:rPr>
              <w:t>Atbalsta informācijas sistēmas darbības sākšana, lai nodrošinātu budžeta/grāmatvedības informācijas kontroli un uzraudzību saskaņā ar jaunajiem formātiem, kas noteikti 2015. gada Budžeta pamatlikumā, ko veic visas vispārējās valdības struktūras.</w:t>
            </w:r>
          </w:p>
        </w:tc>
      </w:tr>
      <w:tr w:rsidR="00776A1F" w14:paraId="0407FA88" w14:textId="77777777">
        <w:trPr>
          <w:trHeight w:val="1060"/>
        </w:trPr>
        <w:tc>
          <w:tcPr>
            <w:tcW w:w="1043" w:type="dxa"/>
            <w:gridSpan w:val="2"/>
            <w:shd w:val="clear" w:color="auto" w:fill="C4EFCE"/>
            <w:vAlign w:val="center"/>
            <w:hideMark/>
          </w:tcPr>
          <w:p w14:paraId="1E4ADC51" w14:textId="77777777" w:rsidR="00776A1F" w:rsidRDefault="00D8574B">
            <w:pPr>
              <w:pStyle w:val="P68B1DB1-Normal7"/>
              <w:spacing w:after="0" w:line="240" w:lineRule="auto"/>
              <w:jc w:val="center"/>
              <w:rPr>
                <w:rFonts w:eastAsia="Times New Roman" w:cs="Calibri"/>
                <w:noProof/>
              </w:rPr>
            </w:pPr>
            <w:r>
              <w:rPr>
                <w:noProof/>
              </w:rPr>
              <w:t>17.12</w:t>
            </w:r>
          </w:p>
        </w:tc>
        <w:tc>
          <w:tcPr>
            <w:tcW w:w="1161" w:type="dxa"/>
            <w:shd w:val="clear" w:color="auto" w:fill="C4EFCE"/>
            <w:noWrap/>
            <w:vAlign w:val="center"/>
            <w:hideMark/>
          </w:tcPr>
          <w:p w14:paraId="38F2DF60" w14:textId="77777777" w:rsidR="00776A1F" w:rsidRDefault="00D8574B">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58703872"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64324DB2" w14:textId="77777777" w:rsidR="00776A1F" w:rsidRDefault="00D8574B">
            <w:pPr>
              <w:pStyle w:val="P68B1DB1-Normal8"/>
              <w:spacing w:after="0" w:line="240" w:lineRule="auto"/>
              <w:jc w:val="center"/>
              <w:rPr>
                <w:rFonts w:eastAsia="Times New Roman" w:cs="Calibri"/>
                <w:noProof/>
              </w:rPr>
            </w:pPr>
            <w:r>
              <w:rPr>
                <w:noProof/>
              </w:rPr>
              <w:t>Pabeigt valsts centrālās publiskā iepirkuma sistēmas informācijas sistēmu modernizāciju un vienkāršošanu</w:t>
            </w:r>
          </w:p>
        </w:tc>
        <w:tc>
          <w:tcPr>
            <w:tcW w:w="1356" w:type="dxa"/>
            <w:shd w:val="clear" w:color="auto" w:fill="C4EFCE"/>
            <w:noWrap/>
            <w:vAlign w:val="center"/>
            <w:hideMark/>
          </w:tcPr>
          <w:p w14:paraId="78DB8F29" w14:textId="77777777" w:rsidR="00776A1F" w:rsidRDefault="00D8574B">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1A100E82" w14:textId="77777777" w:rsidR="00776A1F" w:rsidRDefault="00D8574B">
            <w:pPr>
              <w:pStyle w:val="P68B1DB1-Normal8"/>
              <w:spacing w:after="0" w:line="240" w:lineRule="auto"/>
              <w:jc w:val="center"/>
              <w:rPr>
                <w:rFonts w:eastAsia="Times New Roman" w:cs="Calibri"/>
                <w:noProof/>
              </w:rPr>
            </w:pPr>
            <w:r>
              <w:rPr>
                <w:noProof/>
              </w:rPr>
              <w:t>Skaits</w:t>
            </w:r>
          </w:p>
        </w:tc>
        <w:tc>
          <w:tcPr>
            <w:tcW w:w="908" w:type="dxa"/>
            <w:shd w:val="clear" w:color="auto" w:fill="C4EFCE"/>
            <w:noWrap/>
            <w:vAlign w:val="center"/>
            <w:hideMark/>
          </w:tcPr>
          <w:p w14:paraId="75095961" w14:textId="77777777" w:rsidR="00776A1F" w:rsidRDefault="00D8574B">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02B6DB5F" w14:textId="77777777" w:rsidR="00776A1F" w:rsidRDefault="00D8574B">
            <w:pPr>
              <w:pStyle w:val="P68B1DB1-Normal8"/>
              <w:spacing w:after="0" w:line="240" w:lineRule="auto"/>
              <w:jc w:val="center"/>
              <w:rPr>
                <w:rFonts w:eastAsia="Times New Roman" w:cs="Calibri"/>
                <w:noProof/>
              </w:rPr>
            </w:pPr>
            <w:r>
              <w:rPr>
                <w:noProof/>
              </w:rPr>
              <w:t>11</w:t>
            </w:r>
          </w:p>
        </w:tc>
        <w:tc>
          <w:tcPr>
            <w:tcW w:w="530" w:type="dxa"/>
            <w:shd w:val="clear" w:color="auto" w:fill="C4EFCE"/>
            <w:noWrap/>
            <w:vAlign w:val="center"/>
            <w:hideMark/>
          </w:tcPr>
          <w:p w14:paraId="3C0A8C2D"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7BB06AD2" w14:textId="77777777" w:rsidR="00776A1F" w:rsidRDefault="00D8574B">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9FEEE47" w14:textId="77777777" w:rsidR="00776A1F" w:rsidRDefault="00D8574B">
            <w:pPr>
              <w:pStyle w:val="P68B1DB1-Normal8"/>
              <w:spacing w:after="0" w:line="240" w:lineRule="auto"/>
              <w:jc w:val="both"/>
              <w:rPr>
                <w:rFonts w:eastAsia="Times New Roman" w:cs="Calibri"/>
                <w:noProof/>
              </w:rPr>
            </w:pPr>
            <w:r>
              <w:rPr>
                <w:noProof/>
              </w:rPr>
              <w:t>Modernizēto un vienkāršoto valsts centrālās publiskā iepirkuma sistēmas informācijas sistēmu skaits, lai: veicināt administratīvo vienkāršošanu; pastiprināt uzraudzības un kontroles mehānismus; III) veicināt izmaksu efektivitāti un racionalizācijas apsvērumus; paplašināt to preču un pakalpojumu sarakstu, uz kuriem attiecas centralizēts iepirkums; un v) veicināt sadarbību starp iekšējām un ārējām ieinteresētajām personām. Šā mērķa sasniegšanu mēra pēc ekspluatācijā esošo jauno informācijas sistēmu skaita.</w:t>
            </w:r>
          </w:p>
        </w:tc>
      </w:tr>
      <w:tr w:rsidR="00776A1F" w14:paraId="305B2486" w14:textId="77777777">
        <w:trPr>
          <w:trHeight w:val="300"/>
        </w:trPr>
        <w:tc>
          <w:tcPr>
            <w:tcW w:w="1043" w:type="dxa"/>
            <w:gridSpan w:val="2"/>
            <w:shd w:val="clear" w:color="auto" w:fill="C4EFCE"/>
            <w:vAlign w:val="center"/>
            <w:hideMark/>
          </w:tcPr>
          <w:p w14:paraId="4122D3A0" w14:textId="77777777" w:rsidR="00776A1F" w:rsidRDefault="00D8574B">
            <w:pPr>
              <w:pStyle w:val="P68B1DB1-Normal7"/>
              <w:spacing w:after="0" w:line="240" w:lineRule="auto"/>
              <w:jc w:val="center"/>
              <w:rPr>
                <w:rFonts w:eastAsia="Times New Roman" w:cs="Calibri"/>
                <w:noProof/>
              </w:rPr>
            </w:pPr>
            <w:r>
              <w:rPr>
                <w:noProof/>
              </w:rPr>
              <w:t>17.13</w:t>
            </w:r>
          </w:p>
        </w:tc>
        <w:tc>
          <w:tcPr>
            <w:tcW w:w="1161" w:type="dxa"/>
            <w:shd w:val="clear" w:color="auto" w:fill="C4EFCE"/>
            <w:noWrap/>
            <w:vAlign w:val="center"/>
            <w:hideMark/>
          </w:tcPr>
          <w:p w14:paraId="701D7F02" w14:textId="77777777" w:rsidR="00776A1F" w:rsidRDefault="00D8574B">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369E606B" w14:textId="353377BE"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4E5C9E6" w14:textId="128584CD" w:rsidR="00776A1F" w:rsidRDefault="00D8574B">
            <w:pPr>
              <w:pStyle w:val="P68B1DB1-Normal8"/>
              <w:spacing w:after="0" w:line="240" w:lineRule="auto"/>
              <w:jc w:val="center"/>
              <w:rPr>
                <w:rFonts w:eastAsia="Times New Roman" w:cs="Calibri"/>
                <w:noProof/>
              </w:rPr>
            </w:pPr>
            <w:r>
              <w:rPr>
                <w:i/>
                <w:noProof/>
              </w:rPr>
              <w:t>Sistema de Gestão de Património Imobiliário Público</w:t>
            </w:r>
            <w:r>
              <w:rPr>
                <w:noProof/>
              </w:rPr>
              <w:t xml:space="preserve"> (SIGPIP) īstenošanas pabeigšana un valstij piederošu transportlīdzekļu informācijas sistēmu modernizācija</w:t>
            </w:r>
          </w:p>
        </w:tc>
        <w:tc>
          <w:tcPr>
            <w:tcW w:w="1356" w:type="dxa"/>
            <w:shd w:val="clear" w:color="auto" w:fill="C4EFCE"/>
            <w:noWrap/>
            <w:vAlign w:val="center"/>
            <w:hideMark/>
          </w:tcPr>
          <w:p w14:paraId="2E7F8560" w14:textId="2744589B" w:rsidR="00776A1F" w:rsidRDefault="00D8574B">
            <w:pPr>
              <w:pStyle w:val="P68B1DB1-Normal8"/>
              <w:spacing w:after="0" w:line="240" w:lineRule="auto"/>
              <w:rPr>
                <w:rFonts w:eastAsia="Times New Roman" w:cs="Calibri"/>
                <w:noProof/>
              </w:rPr>
            </w:pPr>
            <w:r>
              <w:rPr>
                <w:noProof/>
              </w:rPr>
              <w:t>Pabeigta SIGPIP īstenošana un valsts transportlīdzekļu informācijas sistēmu darbības uzsākšana</w:t>
            </w:r>
          </w:p>
        </w:tc>
        <w:tc>
          <w:tcPr>
            <w:tcW w:w="909" w:type="dxa"/>
            <w:shd w:val="clear" w:color="auto" w:fill="C4EFCE"/>
            <w:noWrap/>
            <w:vAlign w:val="center"/>
            <w:hideMark/>
          </w:tcPr>
          <w:p w14:paraId="6D2C816C" w14:textId="04080BA1" w:rsidR="00776A1F" w:rsidRDefault="00776A1F">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5F6E0C5C" w14:textId="43B2C062" w:rsidR="00776A1F" w:rsidRDefault="00776A1F">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1BDD16A4" w14:textId="3B8B3F7A" w:rsidR="00776A1F" w:rsidRDefault="00776A1F">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0BBA56AA" w14:textId="77777777" w:rsidR="00776A1F" w:rsidRDefault="00D8574B">
            <w:pPr>
              <w:pStyle w:val="P68B1DB1-Normal8"/>
              <w:spacing w:after="0" w:line="240" w:lineRule="auto"/>
              <w:jc w:val="center"/>
              <w:rPr>
                <w:rFonts w:eastAsia="Times New Roman" w:cs="Calibri"/>
                <w:noProof/>
              </w:rPr>
            </w:pPr>
            <w:r>
              <w:rPr>
                <w:noProof/>
              </w:rPr>
              <w:t>2. CET.</w:t>
            </w:r>
          </w:p>
        </w:tc>
        <w:tc>
          <w:tcPr>
            <w:tcW w:w="656" w:type="dxa"/>
            <w:shd w:val="clear" w:color="auto" w:fill="C4EFCE"/>
            <w:noWrap/>
            <w:vAlign w:val="center"/>
            <w:hideMark/>
          </w:tcPr>
          <w:p w14:paraId="069B7D5F" w14:textId="77777777" w:rsidR="00776A1F" w:rsidRDefault="00D8574B">
            <w:pPr>
              <w:pStyle w:val="P68B1DB1-Normal8"/>
              <w:spacing w:after="0" w:line="240" w:lineRule="auto"/>
              <w:jc w:val="center"/>
              <w:rPr>
                <w:rFonts w:eastAsia="Times New Roman" w:cs="Calibri"/>
                <w:noProof/>
              </w:rPr>
            </w:pPr>
            <w:r>
              <w:rPr>
                <w:noProof/>
              </w:rPr>
              <w:t>2026</w:t>
            </w:r>
          </w:p>
        </w:tc>
        <w:tc>
          <w:tcPr>
            <w:tcW w:w="5456" w:type="dxa"/>
            <w:shd w:val="clear" w:color="auto" w:fill="C4EFCE"/>
            <w:noWrap/>
            <w:vAlign w:val="center"/>
            <w:hideMark/>
          </w:tcPr>
          <w:p w14:paraId="29151ECC" w14:textId="22FC8058" w:rsidR="00776A1F" w:rsidRDefault="00D8574B">
            <w:pPr>
              <w:pStyle w:val="P68B1DB1-Normal8"/>
              <w:spacing w:after="0" w:line="240" w:lineRule="auto"/>
              <w:jc w:val="both"/>
              <w:rPr>
                <w:rFonts w:eastAsia="Times New Roman" w:cs="Calibri"/>
                <w:noProof/>
              </w:rPr>
            </w:pPr>
            <w:r>
              <w:rPr>
                <w:noProof/>
              </w:rPr>
              <w:t>Pabeidza īstenot</w:t>
            </w:r>
            <w:r>
              <w:rPr>
                <w:i/>
                <w:noProof/>
              </w:rPr>
              <w:t>Sistema de Gestão de Património Imobiliário Público (SIGPIP</w:t>
            </w:r>
            <w:r>
              <w:rPr>
                <w:noProof/>
              </w:rPr>
              <w:t xml:space="preserve">), kas pārvaldīs informāciju par valsts nekustamo īpašumu. </w:t>
            </w:r>
          </w:p>
          <w:p w14:paraId="16254F2D" w14:textId="680EF6EC" w:rsidR="00776A1F" w:rsidRDefault="00D8574B">
            <w:pPr>
              <w:pStyle w:val="P68B1DB1-Normal8"/>
              <w:spacing w:after="0" w:line="240" w:lineRule="auto"/>
              <w:jc w:val="both"/>
              <w:rPr>
                <w:rFonts w:eastAsia="Times New Roman" w:cs="Calibri"/>
                <w:noProof/>
              </w:rPr>
            </w:pPr>
            <w:r>
              <w:rPr>
                <w:noProof/>
              </w:rPr>
              <w:t>Divas jaunas informācijas sistēmas, kas darbojas, lai inventarizētu un uzraudzītu valstij piederošus transportlīdzekļus.</w:t>
            </w:r>
          </w:p>
        </w:tc>
      </w:tr>
      <w:tr w:rsidR="00776A1F" w14:paraId="29D028EC" w14:textId="77777777">
        <w:trPr>
          <w:trHeight w:val="430"/>
        </w:trPr>
        <w:tc>
          <w:tcPr>
            <w:tcW w:w="1043" w:type="dxa"/>
            <w:gridSpan w:val="2"/>
            <w:shd w:val="clear" w:color="auto" w:fill="C4EFCE"/>
            <w:vAlign w:val="center"/>
            <w:hideMark/>
          </w:tcPr>
          <w:p w14:paraId="339504D8" w14:textId="62CAECE8" w:rsidR="00776A1F" w:rsidRDefault="00D8574B">
            <w:pPr>
              <w:pStyle w:val="P68B1DB1-Normal7"/>
              <w:spacing w:after="0" w:line="240" w:lineRule="auto"/>
              <w:jc w:val="center"/>
              <w:rPr>
                <w:rFonts w:eastAsia="Times New Roman" w:cs="Calibri"/>
                <w:noProof/>
              </w:rPr>
            </w:pPr>
            <w:r>
              <w:rPr>
                <w:noProof/>
              </w:rPr>
              <w:t>17.14</w:t>
            </w:r>
          </w:p>
        </w:tc>
        <w:tc>
          <w:tcPr>
            <w:tcW w:w="1161" w:type="dxa"/>
            <w:shd w:val="clear" w:color="auto" w:fill="C4EFCE"/>
            <w:noWrap/>
            <w:vAlign w:val="center"/>
            <w:hideMark/>
          </w:tcPr>
          <w:p w14:paraId="76E795FA" w14:textId="77777777" w:rsidR="00776A1F" w:rsidRDefault="00D8574B">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2D718AE9"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7EAE67B" w14:textId="77777777" w:rsidR="00776A1F" w:rsidRDefault="00D8574B">
            <w:pPr>
              <w:pStyle w:val="P68B1DB1-Normal8"/>
              <w:spacing w:after="0" w:line="240" w:lineRule="auto"/>
              <w:jc w:val="center"/>
              <w:rPr>
                <w:rFonts w:eastAsia="Times New Roman" w:cs="Calibri"/>
                <w:noProof/>
              </w:rPr>
            </w:pPr>
            <w:r>
              <w:rPr>
                <w:noProof/>
              </w:rPr>
              <w:t>Pabeigt drošības operāciju centra īstenošanu</w:t>
            </w:r>
          </w:p>
        </w:tc>
        <w:tc>
          <w:tcPr>
            <w:tcW w:w="1356" w:type="dxa"/>
            <w:shd w:val="clear" w:color="auto" w:fill="C4EFCE"/>
            <w:noWrap/>
            <w:vAlign w:val="center"/>
            <w:hideMark/>
          </w:tcPr>
          <w:p w14:paraId="0998F4B9" w14:textId="77777777" w:rsidR="00776A1F" w:rsidRDefault="00D8574B">
            <w:pPr>
              <w:pStyle w:val="P68B1DB1-Normal8"/>
              <w:spacing w:after="0" w:line="240" w:lineRule="auto"/>
              <w:jc w:val="center"/>
              <w:rPr>
                <w:rFonts w:eastAsia="Times New Roman" w:cs="Calibri"/>
                <w:noProof/>
              </w:rPr>
            </w:pPr>
            <w:r>
              <w:rPr>
                <w:noProof/>
              </w:rPr>
              <w:t>Drošības operāciju centra īstenošanas pabeigšana</w:t>
            </w:r>
          </w:p>
        </w:tc>
        <w:tc>
          <w:tcPr>
            <w:tcW w:w="909" w:type="dxa"/>
            <w:shd w:val="clear" w:color="auto" w:fill="C4EFCE"/>
            <w:noWrap/>
            <w:vAlign w:val="center"/>
            <w:hideMark/>
          </w:tcPr>
          <w:p w14:paraId="4BF11062"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A0E5BC3"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3E331B7"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DF70649"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58B8D8F6"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46684948" w14:textId="77777777" w:rsidR="00776A1F" w:rsidRDefault="00D8574B">
            <w:pPr>
              <w:pStyle w:val="P68B1DB1-Normal8"/>
              <w:spacing w:after="0" w:line="240" w:lineRule="auto"/>
              <w:jc w:val="both"/>
              <w:rPr>
                <w:rFonts w:eastAsia="Times New Roman" w:cs="Calibri"/>
                <w:noProof/>
              </w:rPr>
            </w:pPr>
            <w:r>
              <w:rPr>
                <w:noProof/>
              </w:rPr>
              <w:t>Drošības operāciju centra izveides pabeigšana, lai nodrošinātu lielāku informācijas drošību un piekļuvi datiem, kā arī drošības politikas un kiberdrošības risinājumu īstenošanu.</w:t>
            </w:r>
          </w:p>
        </w:tc>
      </w:tr>
      <w:tr w:rsidR="00776A1F" w14:paraId="5362F69D" w14:textId="77777777">
        <w:trPr>
          <w:trHeight w:val="640"/>
        </w:trPr>
        <w:tc>
          <w:tcPr>
            <w:tcW w:w="1043" w:type="dxa"/>
            <w:gridSpan w:val="2"/>
            <w:shd w:val="clear" w:color="auto" w:fill="C4EFCE"/>
            <w:vAlign w:val="center"/>
            <w:hideMark/>
          </w:tcPr>
          <w:p w14:paraId="31BEB070" w14:textId="6A625FBD" w:rsidR="00776A1F" w:rsidRDefault="00D8574B">
            <w:pPr>
              <w:pStyle w:val="P68B1DB1-Normal7"/>
              <w:spacing w:after="0" w:line="240" w:lineRule="auto"/>
              <w:jc w:val="center"/>
              <w:rPr>
                <w:rFonts w:eastAsia="Times New Roman" w:cs="Calibri"/>
                <w:noProof/>
              </w:rPr>
            </w:pPr>
            <w:r>
              <w:rPr>
                <w:noProof/>
              </w:rPr>
              <w:t>17.15</w:t>
            </w:r>
          </w:p>
        </w:tc>
        <w:tc>
          <w:tcPr>
            <w:tcW w:w="1161" w:type="dxa"/>
            <w:shd w:val="clear" w:color="auto" w:fill="C4EFCE"/>
            <w:noWrap/>
            <w:vAlign w:val="center"/>
            <w:hideMark/>
          </w:tcPr>
          <w:p w14:paraId="7B839632" w14:textId="77777777" w:rsidR="00776A1F" w:rsidRDefault="00D8574B">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0225F062"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4838897" w14:textId="77777777" w:rsidR="00776A1F" w:rsidRDefault="00D8574B">
            <w:pPr>
              <w:pStyle w:val="P68B1DB1-Normal8"/>
              <w:spacing w:after="0" w:line="240" w:lineRule="auto"/>
              <w:jc w:val="center"/>
              <w:rPr>
                <w:rFonts w:eastAsia="Times New Roman" w:cs="Calibri"/>
                <w:noProof/>
              </w:rPr>
            </w:pPr>
            <w:r>
              <w:rPr>
                <w:noProof/>
              </w:rPr>
              <w:t>Pabeigt pašvaldības nekustamā īpašuma nodokļa (IMI) 1. parauga deklarācijas iepriekšēju aizpildīšanu, pamatojoties uz Nodokļu un muitas iestādei pieejamajiem datiem.</w:t>
            </w:r>
          </w:p>
        </w:tc>
        <w:tc>
          <w:tcPr>
            <w:tcW w:w="1356" w:type="dxa"/>
            <w:shd w:val="clear" w:color="auto" w:fill="C4EFCE"/>
            <w:noWrap/>
            <w:vAlign w:val="center"/>
            <w:hideMark/>
          </w:tcPr>
          <w:p w14:paraId="451BCA0C" w14:textId="77777777" w:rsidR="00776A1F" w:rsidRDefault="00D8574B">
            <w:pPr>
              <w:pStyle w:val="P68B1DB1-Normal8"/>
              <w:spacing w:after="0" w:line="240" w:lineRule="auto"/>
              <w:jc w:val="center"/>
              <w:rPr>
                <w:rFonts w:eastAsia="Times New Roman" w:cs="Calibri"/>
                <w:noProof/>
              </w:rPr>
            </w:pPr>
            <w:r>
              <w:rPr>
                <w:noProof/>
              </w:rPr>
              <w:t>Pabeigt pašvaldības nekustamā īpašuma nodokļa (IMI) 1. parauga deklarācijas iepriekšēju aizpildīšanu</w:t>
            </w:r>
          </w:p>
        </w:tc>
        <w:tc>
          <w:tcPr>
            <w:tcW w:w="909" w:type="dxa"/>
            <w:shd w:val="clear" w:color="auto" w:fill="C4EFCE"/>
            <w:noWrap/>
            <w:vAlign w:val="center"/>
            <w:hideMark/>
          </w:tcPr>
          <w:p w14:paraId="5622F9E0"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16D8FAE4"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D1DC19D"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19997423" w14:textId="77777777" w:rsidR="00776A1F" w:rsidRDefault="00D8574B">
            <w:pPr>
              <w:pStyle w:val="P68B1DB1-Normal8"/>
              <w:spacing w:after="0" w:line="240" w:lineRule="auto"/>
              <w:jc w:val="center"/>
              <w:rPr>
                <w:rFonts w:eastAsia="Times New Roman" w:cs="Calibri"/>
                <w:noProof/>
              </w:rPr>
            </w:pPr>
            <w:r>
              <w:rPr>
                <w:noProof/>
              </w:rPr>
              <w:t>2. CET.</w:t>
            </w:r>
          </w:p>
        </w:tc>
        <w:tc>
          <w:tcPr>
            <w:tcW w:w="656" w:type="dxa"/>
            <w:shd w:val="clear" w:color="auto" w:fill="C4EFCE"/>
            <w:noWrap/>
            <w:vAlign w:val="center"/>
            <w:hideMark/>
          </w:tcPr>
          <w:p w14:paraId="2F091CDC" w14:textId="77777777" w:rsidR="00776A1F" w:rsidRDefault="00D8574B">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0BA4FBF7" w14:textId="77777777" w:rsidR="00776A1F" w:rsidRDefault="00D8574B">
            <w:pPr>
              <w:pStyle w:val="P68B1DB1-Normal8"/>
              <w:spacing w:after="0" w:line="240" w:lineRule="auto"/>
              <w:jc w:val="both"/>
              <w:rPr>
                <w:rFonts w:eastAsia="Times New Roman" w:cs="Calibri"/>
                <w:noProof/>
              </w:rPr>
            </w:pPr>
            <w:r>
              <w:rPr>
                <w:noProof/>
              </w:rPr>
              <w:t>Datu kopīgošana starp Nodokļu un muitas iestādi un pašvaldībām, lai iepriekš aizpildītu pašvaldības nekustamā īpašuma nodokļa 1. parauga deklarāciju (“</w:t>
            </w:r>
            <w:r>
              <w:rPr>
                <w:i/>
                <w:noProof/>
              </w:rPr>
              <w:t>Impulsto Municipal sobre Imóveis</w:t>
            </w:r>
            <w:r>
              <w:rPr>
                <w:noProof/>
              </w:rPr>
              <w:t>”, IMI), izmantojot esošo informāciju par īpašumiem attiecīgajās informācijas sistēmās.</w:t>
            </w:r>
          </w:p>
        </w:tc>
      </w:tr>
      <w:tr w:rsidR="00776A1F" w14:paraId="0B05BC3F" w14:textId="77777777">
        <w:trPr>
          <w:trHeight w:val="640"/>
        </w:trPr>
        <w:tc>
          <w:tcPr>
            <w:tcW w:w="1043" w:type="dxa"/>
            <w:gridSpan w:val="2"/>
            <w:shd w:val="clear" w:color="auto" w:fill="C4EFCE"/>
            <w:vAlign w:val="center"/>
          </w:tcPr>
          <w:p w14:paraId="62EFB6DD" w14:textId="15BA45D9" w:rsidR="00776A1F" w:rsidRDefault="00D8574B">
            <w:pPr>
              <w:pStyle w:val="P68B1DB1-Normal11"/>
              <w:spacing w:after="0" w:line="240" w:lineRule="auto"/>
              <w:jc w:val="center"/>
              <w:rPr>
                <w:rFonts w:ascii="Calibri" w:eastAsia="Times New Roman" w:hAnsi="Calibri" w:cs="Calibri"/>
                <w:noProof/>
              </w:rPr>
            </w:pPr>
            <w:r>
              <w:rPr>
                <w:noProof/>
              </w:rPr>
              <w:t>17.21</w:t>
            </w:r>
          </w:p>
        </w:tc>
        <w:tc>
          <w:tcPr>
            <w:tcW w:w="1161" w:type="dxa"/>
            <w:shd w:val="clear" w:color="auto" w:fill="C4EFCE"/>
            <w:noWrap/>
            <w:vAlign w:val="center"/>
          </w:tcPr>
          <w:p w14:paraId="21471993" w14:textId="2900E5A4" w:rsidR="00776A1F" w:rsidRDefault="00D8574B">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tcPr>
          <w:p w14:paraId="3FACD559" w14:textId="22769DF8"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tcPr>
          <w:p w14:paraId="648192F8" w14:textId="3B970152" w:rsidR="00776A1F" w:rsidRDefault="00D8574B">
            <w:pPr>
              <w:pStyle w:val="P68B1DB1-Normal8"/>
              <w:spacing w:after="0" w:line="240" w:lineRule="auto"/>
              <w:jc w:val="center"/>
              <w:rPr>
                <w:rFonts w:eastAsia="Times New Roman" w:cs="Calibri"/>
                <w:noProof/>
              </w:rPr>
            </w:pPr>
            <w:r>
              <w:rPr>
                <w:noProof/>
              </w:rPr>
              <w:t>Pabeigt konkrēta darījuma iepriekšēju aizpildīšanu, kam piemēro zīmognodevu</w:t>
            </w:r>
          </w:p>
        </w:tc>
        <w:tc>
          <w:tcPr>
            <w:tcW w:w="1356" w:type="dxa"/>
            <w:shd w:val="clear" w:color="auto" w:fill="C4EFCE"/>
            <w:noWrap/>
            <w:vAlign w:val="center"/>
          </w:tcPr>
          <w:p w14:paraId="59F0138D" w14:textId="2B1A728B" w:rsidR="00776A1F" w:rsidRDefault="00D8574B">
            <w:pPr>
              <w:pStyle w:val="P68B1DB1-Normal8"/>
              <w:spacing w:after="0" w:line="240" w:lineRule="auto"/>
              <w:jc w:val="center"/>
              <w:rPr>
                <w:rFonts w:eastAsia="Times New Roman" w:cs="Calibri"/>
                <w:noProof/>
              </w:rPr>
            </w:pPr>
            <w:r>
              <w:rPr>
                <w:noProof/>
              </w:rPr>
              <w:t>Konkrēta darījuma, kam piemēro zīmognodevu, iepriekšējas aizpildīšanas īstenošanas pabeigšana</w:t>
            </w:r>
          </w:p>
        </w:tc>
        <w:tc>
          <w:tcPr>
            <w:tcW w:w="909" w:type="dxa"/>
            <w:shd w:val="clear" w:color="auto" w:fill="C4EFCE"/>
            <w:noWrap/>
            <w:vAlign w:val="center"/>
          </w:tcPr>
          <w:p w14:paraId="6A2AF1CB" w14:textId="77777777" w:rsidR="00776A1F" w:rsidRDefault="00776A1F">
            <w:pPr>
              <w:spacing w:after="0" w:line="240" w:lineRule="auto"/>
              <w:jc w:val="center"/>
              <w:rPr>
                <w:rFonts w:ascii="Calibri" w:eastAsia="Times New Roman" w:hAnsi="Calibri" w:cs="Calibri"/>
                <w:noProof/>
                <w:sz w:val="16"/>
              </w:rPr>
            </w:pPr>
          </w:p>
        </w:tc>
        <w:tc>
          <w:tcPr>
            <w:tcW w:w="908" w:type="dxa"/>
            <w:shd w:val="clear" w:color="auto" w:fill="C4EFCE"/>
            <w:noWrap/>
            <w:vAlign w:val="center"/>
          </w:tcPr>
          <w:p w14:paraId="0C8AF654" w14:textId="77777777" w:rsidR="00776A1F" w:rsidRDefault="00776A1F">
            <w:pPr>
              <w:spacing w:after="0" w:line="240" w:lineRule="auto"/>
              <w:jc w:val="center"/>
              <w:rPr>
                <w:rFonts w:ascii="Calibri" w:eastAsia="Times New Roman" w:hAnsi="Calibri" w:cs="Calibri"/>
                <w:noProof/>
                <w:sz w:val="16"/>
              </w:rPr>
            </w:pPr>
          </w:p>
        </w:tc>
        <w:tc>
          <w:tcPr>
            <w:tcW w:w="657" w:type="dxa"/>
            <w:shd w:val="clear" w:color="auto" w:fill="C4EFCE"/>
            <w:noWrap/>
            <w:vAlign w:val="center"/>
          </w:tcPr>
          <w:p w14:paraId="4A18B87A" w14:textId="77777777" w:rsidR="00776A1F" w:rsidRDefault="00776A1F">
            <w:pPr>
              <w:spacing w:after="0" w:line="240" w:lineRule="auto"/>
              <w:jc w:val="center"/>
              <w:rPr>
                <w:rFonts w:ascii="Calibri" w:eastAsia="Times New Roman" w:hAnsi="Calibri" w:cs="Calibri"/>
                <w:noProof/>
                <w:sz w:val="16"/>
              </w:rPr>
            </w:pPr>
          </w:p>
        </w:tc>
        <w:tc>
          <w:tcPr>
            <w:tcW w:w="530" w:type="dxa"/>
            <w:shd w:val="clear" w:color="auto" w:fill="C4EFCE"/>
            <w:noWrap/>
            <w:vAlign w:val="center"/>
          </w:tcPr>
          <w:p w14:paraId="3169F07F" w14:textId="30A90A7A"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tcPr>
          <w:p w14:paraId="483BF940" w14:textId="6003A4D6" w:rsidR="00776A1F" w:rsidRDefault="00D8574B">
            <w:pPr>
              <w:pStyle w:val="P68B1DB1-Normal8"/>
              <w:spacing w:after="0" w:line="240" w:lineRule="auto"/>
              <w:jc w:val="center"/>
              <w:rPr>
                <w:rFonts w:eastAsia="Times New Roman" w:cs="Calibri"/>
                <w:noProof/>
              </w:rPr>
            </w:pPr>
            <w:r>
              <w:rPr>
                <w:noProof/>
              </w:rPr>
              <w:t>2023</w:t>
            </w:r>
          </w:p>
        </w:tc>
        <w:tc>
          <w:tcPr>
            <w:tcW w:w="5456" w:type="dxa"/>
            <w:shd w:val="clear" w:color="auto" w:fill="C4EFCE"/>
            <w:noWrap/>
            <w:vAlign w:val="center"/>
          </w:tcPr>
          <w:p w14:paraId="3FD5E02C" w14:textId="06D7A0A1" w:rsidR="00776A1F" w:rsidRDefault="00D8574B">
            <w:pPr>
              <w:pStyle w:val="P68B1DB1-Normal8"/>
              <w:spacing w:after="0" w:line="240" w:lineRule="auto"/>
              <w:jc w:val="both"/>
              <w:rPr>
                <w:rFonts w:eastAsia="Times New Roman" w:cs="Calibri"/>
                <w:noProof/>
              </w:rPr>
            </w:pPr>
            <w:r>
              <w:rPr>
                <w:noProof/>
              </w:rPr>
              <w:t>Pilnībā īstenot iepriekšējas aizpildīšanas pakalpojumus nekustamā īpašuma un transportlīdzekļu nodošanas darījumiem, uz kuriem attiecas zīmognodeva (</w:t>
            </w:r>
            <w:r>
              <w:rPr>
                <w:i/>
                <w:noProof/>
              </w:rPr>
              <w:t>“Imposto de Selo</w:t>
            </w:r>
            <w:r>
              <w:rPr>
                <w:noProof/>
              </w:rPr>
              <w:t>”), izmantojot esošo informāciju par īpašumiem, kas pieejama Nodokļu un muitas iestādēm, Mobilitātes un transporta institūtam</w:t>
            </w:r>
            <w:r>
              <w:rPr>
                <w:i/>
                <w:noProof/>
              </w:rPr>
              <w:t xml:space="preserve">. </w:t>
            </w:r>
            <w:r>
              <w:rPr>
                <w:noProof/>
              </w:rPr>
              <w:t>(IMT) un Reģistru un notāru institūts (IRN).</w:t>
            </w:r>
          </w:p>
        </w:tc>
      </w:tr>
      <w:tr w:rsidR="00776A1F" w14:paraId="5A586D67" w14:textId="77777777">
        <w:trPr>
          <w:trHeight w:val="430"/>
        </w:trPr>
        <w:tc>
          <w:tcPr>
            <w:tcW w:w="1043" w:type="dxa"/>
            <w:gridSpan w:val="2"/>
            <w:shd w:val="clear" w:color="auto" w:fill="C4EFCE"/>
            <w:vAlign w:val="center"/>
            <w:hideMark/>
          </w:tcPr>
          <w:p w14:paraId="169BD49B" w14:textId="22DC1B0C" w:rsidR="00776A1F" w:rsidRDefault="00D8574B">
            <w:pPr>
              <w:pStyle w:val="P68B1DB1-Normal7"/>
              <w:spacing w:after="0" w:line="240" w:lineRule="auto"/>
              <w:jc w:val="center"/>
              <w:rPr>
                <w:rFonts w:eastAsia="Times New Roman" w:cs="Calibri"/>
                <w:noProof/>
              </w:rPr>
            </w:pPr>
            <w:r>
              <w:rPr>
                <w:noProof/>
              </w:rPr>
              <w:t>17.16</w:t>
            </w:r>
          </w:p>
        </w:tc>
        <w:tc>
          <w:tcPr>
            <w:tcW w:w="1161" w:type="dxa"/>
            <w:shd w:val="clear" w:color="auto" w:fill="C4EFCE"/>
            <w:noWrap/>
            <w:vAlign w:val="center"/>
            <w:hideMark/>
          </w:tcPr>
          <w:p w14:paraId="7338038A" w14:textId="77777777" w:rsidR="00776A1F" w:rsidRDefault="00D8574B">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46ECBF0B" w14:textId="77777777" w:rsidR="00776A1F" w:rsidRDefault="00D8574B">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369D0DB" w14:textId="77777777" w:rsidR="00776A1F" w:rsidRDefault="00D8574B">
            <w:pPr>
              <w:pStyle w:val="P68B1DB1-Normal8"/>
              <w:spacing w:after="0" w:line="240" w:lineRule="auto"/>
              <w:jc w:val="center"/>
              <w:rPr>
                <w:rFonts w:eastAsia="Times New Roman" w:cs="Calibri"/>
                <w:noProof/>
              </w:rPr>
            </w:pPr>
            <w:r>
              <w:rPr>
                <w:noProof/>
              </w:rPr>
              <w:t>Informācijas sistēmas galīgās versijas nodrošināšana un ieviešana lauku īpašumu vienkāršotai novērtēšanai</w:t>
            </w:r>
          </w:p>
        </w:tc>
        <w:tc>
          <w:tcPr>
            <w:tcW w:w="1356" w:type="dxa"/>
            <w:shd w:val="clear" w:color="auto" w:fill="C4EFCE"/>
            <w:noWrap/>
            <w:vAlign w:val="center"/>
            <w:hideMark/>
          </w:tcPr>
          <w:p w14:paraId="0D7E1C75" w14:textId="77777777" w:rsidR="00776A1F" w:rsidRDefault="00D8574B">
            <w:pPr>
              <w:pStyle w:val="P68B1DB1-Normal8"/>
              <w:spacing w:after="0" w:line="240" w:lineRule="auto"/>
              <w:jc w:val="center"/>
              <w:rPr>
                <w:rFonts w:eastAsia="Times New Roman" w:cs="Calibri"/>
                <w:noProof/>
              </w:rPr>
            </w:pPr>
            <w:r>
              <w:rPr>
                <w:noProof/>
              </w:rPr>
              <w:t>Informācijas sistēmas galīgās versijas nodrošināšana un ieviešana lauku īpašumu vienkāršotai novērtēšanai</w:t>
            </w:r>
          </w:p>
        </w:tc>
        <w:tc>
          <w:tcPr>
            <w:tcW w:w="909" w:type="dxa"/>
            <w:shd w:val="clear" w:color="auto" w:fill="C4EFCE"/>
            <w:noWrap/>
            <w:vAlign w:val="center"/>
            <w:hideMark/>
          </w:tcPr>
          <w:p w14:paraId="3A165F24" w14:textId="77777777" w:rsidR="00776A1F" w:rsidRDefault="00D8574B">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74CA91F" w14:textId="77777777" w:rsidR="00776A1F" w:rsidRDefault="00D8574B">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300B0DA" w14:textId="77777777" w:rsidR="00776A1F" w:rsidRDefault="00D8574B">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C8D6393"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0731EA14"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0EDB57E" w14:textId="77777777" w:rsidR="00776A1F" w:rsidRDefault="00D8574B">
            <w:pPr>
              <w:pStyle w:val="P68B1DB1-Normal8"/>
              <w:spacing w:after="0" w:line="240" w:lineRule="auto"/>
              <w:jc w:val="both"/>
              <w:rPr>
                <w:rFonts w:eastAsia="Times New Roman" w:cs="Calibri"/>
                <w:noProof/>
              </w:rPr>
            </w:pPr>
            <w:r>
              <w:rPr>
                <w:noProof/>
              </w:rPr>
              <w:t>Informācijas sistēmas nodrošināšana, kas atbalsta lauku īpašumu vienkāršotu novērtēšanu kā papildu pasākumu šāda veida īpašuma vispārējai pārvērtēšanai.</w:t>
            </w:r>
          </w:p>
        </w:tc>
      </w:tr>
      <w:tr w:rsidR="00776A1F" w14:paraId="4384BCD2" w14:textId="77777777">
        <w:trPr>
          <w:trHeight w:val="640"/>
        </w:trPr>
        <w:tc>
          <w:tcPr>
            <w:tcW w:w="1043" w:type="dxa"/>
            <w:gridSpan w:val="2"/>
            <w:shd w:val="clear" w:color="auto" w:fill="C4EFCE"/>
            <w:vAlign w:val="center"/>
            <w:hideMark/>
          </w:tcPr>
          <w:p w14:paraId="0D69DEF7" w14:textId="1C27A11A" w:rsidR="00776A1F" w:rsidRDefault="00D8574B">
            <w:pPr>
              <w:pStyle w:val="P68B1DB1-Normal7"/>
              <w:spacing w:after="0" w:line="240" w:lineRule="auto"/>
              <w:jc w:val="center"/>
              <w:rPr>
                <w:rFonts w:eastAsia="Times New Roman" w:cs="Calibri"/>
                <w:noProof/>
              </w:rPr>
            </w:pPr>
            <w:r>
              <w:rPr>
                <w:noProof/>
              </w:rPr>
              <w:t>17.17</w:t>
            </w:r>
          </w:p>
        </w:tc>
        <w:tc>
          <w:tcPr>
            <w:tcW w:w="1161" w:type="dxa"/>
            <w:shd w:val="clear" w:color="auto" w:fill="C4EFCE"/>
            <w:noWrap/>
            <w:vAlign w:val="center"/>
            <w:hideMark/>
          </w:tcPr>
          <w:p w14:paraId="319B5557" w14:textId="77777777" w:rsidR="00776A1F" w:rsidRDefault="00D8574B">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2F25B982"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554A6DF7" w14:textId="77777777" w:rsidR="00776A1F" w:rsidRDefault="00D8574B">
            <w:pPr>
              <w:pStyle w:val="P68B1DB1-Normal8"/>
              <w:spacing w:after="0" w:line="240" w:lineRule="auto"/>
              <w:jc w:val="center"/>
              <w:rPr>
                <w:rFonts w:eastAsia="Times New Roman" w:cs="Calibri"/>
                <w:noProof/>
              </w:rPr>
            </w:pPr>
            <w:r>
              <w:rPr>
                <w:noProof/>
              </w:rPr>
              <w:t>Pabeigt edafo-klimatomorfoloģisko (augsnes un klimata) raksturojumu un lauku īpašumu ekonomiskā potenciāla novērtēšanu</w:t>
            </w:r>
          </w:p>
        </w:tc>
        <w:tc>
          <w:tcPr>
            <w:tcW w:w="1356" w:type="dxa"/>
            <w:shd w:val="clear" w:color="auto" w:fill="C4EFCE"/>
            <w:noWrap/>
            <w:vAlign w:val="center"/>
            <w:hideMark/>
          </w:tcPr>
          <w:p w14:paraId="23699059" w14:textId="77777777" w:rsidR="00776A1F" w:rsidRDefault="00D8574B">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23D3643A" w14:textId="77777777" w:rsidR="00776A1F" w:rsidRDefault="00D8574B">
            <w:pPr>
              <w:pStyle w:val="P68B1DB1-Normal8"/>
              <w:spacing w:after="0" w:line="240" w:lineRule="auto"/>
              <w:jc w:val="center"/>
              <w:rPr>
                <w:rFonts w:eastAsia="Times New Roman" w:cs="Calibri"/>
                <w:noProof/>
              </w:rPr>
            </w:pPr>
            <w:r>
              <w:rPr>
                <w:noProof/>
              </w:rPr>
              <w:t>%</w:t>
            </w:r>
          </w:p>
        </w:tc>
        <w:tc>
          <w:tcPr>
            <w:tcW w:w="908" w:type="dxa"/>
            <w:shd w:val="clear" w:color="auto" w:fill="C4EFCE"/>
            <w:noWrap/>
            <w:vAlign w:val="center"/>
            <w:hideMark/>
          </w:tcPr>
          <w:p w14:paraId="7FB8B9E4" w14:textId="77777777" w:rsidR="00776A1F" w:rsidRDefault="00D8574B">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6CC06233" w14:textId="77777777" w:rsidR="00776A1F" w:rsidRDefault="00D8574B">
            <w:pPr>
              <w:pStyle w:val="P68B1DB1-Normal8"/>
              <w:spacing w:after="0" w:line="240" w:lineRule="auto"/>
              <w:jc w:val="center"/>
              <w:rPr>
                <w:rFonts w:eastAsia="Times New Roman" w:cs="Calibri"/>
                <w:noProof/>
              </w:rPr>
            </w:pPr>
            <w:r>
              <w:rPr>
                <w:noProof/>
              </w:rPr>
              <w:t>90</w:t>
            </w:r>
          </w:p>
        </w:tc>
        <w:tc>
          <w:tcPr>
            <w:tcW w:w="530" w:type="dxa"/>
            <w:shd w:val="clear" w:color="auto" w:fill="C4EFCE"/>
            <w:noWrap/>
            <w:vAlign w:val="center"/>
            <w:hideMark/>
          </w:tcPr>
          <w:p w14:paraId="2B8440D4"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0BB7DA10"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7355182" w14:textId="77777777" w:rsidR="00776A1F" w:rsidRDefault="00D8574B">
            <w:pPr>
              <w:pStyle w:val="P68B1DB1-Normal8"/>
              <w:spacing w:after="0" w:line="240" w:lineRule="auto"/>
              <w:jc w:val="both"/>
              <w:rPr>
                <w:rFonts w:eastAsia="Times New Roman" w:cs="Calibri"/>
                <w:noProof/>
              </w:rPr>
            </w:pPr>
            <w:r>
              <w:rPr>
                <w:noProof/>
              </w:rPr>
              <w:t>Portugāles kontinentālās daļas lauku apvidu procentuālā daļa, kuras edafo-klimatomorfoloģisko (augsnes un klimata) raksturojumu un ekonomiskā potenciāla novērtējumu pabeidz, izstrādājot ģeoreferencētu informācijas pārvaldības risinājumu.</w:t>
            </w:r>
          </w:p>
        </w:tc>
      </w:tr>
      <w:tr w:rsidR="00776A1F" w14:paraId="636011DB" w14:textId="77777777">
        <w:trPr>
          <w:trHeight w:val="1270"/>
        </w:trPr>
        <w:tc>
          <w:tcPr>
            <w:tcW w:w="1043" w:type="dxa"/>
            <w:gridSpan w:val="2"/>
            <w:shd w:val="clear" w:color="auto" w:fill="C4EFCE"/>
            <w:vAlign w:val="center"/>
            <w:hideMark/>
          </w:tcPr>
          <w:p w14:paraId="564CA0E6" w14:textId="3B2D5A91" w:rsidR="00776A1F" w:rsidRDefault="00D8574B">
            <w:pPr>
              <w:pStyle w:val="P68B1DB1-Normal7"/>
              <w:spacing w:after="0" w:line="240" w:lineRule="auto"/>
              <w:jc w:val="center"/>
              <w:rPr>
                <w:rFonts w:eastAsia="Times New Roman" w:cs="Calibri"/>
                <w:noProof/>
              </w:rPr>
            </w:pPr>
            <w:r>
              <w:rPr>
                <w:noProof/>
              </w:rPr>
              <w:t>17.18</w:t>
            </w:r>
          </w:p>
        </w:tc>
        <w:tc>
          <w:tcPr>
            <w:tcW w:w="1161" w:type="dxa"/>
            <w:shd w:val="clear" w:color="auto" w:fill="C4EFCE"/>
            <w:noWrap/>
            <w:vAlign w:val="center"/>
            <w:hideMark/>
          </w:tcPr>
          <w:p w14:paraId="54C584E0" w14:textId="77777777" w:rsidR="00776A1F" w:rsidRDefault="00D8574B">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38875FBD"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C70B1BF" w14:textId="77777777" w:rsidR="00776A1F" w:rsidRDefault="00D8574B">
            <w:pPr>
              <w:pStyle w:val="P68B1DB1-Normal8"/>
              <w:spacing w:after="0" w:line="240" w:lineRule="auto"/>
              <w:jc w:val="center"/>
              <w:rPr>
                <w:rFonts w:eastAsia="Times New Roman" w:cs="Calibri"/>
                <w:noProof/>
              </w:rPr>
            </w:pPr>
            <w:r>
              <w:rPr>
                <w:i/>
                <w:noProof/>
              </w:rPr>
              <w:t>Segurança Social Direta tīmekļa vietnes</w:t>
            </w:r>
            <w:r>
              <w:rPr>
                <w:noProof/>
              </w:rPr>
              <w:t xml:space="preserve"> funkciju paplašināšana, pievienojot piecus jaunus tiešsaistes pakalpojumus</w:t>
            </w:r>
          </w:p>
        </w:tc>
        <w:tc>
          <w:tcPr>
            <w:tcW w:w="1356" w:type="dxa"/>
            <w:shd w:val="clear" w:color="auto" w:fill="C4EFCE"/>
            <w:noWrap/>
            <w:vAlign w:val="center"/>
            <w:hideMark/>
          </w:tcPr>
          <w:p w14:paraId="4A5FCF4B" w14:textId="77777777" w:rsidR="00776A1F" w:rsidRDefault="00D8574B">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58A04118" w14:textId="77777777" w:rsidR="00776A1F" w:rsidRDefault="00D8574B">
            <w:pPr>
              <w:pStyle w:val="P68B1DB1-Normal8"/>
              <w:spacing w:after="0" w:line="240" w:lineRule="auto"/>
              <w:jc w:val="center"/>
              <w:rPr>
                <w:rFonts w:eastAsia="Times New Roman" w:cs="Calibri"/>
                <w:noProof/>
              </w:rPr>
            </w:pPr>
            <w:r>
              <w:rPr>
                <w:noProof/>
              </w:rPr>
              <w:t>Skaits</w:t>
            </w:r>
          </w:p>
        </w:tc>
        <w:tc>
          <w:tcPr>
            <w:tcW w:w="908" w:type="dxa"/>
            <w:shd w:val="clear" w:color="auto" w:fill="C4EFCE"/>
            <w:noWrap/>
            <w:vAlign w:val="center"/>
            <w:hideMark/>
          </w:tcPr>
          <w:p w14:paraId="16EE0F30" w14:textId="77777777" w:rsidR="00776A1F" w:rsidRDefault="00D8574B">
            <w:pPr>
              <w:pStyle w:val="P68B1DB1-Normal8"/>
              <w:spacing w:after="0" w:line="240" w:lineRule="auto"/>
              <w:jc w:val="center"/>
              <w:rPr>
                <w:rFonts w:eastAsia="Times New Roman" w:cs="Calibri"/>
                <w:noProof/>
              </w:rPr>
            </w:pPr>
            <w:r>
              <w:rPr>
                <w:noProof/>
              </w:rPr>
              <w:t>3</w:t>
            </w:r>
          </w:p>
        </w:tc>
        <w:tc>
          <w:tcPr>
            <w:tcW w:w="657" w:type="dxa"/>
            <w:shd w:val="clear" w:color="auto" w:fill="C4EFCE"/>
            <w:noWrap/>
            <w:vAlign w:val="center"/>
            <w:hideMark/>
          </w:tcPr>
          <w:p w14:paraId="45C95345" w14:textId="77777777" w:rsidR="00776A1F" w:rsidRDefault="00D8574B">
            <w:pPr>
              <w:pStyle w:val="P68B1DB1-Normal8"/>
              <w:spacing w:after="0" w:line="240" w:lineRule="auto"/>
              <w:jc w:val="center"/>
              <w:rPr>
                <w:rFonts w:eastAsia="Times New Roman" w:cs="Calibri"/>
                <w:noProof/>
              </w:rPr>
            </w:pPr>
            <w:r>
              <w:rPr>
                <w:noProof/>
              </w:rPr>
              <w:t>8</w:t>
            </w:r>
          </w:p>
        </w:tc>
        <w:tc>
          <w:tcPr>
            <w:tcW w:w="530" w:type="dxa"/>
            <w:shd w:val="clear" w:color="auto" w:fill="C4EFCE"/>
            <w:noWrap/>
            <w:vAlign w:val="center"/>
            <w:hideMark/>
          </w:tcPr>
          <w:p w14:paraId="578C45B2"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3B5AB061"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12D569A" w14:textId="0C5219B1" w:rsidR="00776A1F" w:rsidRDefault="00D8574B">
            <w:pPr>
              <w:pStyle w:val="P68B1DB1-Normal8"/>
              <w:spacing w:after="0" w:line="240" w:lineRule="auto"/>
              <w:jc w:val="both"/>
              <w:rPr>
                <w:rFonts w:eastAsia="Times New Roman" w:cs="Calibri"/>
                <w:noProof/>
              </w:rPr>
            </w:pPr>
            <w:r>
              <w:rPr>
                <w:noProof/>
              </w:rPr>
              <w:t xml:space="preserve">Jaunu tiešsaistes pakalpojumu skaits, kas pievienoti </w:t>
            </w:r>
            <w:r>
              <w:rPr>
                <w:i/>
                <w:noProof/>
              </w:rPr>
              <w:t>Segurança Social Direta tīmekļa vietnei</w:t>
            </w:r>
            <w:r>
              <w:rPr>
                <w:noProof/>
              </w:rPr>
              <w:t xml:space="preserve">, lai paplašinātu tās funkcijas, proti: informācijas sistēma tiesu tehniskajai palīdzībai — civilās aizbildnības process un veicināšanas un aizsardzības process; papildu pabalsti — paziņojums par bezdarbnieka statusu; </w:t>
            </w:r>
            <w:r>
              <w:rPr>
                <w:i/>
                <w:noProof/>
              </w:rPr>
              <w:t>ģimenes pabalsti — pārvērtēšana</w:t>
            </w:r>
            <w:r>
              <w:rPr>
                <w:noProof/>
              </w:rPr>
              <w:t xml:space="preserve">; IV) subsīdija sakarā ar darbības apturēšanu; un v) izdzīvošanas pensija. Mērķis ir palielināt </w:t>
            </w:r>
            <w:r>
              <w:rPr>
                <w:i/>
                <w:noProof/>
              </w:rPr>
              <w:t>Segurança Social Direta relatīvo nozīmi</w:t>
            </w:r>
            <w:r>
              <w:rPr>
                <w:noProof/>
              </w:rPr>
              <w:t xml:space="preserve"> visos saziņas kanālos ar sociālo nodrošinājumu, ņemot vērā 360° redzējuma plāna ieviešanu.</w:t>
            </w:r>
          </w:p>
        </w:tc>
      </w:tr>
      <w:tr w:rsidR="00776A1F" w14:paraId="67757C18" w14:textId="77777777">
        <w:trPr>
          <w:trHeight w:val="850"/>
        </w:trPr>
        <w:tc>
          <w:tcPr>
            <w:tcW w:w="1043" w:type="dxa"/>
            <w:gridSpan w:val="2"/>
            <w:shd w:val="clear" w:color="auto" w:fill="C4EFCE"/>
            <w:vAlign w:val="center"/>
            <w:hideMark/>
          </w:tcPr>
          <w:p w14:paraId="7799FC6F" w14:textId="77E3C44D" w:rsidR="00776A1F" w:rsidRDefault="00D8574B">
            <w:pPr>
              <w:pStyle w:val="P68B1DB1-Normal7"/>
              <w:spacing w:after="0" w:line="240" w:lineRule="auto"/>
              <w:jc w:val="center"/>
              <w:rPr>
                <w:rFonts w:eastAsia="Times New Roman" w:cs="Calibri"/>
                <w:noProof/>
              </w:rPr>
            </w:pPr>
            <w:r>
              <w:rPr>
                <w:noProof/>
              </w:rPr>
              <w:t>17.19</w:t>
            </w:r>
          </w:p>
        </w:tc>
        <w:tc>
          <w:tcPr>
            <w:tcW w:w="1161" w:type="dxa"/>
            <w:shd w:val="clear" w:color="auto" w:fill="C4EFCE"/>
            <w:noWrap/>
            <w:vAlign w:val="center"/>
            <w:hideMark/>
          </w:tcPr>
          <w:p w14:paraId="69763485" w14:textId="77777777" w:rsidR="00776A1F" w:rsidRDefault="00D8574B">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76C9B871"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3B5B6FF" w14:textId="77777777" w:rsidR="00776A1F" w:rsidRDefault="00D8574B">
            <w:pPr>
              <w:pStyle w:val="P68B1DB1-Normal8"/>
              <w:spacing w:after="0" w:line="240" w:lineRule="auto"/>
              <w:jc w:val="center"/>
              <w:rPr>
                <w:rFonts w:eastAsia="Times New Roman" w:cs="Calibri"/>
                <w:noProof/>
              </w:rPr>
            </w:pPr>
            <w:r>
              <w:rPr>
                <w:noProof/>
              </w:rPr>
              <w:t>Par 80 % samazināt vidējo dienu skaitu, kas vajadzīgs, lai piešķirtu uz iemaksām balstītus sociālos pabalstus, tiem, kuru vidējais piešķiršanas laiks pārsniedz 10 dienas</w:t>
            </w:r>
          </w:p>
        </w:tc>
        <w:tc>
          <w:tcPr>
            <w:tcW w:w="1356" w:type="dxa"/>
            <w:shd w:val="clear" w:color="auto" w:fill="C4EFCE"/>
            <w:noWrap/>
            <w:vAlign w:val="center"/>
            <w:hideMark/>
          </w:tcPr>
          <w:p w14:paraId="5D3A167F" w14:textId="77777777" w:rsidR="00776A1F" w:rsidRDefault="00D8574B">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187DF961" w14:textId="77777777" w:rsidR="00776A1F" w:rsidRDefault="00D8574B">
            <w:pPr>
              <w:pStyle w:val="P68B1DB1-Normal8"/>
              <w:spacing w:after="0" w:line="240" w:lineRule="auto"/>
              <w:jc w:val="center"/>
              <w:rPr>
                <w:rFonts w:eastAsia="Times New Roman" w:cs="Calibri"/>
                <w:noProof/>
              </w:rPr>
            </w:pPr>
            <w:r>
              <w:rPr>
                <w:noProof/>
              </w:rPr>
              <w:t>Skaits</w:t>
            </w:r>
          </w:p>
        </w:tc>
        <w:tc>
          <w:tcPr>
            <w:tcW w:w="908" w:type="dxa"/>
            <w:shd w:val="clear" w:color="auto" w:fill="C4EFCE"/>
            <w:noWrap/>
            <w:vAlign w:val="center"/>
            <w:hideMark/>
          </w:tcPr>
          <w:p w14:paraId="33D4BFA7" w14:textId="77777777" w:rsidR="00776A1F" w:rsidRDefault="00D8574B">
            <w:pPr>
              <w:pStyle w:val="P68B1DB1-Normal8"/>
              <w:spacing w:after="0" w:line="240" w:lineRule="auto"/>
              <w:jc w:val="center"/>
              <w:rPr>
                <w:rFonts w:eastAsia="Times New Roman" w:cs="Calibri"/>
                <w:noProof/>
              </w:rPr>
            </w:pPr>
            <w:r>
              <w:rPr>
                <w:noProof/>
              </w:rPr>
              <w:t>109</w:t>
            </w:r>
          </w:p>
        </w:tc>
        <w:tc>
          <w:tcPr>
            <w:tcW w:w="657" w:type="dxa"/>
            <w:shd w:val="clear" w:color="auto" w:fill="C4EFCE"/>
            <w:noWrap/>
            <w:vAlign w:val="center"/>
            <w:hideMark/>
          </w:tcPr>
          <w:p w14:paraId="03C9331A" w14:textId="77777777" w:rsidR="00776A1F" w:rsidRDefault="00D8574B">
            <w:pPr>
              <w:pStyle w:val="P68B1DB1-Normal8"/>
              <w:spacing w:after="0" w:line="240" w:lineRule="auto"/>
              <w:jc w:val="center"/>
              <w:rPr>
                <w:rFonts w:eastAsia="Times New Roman" w:cs="Calibri"/>
                <w:noProof/>
              </w:rPr>
            </w:pPr>
            <w:r>
              <w:rPr>
                <w:noProof/>
              </w:rPr>
              <w:t>22</w:t>
            </w:r>
          </w:p>
        </w:tc>
        <w:tc>
          <w:tcPr>
            <w:tcW w:w="530" w:type="dxa"/>
            <w:shd w:val="clear" w:color="auto" w:fill="C4EFCE"/>
            <w:noWrap/>
            <w:vAlign w:val="center"/>
            <w:hideMark/>
          </w:tcPr>
          <w:p w14:paraId="58BA2038"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7772F1E3"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0FB680BD" w14:textId="77777777" w:rsidR="00776A1F" w:rsidRDefault="00D8574B">
            <w:pPr>
              <w:pStyle w:val="P68B1DB1-Normal8"/>
              <w:spacing w:after="0" w:line="240" w:lineRule="auto"/>
              <w:jc w:val="both"/>
              <w:rPr>
                <w:rFonts w:eastAsia="Times New Roman" w:cs="Calibri"/>
                <w:noProof/>
              </w:rPr>
            </w:pPr>
            <w:r>
              <w:rPr>
                <w:noProof/>
              </w:rPr>
              <w:t xml:space="preserve">Par 80 % samazināt vidējo dienu skaitu, kas vajadzīgs, lai piešķirtu uz iemaksām balstītus sociālos pabalstus tiem, kuru vidējais piešķiršanas laiks pārsniedz 10 dienas, pateicoties uzlabojumiem, kas ieviesti </w:t>
            </w:r>
            <w:r>
              <w:rPr>
                <w:i/>
                <w:noProof/>
              </w:rPr>
              <w:t>Segurança Social Direta tīmekļa vietnē</w:t>
            </w:r>
            <w:r>
              <w:rPr>
                <w:noProof/>
              </w:rPr>
              <w:t xml:space="preserve"> (attiecībā uz vecuma pensijām pensionāriem, kuri veic uz iemaksām balstītu karjeru tikai Portugālē).</w:t>
            </w:r>
          </w:p>
        </w:tc>
      </w:tr>
      <w:tr w:rsidR="00776A1F" w14:paraId="4C7418F3" w14:textId="77777777">
        <w:trPr>
          <w:gridBefore w:val="1"/>
          <w:wBefore w:w="7" w:type="dxa"/>
          <w:trHeight w:val="1480"/>
        </w:trPr>
        <w:tc>
          <w:tcPr>
            <w:tcW w:w="1036" w:type="dxa"/>
            <w:shd w:val="clear" w:color="auto" w:fill="C4EFCE"/>
            <w:vAlign w:val="center"/>
            <w:hideMark/>
          </w:tcPr>
          <w:p w14:paraId="21268FB8" w14:textId="1D9AEF2B" w:rsidR="00776A1F" w:rsidRDefault="00D8574B">
            <w:pPr>
              <w:pStyle w:val="P68B1DB1-Normal7"/>
              <w:spacing w:after="0" w:line="240" w:lineRule="auto"/>
              <w:jc w:val="center"/>
              <w:rPr>
                <w:rFonts w:eastAsia="Times New Roman" w:cs="Calibri"/>
                <w:noProof/>
              </w:rPr>
            </w:pPr>
            <w:r>
              <w:rPr>
                <w:noProof/>
              </w:rPr>
              <w:t>17.20</w:t>
            </w:r>
          </w:p>
        </w:tc>
        <w:tc>
          <w:tcPr>
            <w:tcW w:w="1161" w:type="dxa"/>
            <w:shd w:val="clear" w:color="auto" w:fill="C4EFCE"/>
            <w:noWrap/>
            <w:vAlign w:val="center"/>
            <w:hideMark/>
          </w:tcPr>
          <w:p w14:paraId="5F644801" w14:textId="77777777" w:rsidR="00776A1F" w:rsidRDefault="00D8574B">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252B371D" w14:textId="77777777" w:rsidR="00776A1F" w:rsidRDefault="00D8574B">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5EE2AD5" w14:textId="77777777" w:rsidR="00776A1F" w:rsidRDefault="00D8574B">
            <w:pPr>
              <w:pStyle w:val="P68B1DB1-Normal8"/>
              <w:spacing w:after="0" w:line="240" w:lineRule="auto"/>
              <w:jc w:val="center"/>
              <w:rPr>
                <w:rFonts w:eastAsia="Times New Roman" w:cs="Calibri"/>
                <w:noProof/>
              </w:rPr>
            </w:pPr>
            <w:r>
              <w:rPr>
                <w:noProof/>
              </w:rPr>
              <w:t>Intelektisku uzraudzības modeļu ieviešana, lai atbalstītu krāpšanas novēršanu, pamatojoties uz mašīnmācīšanās procesiem</w:t>
            </w:r>
          </w:p>
        </w:tc>
        <w:tc>
          <w:tcPr>
            <w:tcW w:w="1356" w:type="dxa"/>
            <w:shd w:val="clear" w:color="auto" w:fill="C4EFCE"/>
            <w:noWrap/>
            <w:vAlign w:val="center"/>
            <w:hideMark/>
          </w:tcPr>
          <w:p w14:paraId="1CEDD1F2" w14:textId="77777777" w:rsidR="00776A1F" w:rsidRDefault="00D8574B">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6A9BFCF7" w14:textId="77777777" w:rsidR="00776A1F" w:rsidRDefault="00D8574B">
            <w:pPr>
              <w:pStyle w:val="P68B1DB1-Normal8"/>
              <w:spacing w:after="0" w:line="240" w:lineRule="auto"/>
              <w:jc w:val="center"/>
              <w:rPr>
                <w:rFonts w:eastAsia="Times New Roman" w:cs="Calibri"/>
                <w:noProof/>
              </w:rPr>
            </w:pPr>
            <w:r>
              <w:rPr>
                <w:noProof/>
              </w:rPr>
              <w:t>Skaits</w:t>
            </w:r>
          </w:p>
        </w:tc>
        <w:tc>
          <w:tcPr>
            <w:tcW w:w="908" w:type="dxa"/>
            <w:shd w:val="clear" w:color="auto" w:fill="C4EFCE"/>
            <w:noWrap/>
            <w:vAlign w:val="center"/>
            <w:hideMark/>
          </w:tcPr>
          <w:p w14:paraId="7D447794" w14:textId="77777777" w:rsidR="00776A1F" w:rsidRDefault="00D8574B">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46AC5F87" w14:textId="77777777" w:rsidR="00776A1F" w:rsidRDefault="00D8574B">
            <w:pPr>
              <w:pStyle w:val="P68B1DB1-Normal8"/>
              <w:spacing w:after="0" w:line="240" w:lineRule="auto"/>
              <w:jc w:val="center"/>
              <w:rPr>
                <w:rFonts w:eastAsia="Times New Roman" w:cs="Calibri"/>
                <w:noProof/>
              </w:rPr>
            </w:pPr>
            <w:r>
              <w:rPr>
                <w:noProof/>
              </w:rPr>
              <w:t>2</w:t>
            </w:r>
          </w:p>
        </w:tc>
        <w:tc>
          <w:tcPr>
            <w:tcW w:w="530" w:type="dxa"/>
            <w:shd w:val="clear" w:color="auto" w:fill="C4EFCE"/>
            <w:noWrap/>
            <w:vAlign w:val="center"/>
            <w:hideMark/>
          </w:tcPr>
          <w:p w14:paraId="5DD99422" w14:textId="77777777" w:rsidR="00776A1F" w:rsidRDefault="00D8574B">
            <w:pPr>
              <w:pStyle w:val="P68B1DB1-Normal8"/>
              <w:spacing w:after="0" w:line="240" w:lineRule="auto"/>
              <w:jc w:val="center"/>
              <w:rPr>
                <w:rFonts w:eastAsia="Times New Roman" w:cs="Calibri"/>
                <w:noProof/>
              </w:rPr>
            </w:pPr>
            <w:r>
              <w:rPr>
                <w:noProof/>
              </w:rPr>
              <w:t>4. CET.</w:t>
            </w:r>
          </w:p>
        </w:tc>
        <w:tc>
          <w:tcPr>
            <w:tcW w:w="656" w:type="dxa"/>
            <w:shd w:val="clear" w:color="auto" w:fill="C4EFCE"/>
            <w:noWrap/>
            <w:vAlign w:val="center"/>
            <w:hideMark/>
          </w:tcPr>
          <w:p w14:paraId="7F14D13C" w14:textId="77777777" w:rsidR="00776A1F" w:rsidRDefault="00D8574B">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5CABF8C9" w14:textId="77777777" w:rsidR="00776A1F" w:rsidRDefault="00D8574B">
            <w:pPr>
              <w:pStyle w:val="P68B1DB1-Normal8"/>
              <w:spacing w:after="0" w:line="240" w:lineRule="auto"/>
              <w:jc w:val="both"/>
              <w:rPr>
                <w:rFonts w:eastAsia="Times New Roman" w:cs="Calibri"/>
                <w:noProof/>
              </w:rPr>
            </w:pPr>
            <w:r>
              <w:rPr>
                <w:noProof/>
              </w:rPr>
              <w:t>Nodrošina un ievieš divus intelektiskus uzraudzības modeļus, kuros izmanto mašīnmācīšanās procesus. Divi modeļi, kas jāizveido un jāīsteno, ir: I) prognozējošs modelis, ar kuru var apzīmēt pārbaudāmās struktūras, pamatojoties uz mācību algoritmu rezultātiem, izmantojot vēsturiskos datus no Sociālā nodrošinājuma informācijas sistēmas uzraudzības informācijas apakšsistēmas, lai veiktu mērķtiecīgākas uzraudzības darbības ar mazākiem operatīvajiem centieniem un pārliecinošākiem rezultātiem, uzlabojot uzraudzības sistēmas efektivitāti un lietderību un izmantojot citus informācijas avotus; riska indeksu modelis sociālo pabalstu saņēmējiem.</w:t>
            </w:r>
          </w:p>
        </w:tc>
      </w:tr>
      <w:tr w:rsidR="00776A1F" w14:paraId="69E96EC0" w14:textId="77777777">
        <w:trPr>
          <w:gridBefore w:val="1"/>
          <w:wBefore w:w="7" w:type="dxa"/>
          <w:trHeight w:val="1480"/>
        </w:trPr>
        <w:tc>
          <w:tcPr>
            <w:tcW w:w="1036" w:type="dxa"/>
            <w:shd w:val="clear" w:color="auto" w:fill="C4EFCE"/>
            <w:vAlign w:val="center"/>
          </w:tcPr>
          <w:p w14:paraId="01D7CF90" w14:textId="67468CFC" w:rsidR="00776A1F" w:rsidRDefault="00D8574B">
            <w:pPr>
              <w:pStyle w:val="P68B1DB1-Normal11"/>
              <w:spacing w:after="0" w:line="240" w:lineRule="auto"/>
              <w:jc w:val="center"/>
              <w:rPr>
                <w:rFonts w:eastAsia="Times New Roman"/>
                <w:noProof/>
              </w:rPr>
            </w:pPr>
            <w:r>
              <w:rPr>
                <w:noProof/>
              </w:rPr>
              <w:t>17.22</w:t>
            </w:r>
          </w:p>
        </w:tc>
        <w:tc>
          <w:tcPr>
            <w:tcW w:w="1161" w:type="dxa"/>
            <w:shd w:val="clear" w:color="auto" w:fill="C4EFCE"/>
            <w:noWrap/>
            <w:vAlign w:val="center"/>
          </w:tcPr>
          <w:p w14:paraId="4F426F40" w14:textId="196A5CF9" w:rsidR="00776A1F" w:rsidRDefault="00D8574B">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42B2BCF9" w14:textId="55495B11" w:rsidR="00776A1F" w:rsidRDefault="00D8574B">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5E087B51" w14:textId="7A377310" w:rsidR="00776A1F" w:rsidRDefault="00D8574B">
            <w:pPr>
              <w:pStyle w:val="P68B1DB1-Normal12"/>
              <w:spacing w:after="0" w:line="240" w:lineRule="auto"/>
              <w:jc w:val="center"/>
              <w:rPr>
                <w:rFonts w:eastAsia="Times New Roman" w:cstheme="minorHAnsi"/>
                <w:noProof/>
              </w:rPr>
            </w:pPr>
            <w:r>
              <w:rPr>
                <w:noProof/>
              </w:rPr>
              <w:t>Tāda tiesību akta stāšanās spēkā, ar ko groza atsevišķu nodokļu atvieglojumu tiesisko regulējumu</w:t>
            </w:r>
          </w:p>
        </w:tc>
        <w:tc>
          <w:tcPr>
            <w:tcW w:w="1356" w:type="dxa"/>
            <w:shd w:val="clear" w:color="auto" w:fill="C4EFCE"/>
            <w:noWrap/>
            <w:vAlign w:val="center"/>
          </w:tcPr>
          <w:p w14:paraId="066FAA9F" w14:textId="6052F03F" w:rsidR="00776A1F" w:rsidRDefault="00D8574B">
            <w:pPr>
              <w:pStyle w:val="P68B1DB1-Normal12"/>
              <w:spacing w:after="0" w:line="240" w:lineRule="auto"/>
              <w:jc w:val="center"/>
              <w:rPr>
                <w:rFonts w:eastAsia="Times New Roman" w:cstheme="minorHAnsi"/>
                <w:noProof/>
              </w:rPr>
            </w:pPr>
            <w:r>
              <w:rPr>
                <w:noProof/>
              </w:rPr>
              <w:t xml:space="preserve">Tiesību akta noteikums, kas norāda uz tiesību akta stāšanos spēkā </w:t>
            </w:r>
          </w:p>
        </w:tc>
        <w:tc>
          <w:tcPr>
            <w:tcW w:w="909" w:type="dxa"/>
            <w:shd w:val="clear" w:color="auto" w:fill="C4EFCE"/>
            <w:noWrap/>
            <w:vAlign w:val="center"/>
          </w:tcPr>
          <w:p w14:paraId="04F14139" w14:textId="77777777" w:rsidR="00776A1F" w:rsidRDefault="00776A1F">
            <w:pPr>
              <w:spacing w:after="0" w:line="240" w:lineRule="auto"/>
              <w:jc w:val="center"/>
              <w:rPr>
                <w:rFonts w:eastAsia="Times New Roman" w:cstheme="minorHAnsi"/>
                <w:noProof/>
                <w:sz w:val="16"/>
              </w:rPr>
            </w:pPr>
          </w:p>
        </w:tc>
        <w:tc>
          <w:tcPr>
            <w:tcW w:w="908" w:type="dxa"/>
            <w:shd w:val="clear" w:color="auto" w:fill="C4EFCE"/>
            <w:noWrap/>
            <w:vAlign w:val="center"/>
          </w:tcPr>
          <w:p w14:paraId="365FE8AC" w14:textId="77777777" w:rsidR="00776A1F" w:rsidRDefault="00776A1F">
            <w:pPr>
              <w:spacing w:after="0" w:line="240" w:lineRule="auto"/>
              <w:jc w:val="center"/>
              <w:rPr>
                <w:rFonts w:eastAsia="Times New Roman" w:cstheme="minorHAnsi"/>
                <w:noProof/>
                <w:sz w:val="16"/>
              </w:rPr>
            </w:pPr>
          </w:p>
        </w:tc>
        <w:tc>
          <w:tcPr>
            <w:tcW w:w="657" w:type="dxa"/>
            <w:shd w:val="clear" w:color="auto" w:fill="C4EFCE"/>
            <w:noWrap/>
            <w:vAlign w:val="center"/>
          </w:tcPr>
          <w:p w14:paraId="186DD478" w14:textId="77777777" w:rsidR="00776A1F" w:rsidRDefault="00776A1F">
            <w:pPr>
              <w:spacing w:after="0" w:line="240" w:lineRule="auto"/>
              <w:jc w:val="center"/>
              <w:rPr>
                <w:rFonts w:eastAsia="Times New Roman" w:cstheme="minorHAnsi"/>
                <w:noProof/>
                <w:sz w:val="16"/>
              </w:rPr>
            </w:pPr>
          </w:p>
        </w:tc>
        <w:tc>
          <w:tcPr>
            <w:tcW w:w="530" w:type="dxa"/>
            <w:shd w:val="clear" w:color="auto" w:fill="C4EFCE"/>
            <w:noWrap/>
            <w:vAlign w:val="center"/>
          </w:tcPr>
          <w:p w14:paraId="487CCC18" w14:textId="5AA3F23D" w:rsidR="00776A1F" w:rsidRDefault="00D8574B">
            <w:pPr>
              <w:pStyle w:val="P68B1DB1-Normal12"/>
              <w:spacing w:after="0" w:line="240" w:lineRule="auto"/>
              <w:jc w:val="center"/>
              <w:rPr>
                <w:rFonts w:eastAsia="Times New Roman"/>
                <w:noProof/>
              </w:rPr>
            </w:pPr>
            <w:r>
              <w:rPr>
                <w:noProof/>
              </w:rPr>
              <w:t>2. CET.</w:t>
            </w:r>
          </w:p>
        </w:tc>
        <w:tc>
          <w:tcPr>
            <w:tcW w:w="656" w:type="dxa"/>
            <w:shd w:val="clear" w:color="auto" w:fill="C4EFCE"/>
            <w:noWrap/>
            <w:vAlign w:val="center"/>
          </w:tcPr>
          <w:p w14:paraId="76AEA003" w14:textId="7985F81C" w:rsidR="00776A1F" w:rsidRDefault="00D8574B">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243D977D" w14:textId="31C1F2BF" w:rsidR="00776A1F" w:rsidRDefault="00D8574B">
            <w:pPr>
              <w:pStyle w:val="P68B1DB1-Normal12"/>
              <w:spacing w:after="0" w:line="240" w:lineRule="auto"/>
              <w:jc w:val="both"/>
              <w:rPr>
                <w:rFonts w:eastAsia="Times New Roman" w:cstheme="minorHAnsi"/>
                <w:noProof/>
              </w:rPr>
            </w:pPr>
            <w:r>
              <w:rPr>
                <w:noProof/>
              </w:rPr>
              <w:t xml:space="preserve">Tāda tiesību akta stāšanās spēkā, ar ko likvidē vai paplašina mērķtiecīgu nodokļu atvieglojumu kopumu. Tiesību akts ietver nodokļu atvieglojumus, kuru termiņš beidzas nākamajā gadā pēc tā stāšanās spēkā, kuri vairs nav saskaņoti ar tā sākotnējo sabiedriskās politikas mērķi vai kuriem ir neliels saņēmēju skaits un kuri var kaitēt videi. </w:t>
            </w:r>
          </w:p>
        </w:tc>
      </w:tr>
      <w:tr w:rsidR="00776A1F" w14:paraId="7D159597" w14:textId="77777777">
        <w:trPr>
          <w:gridBefore w:val="1"/>
          <w:wBefore w:w="7" w:type="dxa"/>
          <w:trHeight w:val="1480"/>
        </w:trPr>
        <w:tc>
          <w:tcPr>
            <w:tcW w:w="1036" w:type="dxa"/>
            <w:shd w:val="clear" w:color="auto" w:fill="C4EFCE"/>
            <w:vAlign w:val="center"/>
          </w:tcPr>
          <w:p w14:paraId="4663EF1C" w14:textId="69D49F94" w:rsidR="00776A1F" w:rsidRDefault="00D8574B">
            <w:pPr>
              <w:pStyle w:val="P68B1DB1-Normal11"/>
              <w:spacing w:after="0" w:line="240" w:lineRule="auto"/>
              <w:jc w:val="center"/>
              <w:rPr>
                <w:rFonts w:eastAsia="Times New Roman"/>
                <w:noProof/>
              </w:rPr>
            </w:pPr>
            <w:r>
              <w:rPr>
                <w:noProof/>
              </w:rPr>
              <w:t>17.23</w:t>
            </w:r>
          </w:p>
        </w:tc>
        <w:tc>
          <w:tcPr>
            <w:tcW w:w="1161" w:type="dxa"/>
            <w:shd w:val="clear" w:color="auto" w:fill="C4EFCE"/>
            <w:noWrap/>
            <w:vAlign w:val="center"/>
          </w:tcPr>
          <w:p w14:paraId="02D8E2E9" w14:textId="15919057" w:rsidR="00776A1F" w:rsidRDefault="00D8574B">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5585C109" w14:textId="6D8FEF48" w:rsidR="00776A1F" w:rsidRDefault="00D8574B">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074B5F8D" w14:textId="45DB9125" w:rsidR="00776A1F" w:rsidRDefault="00D8574B">
            <w:pPr>
              <w:pStyle w:val="P68B1DB1-Normal12"/>
              <w:spacing w:after="0" w:line="240" w:lineRule="auto"/>
              <w:jc w:val="center"/>
              <w:rPr>
                <w:rFonts w:eastAsia="Times New Roman" w:cstheme="minorHAnsi"/>
                <w:noProof/>
              </w:rPr>
            </w:pPr>
            <w:r>
              <w:rPr>
                <w:noProof/>
              </w:rPr>
              <w:t xml:space="preserve">Stājas spēkā tiesību akts, ar ko izveido pastāvīgu tehniskās nodokļu politikas vienību </w:t>
            </w:r>
            <w:r>
              <w:rPr>
                <w:i/>
                <w:noProof/>
              </w:rPr>
              <w:t>Unidade Técnica de Avaliação Tributária e Aduaneira</w:t>
            </w:r>
            <w:r>
              <w:rPr>
                <w:noProof/>
              </w:rPr>
              <w:t xml:space="preserve"> (U-TAX)</w:t>
            </w:r>
          </w:p>
        </w:tc>
        <w:tc>
          <w:tcPr>
            <w:tcW w:w="1356" w:type="dxa"/>
            <w:shd w:val="clear" w:color="auto" w:fill="C4EFCE"/>
            <w:noWrap/>
            <w:vAlign w:val="center"/>
          </w:tcPr>
          <w:p w14:paraId="719D5034" w14:textId="1C010633" w:rsidR="00776A1F" w:rsidRDefault="00D8574B">
            <w:pPr>
              <w:pStyle w:val="P68B1DB1-Normal12"/>
              <w:spacing w:after="0" w:line="240" w:lineRule="auto"/>
              <w:jc w:val="center"/>
              <w:rPr>
                <w:rFonts w:eastAsia="Times New Roman" w:cstheme="minorHAnsi"/>
                <w:noProof/>
              </w:rPr>
            </w:pPr>
            <w:r>
              <w:rPr>
                <w:noProof/>
              </w:rPr>
              <w:t>Tiesību akta noteikums, kas norāda uz tiesību akta stāšanos spēkā</w:t>
            </w:r>
          </w:p>
        </w:tc>
        <w:tc>
          <w:tcPr>
            <w:tcW w:w="909" w:type="dxa"/>
            <w:shd w:val="clear" w:color="auto" w:fill="C4EFCE"/>
            <w:noWrap/>
            <w:vAlign w:val="center"/>
          </w:tcPr>
          <w:p w14:paraId="3B1ACCA2" w14:textId="77777777" w:rsidR="00776A1F" w:rsidRDefault="00776A1F">
            <w:pPr>
              <w:spacing w:after="0" w:line="240" w:lineRule="auto"/>
              <w:jc w:val="center"/>
              <w:rPr>
                <w:rFonts w:eastAsia="Times New Roman" w:cstheme="minorHAnsi"/>
                <w:noProof/>
                <w:sz w:val="16"/>
              </w:rPr>
            </w:pPr>
          </w:p>
        </w:tc>
        <w:tc>
          <w:tcPr>
            <w:tcW w:w="908" w:type="dxa"/>
            <w:shd w:val="clear" w:color="auto" w:fill="C4EFCE"/>
            <w:noWrap/>
            <w:vAlign w:val="center"/>
          </w:tcPr>
          <w:p w14:paraId="0E293281" w14:textId="77777777" w:rsidR="00776A1F" w:rsidRDefault="00776A1F">
            <w:pPr>
              <w:spacing w:after="0" w:line="240" w:lineRule="auto"/>
              <w:jc w:val="center"/>
              <w:rPr>
                <w:rFonts w:eastAsia="Times New Roman" w:cstheme="minorHAnsi"/>
                <w:noProof/>
                <w:sz w:val="16"/>
              </w:rPr>
            </w:pPr>
          </w:p>
        </w:tc>
        <w:tc>
          <w:tcPr>
            <w:tcW w:w="657" w:type="dxa"/>
            <w:shd w:val="clear" w:color="auto" w:fill="C4EFCE"/>
            <w:noWrap/>
            <w:vAlign w:val="center"/>
          </w:tcPr>
          <w:p w14:paraId="5D83358F" w14:textId="77777777" w:rsidR="00776A1F" w:rsidRDefault="00776A1F">
            <w:pPr>
              <w:spacing w:after="0" w:line="240" w:lineRule="auto"/>
              <w:jc w:val="center"/>
              <w:rPr>
                <w:rFonts w:eastAsia="Times New Roman" w:cstheme="minorHAnsi"/>
                <w:noProof/>
                <w:sz w:val="16"/>
              </w:rPr>
            </w:pPr>
          </w:p>
        </w:tc>
        <w:tc>
          <w:tcPr>
            <w:tcW w:w="530" w:type="dxa"/>
            <w:shd w:val="clear" w:color="auto" w:fill="C4EFCE"/>
            <w:noWrap/>
            <w:vAlign w:val="center"/>
          </w:tcPr>
          <w:p w14:paraId="0DAA9FB8" w14:textId="4F3E99EE" w:rsidR="00776A1F" w:rsidRDefault="00D8574B">
            <w:pPr>
              <w:pStyle w:val="P68B1DB1-Normal12"/>
              <w:spacing w:after="0" w:line="240" w:lineRule="auto"/>
              <w:jc w:val="center"/>
              <w:rPr>
                <w:rFonts w:eastAsia="Times New Roman" w:cstheme="minorHAnsi"/>
                <w:noProof/>
              </w:rPr>
            </w:pPr>
            <w:r>
              <w:rPr>
                <w:noProof/>
              </w:rPr>
              <w:t>4. CET.</w:t>
            </w:r>
          </w:p>
        </w:tc>
        <w:tc>
          <w:tcPr>
            <w:tcW w:w="656" w:type="dxa"/>
            <w:shd w:val="clear" w:color="auto" w:fill="C4EFCE"/>
            <w:noWrap/>
            <w:vAlign w:val="center"/>
          </w:tcPr>
          <w:p w14:paraId="65BE177B" w14:textId="2FA41D59" w:rsidR="00776A1F" w:rsidRDefault="00D8574B">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4897A805" w14:textId="581A7D2B" w:rsidR="00776A1F" w:rsidRDefault="00D8574B">
            <w:pPr>
              <w:pStyle w:val="P68B1DB1-Bodytext1013"/>
              <w:rPr>
                <w:rFonts w:cstheme="minorHAnsi"/>
                <w:noProof/>
              </w:rPr>
            </w:pPr>
            <w:r>
              <w:rPr>
                <w:noProof/>
              </w:rPr>
              <w:t>Stājas spēkā tiesību akts, ar ko izveido pastāvīgu tehnisko nodokļu politikas vienību U-TAX.</w:t>
            </w:r>
          </w:p>
        </w:tc>
      </w:tr>
      <w:tr w:rsidR="00776A1F" w14:paraId="0837937C" w14:textId="77777777">
        <w:trPr>
          <w:gridBefore w:val="1"/>
          <w:wBefore w:w="7" w:type="dxa"/>
          <w:trHeight w:val="1480"/>
        </w:trPr>
        <w:tc>
          <w:tcPr>
            <w:tcW w:w="1036" w:type="dxa"/>
            <w:shd w:val="clear" w:color="auto" w:fill="C4EFCE"/>
            <w:vAlign w:val="center"/>
          </w:tcPr>
          <w:p w14:paraId="3233421E" w14:textId="76C741D0" w:rsidR="00776A1F" w:rsidRDefault="00D8574B">
            <w:pPr>
              <w:pStyle w:val="P68B1DB1-Normal11"/>
              <w:spacing w:after="0" w:line="240" w:lineRule="auto"/>
              <w:jc w:val="center"/>
              <w:rPr>
                <w:rFonts w:eastAsia="Times New Roman"/>
                <w:noProof/>
              </w:rPr>
            </w:pPr>
            <w:r>
              <w:rPr>
                <w:noProof/>
              </w:rPr>
              <w:t>17.24</w:t>
            </w:r>
          </w:p>
        </w:tc>
        <w:tc>
          <w:tcPr>
            <w:tcW w:w="1161" w:type="dxa"/>
            <w:shd w:val="clear" w:color="auto" w:fill="C4EFCE"/>
            <w:noWrap/>
            <w:vAlign w:val="center"/>
          </w:tcPr>
          <w:p w14:paraId="737C50B6" w14:textId="0F8480BF" w:rsidR="00776A1F" w:rsidRDefault="00D8574B">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033151D4" w14:textId="6185ABFC" w:rsidR="00776A1F" w:rsidRDefault="00D8574B">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161CE14C" w14:textId="582AD1B7" w:rsidR="00776A1F" w:rsidRDefault="00D8574B">
            <w:pPr>
              <w:pStyle w:val="P68B1DB1-Bodytext1013"/>
              <w:rPr>
                <w:rFonts w:cstheme="minorHAnsi"/>
                <w:noProof/>
              </w:rPr>
            </w:pPr>
            <w:r>
              <w:rPr>
                <w:noProof/>
              </w:rPr>
              <w:t>U-TAX novērtējuma ziņojuma par esošajiem nodokļu atvieglojumiem publicēšana</w:t>
            </w:r>
          </w:p>
        </w:tc>
        <w:tc>
          <w:tcPr>
            <w:tcW w:w="1356" w:type="dxa"/>
            <w:shd w:val="clear" w:color="auto" w:fill="C4EFCE"/>
            <w:noWrap/>
            <w:vAlign w:val="center"/>
          </w:tcPr>
          <w:p w14:paraId="6CFBEBB0" w14:textId="37037DA5" w:rsidR="00776A1F" w:rsidRDefault="00D8574B">
            <w:pPr>
              <w:pStyle w:val="P68B1DB1-Normal12"/>
              <w:spacing w:after="0" w:line="240" w:lineRule="auto"/>
              <w:jc w:val="center"/>
              <w:rPr>
                <w:rFonts w:eastAsia="Times New Roman" w:cstheme="minorHAnsi"/>
                <w:noProof/>
              </w:rPr>
            </w:pPr>
            <w:r>
              <w:rPr>
                <w:noProof/>
              </w:rPr>
              <w:t>U-TAX novērtējuma ziņojuma publicēšana</w:t>
            </w:r>
          </w:p>
        </w:tc>
        <w:tc>
          <w:tcPr>
            <w:tcW w:w="909" w:type="dxa"/>
            <w:shd w:val="clear" w:color="auto" w:fill="C4EFCE"/>
            <w:noWrap/>
            <w:vAlign w:val="center"/>
          </w:tcPr>
          <w:p w14:paraId="178DAFEF" w14:textId="77777777" w:rsidR="00776A1F" w:rsidRDefault="00776A1F">
            <w:pPr>
              <w:spacing w:after="0" w:line="240" w:lineRule="auto"/>
              <w:jc w:val="center"/>
              <w:rPr>
                <w:rFonts w:eastAsia="Times New Roman" w:cstheme="minorHAnsi"/>
                <w:noProof/>
                <w:sz w:val="16"/>
              </w:rPr>
            </w:pPr>
          </w:p>
        </w:tc>
        <w:tc>
          <w:tcPr>
            <w:tcW w:w="908" w:type="dxa"/>
            <w:shd w:val="clear" w:color="auto" w:fill="C4EFCE"/>
            <w:noWrap/>
            <w:vAlign w:val="center"/>
          </w:tcPr>
          <w:p w14:paraId="31A31401" w14:textId="77777777" w:rsidR="00776A1F" w:rsidRDefault="00776A1F">
            <w:pPr>
              <w:spacing w:after="0" w:line="240" w:lineRule="auto"/>
              <w:jc w:val="center"/>
              <w:rPr>
                <w:rFonts w:eastAsia="Times New Roman" w:cstheme="minorHAnsi"/>
                <w:noProof/>
                <w:sz w:val="16"/>
              </w:rPr>
            </w:pPr>
          </w:p>
        </w:tc>
        <w:tc>
          <w:tcPr>
            <w:tcW w:w="657" w:type="dxa"/>
            <w:shd w:val="clear" w:color="auto" w:fill="C4EFCE"/>
            <w:noWrap/>
            <w:vAlign w:val="center"/>
          </w:tcPr>
          <w:p w14:paraId="58433C55" w14:textId="77777777" w:rsidR="00776A1F" w:rsidRDefault="00776A1F">
            <w:pPr>
              <w:spacing w:after="0" w:line="240" w:lineRule="auto"/>
              <w:jc w:val="center"/>
              <w:rPr>
                <w:rFonts w:eastAsia="Times New Roman" w:cstheme="minorHAnsi"/>
                <w:noProof/>
                <w:sz w:val="16"/>
              </w:rPr>
            </w:pPr>
          </w:p>
        </w:tc>
        <w:tc>
          <w:tcPr>
            <w:tcW w:w="530" w:type="dxa"/>
            <w:shd w:val="clear" w:color="auto" w:fill="C4EFCE"/>
            <w:noWrap/>
            <w:vAlign w:val="center"/>
          </w:tcPr>
          <w:p w14:paraId="266E7E25" w14:textId="18AC0BB2" w:rsidR="00776A1F" w:rsidRDefault="00D8574B">
            <w:pPr>
              <w:pStyle w:val="P68B1DB1-Normal12"/>
              <w:spacing w:after="0" w:line="240" w:lineRule="auto"/>
              <w:jc w:val="center"/>
              <w:rPr>
                <w:rFonts w:eastAsia="Times New Roman" w:cstheme="minorHAnsi"/>
                <w:noProof/>
              </w:rPr>
            </w:pPr>
            <w:r>
              <w:rPr>
                <w:noProof/>
              </w:rPr>
              <w:t>2. CET.</w:t>
            </w:r>
          </w:p>
        </w:tc>
        <w:tc>
          <w:tcPr>
            <w:tcW w:w="656" w:type="dxa"/>
            <w:shd w:val="clear" w:color="auto" w:fill="C4EFCE"/>
            <w:noWrap/>
            <w:vAlign w:val="center"/>
          </w:tcPr>
          <w:p w14:paraId="77EA0F2E" w14:textId="13F6F2D7" w:rsidR="00776A1F" w:rsidRDefault="00D8574B">
            <w:pPr>
              <w:pStyle w:val="P68B1DB1-Normal12"/>
              <w:spacing w:after="0" w:line="240" w:lineRule="auto"/>
              <w:jc w:val="center"/>
              <w:rPr>
                <w:rFonts w:eastAsia="Times New Roman" w:cstheme="minorHAnsi"/>
                <w:noProof/>
              </w:rPr>
            </w:pPr>
            <w:r>
              <w:rPr>
                <w:noProof/>
              </w:rPr>
              <w:t>2025</w:t>
            </w:r>
          </w:p>
        </w:tc>
        <w:tc>
          <w:tcPr>
            <w:tcW w:w="5456" w:type="dxa"/>
            <w:shd w:val="clear" w:color="auto" w:fill="C4EFCE"/>
            <w:noWrap/>
            <w:vAlign w:val="center"/>
          </w:tcPr>
          <w:p w14:paraId="03CED8F5" w14:textId="2F4499FE" w:rsidR="00776A1F" w:rsidRDefault="00D8574B">
            <w:pPr>
              <w:pStyle w:val="P68B1DB1-Bodytext1013"/>
              <w:spacing w:after="0"/>
              <w:rPr>
                <w:rFonts w:cstheme="minorHAnsi"/>
                <w:noProof/>
              </w:rPr>
            </w:pPr>
            <w:r>
              <w:rPr>
                <w:noProof/>
              </w:rPr>
              <w:t xml:space="preserve">U-TAX novērtējuma ziņojuma par esošajiem nodokļu atvieglojumiem publicēšana. Ziņojumā iekļauj izmaksu un ieguvumu analīzi ar nodokļu atvieglojumu efektivitātes kritērijiem attiecībā uz to sākotnējo sabiedriskās politikas mērķi, radīto nodokļu izdevumu ekonomisko efektivitāti un vides apsvērumiem. </w:t>
            </w:r>
          </w:p>
          <w:p w14:paraId="32CA742E" w14:textId="77777777" w:rsidR="00776A1F" w:rsidRDefault="00D8574B">
            <w:pPr>
              <w:pStyle w:val="P68B1DB1-Bodytext1013"/>
              <w:spacing w:after="0"/>
              <w:rPr>
                <w:rFonts w:cstheme="minorHAnsi"/>
                <w:noProof/>
              </w:rPr>
            </w:pPr>
            <w:r>
              <w:rPr>
                <w:noProof/>
              </w:rPr>
              <w:t xml:space="preserve">Novērtējuma ziņojums aptver nodokļu atvieglojumus, kuru termiņš beidzas nākamajā gadā pēc tā publicēšanas, kā arī uz būtiskiem nodokļu atvieglojumiem, arī ārpus </w:t>
            </w:r>
            <w:r>
              <w:rPr>
                <w:i/>
                <w:noProof/>
              </w:rPr>
              <w:t>Estatuto dos Benefícios Fiscais</w:t>
            </w:r>
            <w:r>
              <w:rPr>
                <w:noProof/>
              </w:rPr>
              <w:t xml:space="preserve">. </w:t>
            </w:r>
          </w:p>
          <w:p w14:paraId="3165E0FB" w14:textId="74F6954C" w:rsidR="00776A1F" w:rsidRDefault="00D8574B">
            <w:pPr>
              <w:pStyle w:val="P68B1DB1-Bodytext1013"/>
              <w:spacing w:after="0"/>
              <w:rPr>
                <w:rFonts w:cstheme="minorHAnsi"/>
                <w:noProof/>
              </w:rPr>
            </w:pPr>
            <w:r>
              <w:rPr>
                <w:noProof/>
              </w:rPr>
              <w:t>Būtisko nodokļu atvieglojumu kopumu definē, ņemot vērā ar to saistīto nodokļu izdevumu reprezentativitāti, galveno uzmanību pievēršot tiem, kas saistīti ar pievienotās vērtības nodokli, iedzīvotāju ienākuma nodokli un uzņēmumu ienākuma nodokli.</w:t>
            </w:r>
          </w:p>
          <w:p w14:paraId="27114AA9" w14:textId="1D86CB07" w:rsidR="00776A1F" w:rsidRDefault="00D8574B">
            <w:pPr>
              <w:pStyle w:val="P68B1DB1-Normal12"/>
              <w:rPr>
                <w:noProof/>
              </w:rPr>
            </w:pPr>
            <w:r>
              <w:rPr>
                <w:noProof/>
              </w:rPr>
              <w:t xml:space="preserve">U-TAX no analīzes var izslēgt Portugāles nodokļu atvieglojumus, ko pirms tās izveidošanas jau ir novērtējušas konkrētas darba grupas, kā arī Portugāles nodokļu atvieglojumus, ko novērtējušas neatkarīgas valsts iestādes, ar nosacījumu, ka šī publicētā analīze ir atjaunināta un atbilst iepriekš noteiktajiem izmaksu un ieguvumu analīzes kritērijiem. </w:t>
            </w:r>
          </w:p>
          <w:p w14:paraId="69554B53" w14:textId="6AC9827B" w:rsidR="00776A1F" w:rsidRDefault="00D8574B">
            <w:pPr>
              <w:pStyle w:val="P68B1DB1-Normal12"/>
              <w:spacing w:after="0" w:line="240" w:lineRule="auto"/>
              <w:jc w:val="both"/>
              <w:rPr>
                <w:rFonts w:eastAsia="Times New Roman" w:cstheme="minorHAnsi"/>
                <w:noProof/>
              </w:rPr>
            </w:pPr>
            <w:r>
              <w:rPr>
                <w:noProof/>
              </w:rPr>
              <w:t>Novērtējuma ziņojumā iekļauj ieteikumus par to, kuri no tajā ietvertajiem nodokļu atvieglojumiem tiks atcelti, pagarināti vai grozīti.</w:t>
            </w:r>
          </w:p>
        </w:tc>
      </w:tr>
      <w:tr w:rsidR="00776A1F" w14:paraId="014DEF92" w14:textId="77777777">
        <w:trPr>
          <w:gridBefore w:val="1"/>
          <w:wBefore w:w="7" w:type="dxa"/>
          <w:trHeight w:val="1480"/>
        </w:trPr>
        <w:tc>
          <w:tcPr>
            <w:tcW w:w="1036" w:type="dxa"/>
            <w:shd w:val="clear" w:color="auto" w:fill="C4EFCE"/>
            <w:vAlign w:val="center"/>
          </w:tcPr>
          <w:p w14:paraId="5B5FBA47" w14:textId="374B26BF" w:rsidR="00776A1F" w:rsidRDefault="00D8574B">
            <w:pPr>
              <w:pStyle w:val="P68B1DB1-Normal11"/>
              <w:spacing w:after="0" w:line="240" w:lineRule="auto"/>
              <w:jc w:val="center"/>
              <w:rPr>
                <w:rFonts w:eastAsia="Times New Roman"/>
                <w:noProof/>
              </w:rPr>
            </w:pPr>
            <w:r>
              <w:rPr>
                <w:noProof/>
              </w:rPr>
              <w:t>17.25</w:t>
            </w:r>
          </w:p>
        </w:tc>
        <w:tc>
          <w:tcPr>
            <w:tcW w:w="1161" w:type="dxa"/>
            <w:shd w:val="clear" w:color="auto" w:fill="C4EFCE"/>
            <w:noWrap/>
            <w:vAlign w:val="center"/>
          </w:tcPr>
          <w:p w14:paraId="027A26B7" w14:textId="7BDDCBF5" w:rsidR="00776A1F" w:rsidRDefault="00D8574B">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232BE3B1" w14:textId="451A1F82" w:rsidR="00776A1F" w:rsidRDefault="00D8574B">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65CAD365" w14:textId="31C85319" w:rsidR="00776A1F" w:rsidRDefault="00D8574B">
            <w:pPr>
              <w:pStyle w:val="P68B1DB1-Normal12"/>
              <w:spacing w:after="0" w:line="240" w:lineRule="auto"/>
              <w:jc w:val="center"/>
              <w:rPr>
                <w:rFonts w:eastAsia="Times New Roman" w:cstheme="minorHAnsi"/>
                <w:noProof/>
              </w:rPr>
            </w:pPr>
            <w:r>
              <w:rPr>
                <w:noProof/>
              </w:rPr>
              <w:t xml:space="preserve">Tiesību akta par nodokļu atvieglojumiem stāšanās spēkā </w:t>
            </w:r>
          </w:p>
        </w:tc>
        <w:tc>
          <w:tcPr>
            <w:tcW w:w="1356" w:type="dxa"/>
            <w:shd w:val="clear" w:color="auto" w:fill="C4EFCE"/>
            <w:noWrap/>
            <w:vAlign w:val="center"/>
          </w:tcPr>
          <w:p w14:paraId="311CAF38" w14:textId="6D28ACD0" w:rsidR="00776A1F" w:rsidRDefault="00D8574B">
            <w:pPr>
              <w:pStyle w:val="P68B1DB1-Normal12"/>
              <w:spacing w:after="0" w:line="240" w:lineRule="auto"/>
              <w:jc w:val="center"/>
              <w:rPr>
                <w:rFonts w:eastAsia="Times New Roman" w:cstheme="minorHAnsi"/>
                <w:noProof/>
              </w:rPr>
            </w:pPr>
            <w:r>
              <w:rPr>
                <w:noProof/>
              </w:rPr>
              <w:t xml:space="preserve">Tiesību akta noteikums, kas norāda uz tiesību akta stāšanos spēkā </w:t>
            </w:r>
          </w:p>
        </w:tc>
        <w:tc>
          <w:tcPr>
            <w:tcW w:w="909" w:type="dxa"/>
            <w:shd w:val="clear" w:color="auto" w:fill="C4EFCE"/>
            <w:noWrap/>
            <w:vAlign w:val="center"/>
          </w:tcPr>
          <w:p w14:paraId="347AD5E7" w14:textId="77777777" w:rsidR="00776A1F" w:rsidRDefault="00776A1F">
            <w:pPr>
              <w:spacing w:after="0" w:line="240" w:lineRule="auto"/>
              <w:jc w:val="center"/>
              <w:rPr>
                <w:rFonts w:eastAsia="Times New Roman" w:cstheme="minorHAnsi"/>
                <w:noProof/>
                <w:sz w:val="16"/>
              </w:rPr>
            </w:pPr>
          </w:p>
        </w:tc>
        <w:tc>
          <w:tcPr>
            <w:tcW w:w="908" w:type="dxa"/>
            <w:shd w:val="clear" w:color="auto" w:fill="C4EFCE"/>
            <w:noWrap/>
            <w:vAlign w:val="center"/>
          </w:tcPr>
          <w:p w14:paraId="676CE199" w14:textId="77777777" w:rsidR="00776A1F" w:rsidRDefault="00776A1F">
            <w:pPr>
              <w:spacing w:after="0" w:line="240" w:lineRule="auto"/>
              <w:jc w:val="center"/>
              <w:rPr>
                <w:rFonts w:eastAsia="Times New Roman" w:cstheme="minorHAnsi"/>
                <w:noProof/>
                <w:sz w:val="16"/>
              </w:rPr>
            </w:pPr>
          </w:p>
        </w:tc>
        <w:tc>
          <w:tcPr>
            <w:tcW w:w="657" w:type="dxa"/>
            <w:shd w:val="clear" w:color="auto" w:fill="C4EFCE"/>
            <w:noWrap/>
            <w:vAlign w:val="center"/>
          </w:tcPr>
          <w:p w14:paraId="57178CE3" w14:textId="77777777" w:rsidR="00776A1F" w:rsidRDefault="00776A1F">
            <w:pPr>
              <w:spacing w:after="0" w:line="240" w:lineRule="auto"/>
              <w:jc w:val="center"/>
              <w:rPr>
                <w:rFonts w:eastAsia="Times New Roman" w:cstheme="minorHAnsi"/>
                <w:noProof/>
                <w:sz w:val="16"/>
              </w:rPr>
            </w:pPr>
          </w:p>
        </w:tc>
        <w:tc>
          <w:tcPr>
            <w:tcW w:w="530" w:type="dxa"/>
            <w:shd w:val="clear" w:color="auto" w:fill="C4EFCE"/>
            <w:noWrap/>
            <w:vAlign w:val="center"/>
          </w:tcPr>
          <w:p w14:paraId="3D84C64B" w14:textId="4029FEA2" w:rsidR="00776A1F" w:rsidRDefault="00D8574B">
            <w:pPr>
              <w:pStyle w:val="P68B1DB1-Normal12"/>
              <w:spacing w:after="0" w:line="240" w:lineRule="auto"/>
              <w:jc w:val="center"/>
              <w:rPr>
                <w:rFonts w:eastAsia="Times New Roman" w:cstheme="minorHAnsi"/>
                <w:noProof/>
              </w:rPr>
            </w:pPr>
            <w:r>
              <w:rPr>
                <w:noProof/>
              </w:rPr>
              <w:t>1. CET.</w:t>
            </w:r>
          </w:p>
        </w:tc>
        <w:tc>
          <w:tcPr>
            <w:tcW w:w="656" w:type="dxa"/>
            <w:shd w:val="clear" w:color="auto" w:fill="C4EFCE"/>
            <w:noWrap/>
            <w:vAlign w:val="center"/>
          </w:tcPr>
          <w:p w14:paraId="29B7FF51" w14:textId="261A5E14" w:rsidR="00776A1F" w:rsidRDefault="00D8574B">
            <w:pPr>
              <w:pStyle w:val="P68B1DB1-Normal12"/>
              <w:spacing w:after="0" w:line="240" w:lineRule="auto"/>
              <w:jc w:val="center"/>
              <w:rPr>
                <w:rFonts w:eastAsia="Times New Roman" w:cstheme="minorHAnsi"/>
                <w:noProof/>
              </w:rPr>
            </w:pPr>
            <w:r>
              <w:rPr>
                <w:noProof/>
              </w:rPr>
              <w:t>2026</w:t>
            </w:r>
          </w:p>
        </w:tc>
        <w:tc>
          <w:tcPr>
            <w:tcW w:w="5456" w:type="dxa"/>
            <w:shd w:val="clear" w:color="auto" w:fill="C4EFCE"/>
            <w:noWrap/>
            <w:vAlign w:val="center"/>
          </w:tcPr>
          <w:p w14:paraId="12CA98A0" w14:textId="0DCA3F2C" w:rsidR="00776A1F" w:rsidRDefault="00D8574B">
            <w:pPr>
              <w:pStyle w:val="P68B1DB1-Bodytext1013"/>
              <w:spacing w:after="0"/>
              <w:rPr>
                <w:rFonts w:eastAsiaTheme="minorHAnsi" w:cstheme="minorBidi"/>
                <w:noProof/>
              </w:rPr>
            </w:pPr>
            <w:r>
              <w:rPr>
                <w:noProof/>
              </w:rPr>
              <w:t>Stājas spēkā tiesību akts, ar ko vienkāršo nodokļu atvieglojumu sistēmu, samazinot esošo nodokļu atvieglojumu skaitu, ņemot vērā U-TAX novērtējuma ziņojuma ieteikumus un citu analīzi, kā norādīts 17.24. starpposma mērķī.</w:t>
            </w:r>
          </w:p>
        </w:tc>
      </w:tr>
    </w:tbl>
    <w:p w14:paraId="7340E1CC" w14:textId="77777777" w:rsidR="00776A1F" w:rsidRDefault="00776A1F">
      <w:pPr>
        <w:keepNext/>
        <w:spacing w:before="40" w:after="0" w:line="259" w:lineRule="auto"/>
        <w:jc w:val="both"/>
        <w:rPr>
          <w:rFonts w:ascii="Times New Roman" w:eastAsiaTheme="minorEastAsia" w:hAnsi="Times New Roman" w:cs="Times New Roman"/>
          <w:noProof/>
          <w:sz w:val="24"/>
          <w:u w:val="single"/>
        </w:rPr>
      </w:pPr>
    </w:p>
    <w:p w14:paraId="1B2345CC" w14:textId="77777777" w:rsidR="00776A1F" w:rsidRDefault="00776A1F">
      <w:pPr>
        <w:keepNext/>
        <w:spacing w:before="40" w:after="0" w:line="259" w:lineRule="auto"/>
        <w:jc w:val="both"/>
        <w:rPr>
          <w:rFonts w:ascii="Times New Roman" w:eastAsiaTheme="minorEastAsia" w:hAnsi="Times New Roman" w:cs="Times New Roman"/>
          <w:noProof/>
          <w:sz w:val="24"/>
          <w:u w:val="single"/>
        </w:rPr>
      </w:pPr>
    </w:p>
    <w:p w14:paraId="6123A23C"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60"/>
        </w:sectPr>
      </w:pPr>
    </w:p>
    <w:p w14:paraId="2F13BED3"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R. 18. SASTĀVDAĻA: Ekonomiskais taisnīgums un uzņēmējdarbības vide</w:t>
      </w:r>
    </w:p>
    <w:p w14:paraId="238C7521"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Komponents risina Portugāles tiesu sistēmas neefektivitātes problēmu, kā arī atlikušos trūkumus uzņēmējdarbības licencēšanā. Administratīvo un nodokļu procedūru ilgums pēdējos gados ir uzlabojies, bet joprojām ir viens no augstākajiem ES, un neizskatīto lietu skaits (nepabeigto lietu skaits) joprojām ir salīdzinoši liels. Uzņēmējdarbības vidi kavē arī nodrošinājuma un bankrota tiesību aktu zemā efektivitāte un smagas licencēšanas procedūras dažās nozarēs. </w:t>
      </w:r>
    </w:p>
    <w:p w14:paraId="5E76299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Komponenta mērķis ir stiprināt un padarīt efektīvākas attiecības starp iedzīvotājiem un uzņēmumiem ar valsti, kā arī samazināt slogu un sarežģītību, kas kavē uzņēmējdarbību un ietekmē ražīgumu. Tajā aplūkoti divi ilgstoši neatrisināti jautājumi: šķēršļi uzņēmējdarbības licenču saņemšanai un tiesu sistēmas neefektivitāte, kā arī paradigmas “digitāls pēc definīcijas” pieņemšana tiesu sistēmā un tās veicināšana licencēšanas procedūrās gan attiecībā uz tiesu darbību, gan mijiedarbību ar ieinteresētajām personām. </w:t>
      </w:r>
    </w:p>
    <w:p w14:paraId="76272F78" w14:textId="77777777" w:rsidR="00776A1F" w:rsidRDefault="00D8574B">
      <w:pPr>
        <w:pStyle w:val="P68B1DB1-Normal4"/>
        <w:keepNext/>
        <w:spacing w:before="40" w:after="0" w:line="259" w:lineRule="auto"/>
        <w:jc w:val="both"/>
        <w:rPr>
          <w:rFonts w:eastAsiaTheme="minorEastAsia" w:cs="Times New Roman"/>
          <w:noProof/>
        </w:rPr>
      </w:pPr>
      <w:r>
        <w:rPr>
          <w:noProof/>
        </w:rPr>
        <w:t>Šā komponenta mērķis ir risināt dažādas problēmas, kas konstatētas konkrētām valstīm adresētajos ieteikumos (konkrētai valstij adresētais ieteikums Nr. 4 2019 un 2020), proti, atlikušo neefektivitāti maksātnespējas procedūru un administratīvo un nodokļu tiesu jomā, un risināt jautājumu par licencēšanas prasībām uzņēmumiem, vienlaikus pievēršoties reglamentēto profesiju regulējumam (kas iekļauts arī tajos pašos konkrētai valstij adresētajos ieteikumos), lai gan tas attiecas tikai uz maksātnespējas procesa administratoru profesiju (reglamentēto profesiju problēma ir aplūkota 6. komponentā). Komponents arī palīdz īstenot konkrētai valstij adresēto ieteikumu koncentrēt investīcijas uz digitālo pārkārtošanos (konkrētais ieteikums Nr. 3 2020).</w:t>
      </w:r>
    </w:p>
    <w:p w14:paraId="5854FAB7" w14:textId="77777777" w:rsidR="00776A1F" w:rsidRDefault="00D8574B">
      <w:pPr>
        <w:pStyle w:val="P68B1DB1-Normal4"/>
        <w:keepNext/>
        <w:spacing w:before="40" w:after="0" w:line="259" w:lineRule="auto"/>
        <w:jc w:val="both"/>
        <w:rPr>
          <w:rFonts w:eastAsiaTheme="minorEastAsia" w:cs="Times New Roman"/>
          <w:noProof/>
        </w:rPr>
      </w:pPr>
      <w:r>
        <w:rPr>
          <w:noProof/>
        </w:rPr>
        <w:t>Paredzams, ka neviens pasākums šajā komponentā nenodarīs būtisku kaitējumu vides mērķiem Regulas (ES) 2020/852 17. panta nozīmē, ņemot vērā plānā izklāstīto pasākumu un riska mazināšanas posmu aprakstu saskaņā ar NBK tehniskajiem norādījumiem (2021/C58/01).</w:t>
      </w:r>
    </w:p>
    <w:p w14:paraId="1109CC39"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3FEC5922"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 xml:space="preserve">R.1. </w:t>
      </w:r>
      <w:r>
        <w:rPr>
          <w:noProof/>
        </w:rPr>
        <w:tab/>
        <w:t>Neatmaksājamam finansiālajam atbalstam pieteikto reformu un investīciju apraksts</w:t>
      </w:r>
    </w:p>
    <w:p w14:paraId="6924508E" w14:textId="7198A548"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TD-C18-r33 reforma: Ekonomiskais taisnīgums un uzņēmējdarbības vide</w:t>
      </w:r>
    </w:p>
    <w:p w14:paraId="3133444F" w14:textId="77777777" w:rsidR="00776A1F" w:rsidRDefault="00D8574B">
      <w:pPr>
        <w:pStyle w:val="P68B1DB1-Normal4"/>
        <w:keepNext/>
        <w:spacing w:before="40" w:after="0" w:line="259" w:lineRule="auto"/>
        <w:jc w:val="both"/>
        <w:rPr>
          <w:rFonts w:eastAsiaTheme="minorEastAsia" w:cs="Times New Roman"/>
          <w:noProof/>
        </w:rPr>
      </w:pPr>
      <w:r>
        <w:rPr>
          <w:noProof/>
        </w:rPr>
        <w:t>Reforma ietver šķēršļu apzināšanu investīcijām licencēšanas jomā, lai samazinātu procesuālās nepilnības un izmantotu priekšrocības, ko sniedz digitalizācija un pakalpojumu sadarbspēja, īstenojot principu “tikai vienreiz”, kas ir galvenais reformas fokuss attiecībā uz uzņēmējdarbības vidi. Paredzams, ka izmaiņas tiesiskajā regulējumā, novēršot šādus šķēršļus, stāsies spēkā līdz 2025. gada trešajam ceturksnim.</w:t>
      </w:r>
    </w:p>
    <w:p w14:paraId="16D053AF" w14:textId="6A0BEF7A" w:rsidR="00776A1F" w:rsidRDefault="00D8574B">
      <w:pPr>
        <w:pStyle w:val="P68B1DB1-Normal4"/>
        <w:keepNext/>
        <w:spacing w:before="40" w:after="0" w:line="259" w:lineRule="auto"/>
        <w:jc w:val="both"/>
        <w:rPr>
          <w:rFonts w:eastAsiaTheme="minorEastAsia" w:cs="Times New Roman"/>
          <w:noProof/>
        </w:rPr>
      </w:pPr>
      <w:r>
        <w:rPr>
          <w:noProof/>
        </w:rPr>
        <w:t xml:space="preserve">Tieslietu jomā reformas mērķis ir palielināt administratīvo un nodokļu tiesu efektivitāti, izveidojot tiesisko regulējumu, kas veicina izlīgumus un ārpustiesas izlīgumus, un specializētu palātu izveidi augstākajās tiesās, savukārt maksātnespējas regulējuma pārskatīšana ietver maksātnespējas procesa administratoru lomas stiprināšanu, tāda tiesiskā regulējuma pārskatīšanu, kas stiprina aizdevēja tiesības, un ieviest obligātu daļēju sadalījumu konkrētos gadījumos. </w:t>
      </w:r>
    </w:p>
    <w:p w14:paraId="512710E7"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Turklāt paredzētā reforma nodrošinās juridisko pamatu procesu un procedūru digitalizācijai visā tiesu sistēmā, tostarp tiesu ekspertīzes un kriminālizmeklēšanas jomā. </w:t>
      </w:r>
    </w:p>
    <w:p w14:paraId="62C04DD3" w14:textId="233D5065"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2025. gada 30. septembrim.</w:t>
      </w:r>
    </w:p>
    <w:p w14:paraId="0242038B"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67684AD" w14:textId="66EF0FAF"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TD-C18-i01: Ekonomiskais taisnīgums un uzņēmējdarbības vide</w:t>
      </w:r>
    </w:p>
    <w:p w14:paraId="0BCC9F57" w14:textId="77777777" w:rsidR="00776A1F" w:rsidRDefault="00D8574B">
      <w:pPr>
        <w:pStyle w:val="P68B1DB1-Normal4"/>
        <w:keepNext/>
        <w:spacing w:before="40" w:after="0" w:line="259" w:lineRule="auto"/>
        <w:jc w:val="both"/>
        <w:rPr>
          <w:rFonts w:eastAsiaTheme="minorEastAsia" w:cs="Times New Roman"/>
          <w:noProof/>
        </w:rPr>
      </w:pPr>
      <w:r>
        <w:rPr>
          <w:noProof/>
        </w:rPr>
        <w:t>Ieguldījumu mērķis ir nodrošināt Portugāles tiesu IT sistēmu digitālo pārkārtošanos un noturību. Tā mērķis ir integrēt “digitālo pēc definīcijas” paradigmu tiesu iestādēs un reģistratūrās, tostarp attiecībā uz mijiedarbību ar iedzīvotājiem un uzņēmumiem.</w:t>
      </w:r>
    </w:p>
    <w:p w14:paraId="440992D0" w14:textId="77777777" w:rsidR="00776A1F" w:rsidRDefault="00D8574B">
      <w:pPr>
        <w:pStyle w:val="P68B1DB1-Normal4"/>
        <w:keepNext/>
        <w:spacing w:before="40" w:after="0" w:line="259" w:lineRule="auto"/>
        <w:jc w:val="both"/>
        <w:rPr>
          <w:rFonts w:eastAsiaTheme="minorEastAsia" w:cs="Times New Roman"/>
          <w:noProof/>
        </w:rPr>
      </w:pPr>
      <w:r>
        <w:rPr>
          <w:noProof/>
        </w:rPr>
        <w:t>Digitālā pārkārtošanās ir atspēriena punkts šīm investīcijām, koncentrējoties uz tiesu sistēmu, kas ir sadalīta piecās kopās:</w:t>
      </w:r>
    </w:p>
    <w:p w14:paraId="3E5216F8"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Tiesu sistēmai paredzētu digitālo platformu (kas aptver visas tiesas) izstrāde un īstenošana, kuru mērķis ir veicināt visu tiesu procesu un procedūru digitalizāciju un izmantot priekšrocības, ko sniedz efektivitātes pieaugums, lai novērstu neizskatīto lietu uzkrāšanos. Turklāt ir jāizstrādā jaunas saskarnes mijiedarbībai ar attiecīgajām ieinteresētajām personām;</w:t>
      </w:r>
    </w:p>
    <w:p w14:paraId="6E480707"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Digitālo platformu izstrāde iedzīvotājiem un uzņēmumiem (tostarp datu migrācija), jaunu pakalpojumu pieejamības nodrošināšana tiešsaistē un dažu pakalpojumu pilnīgas dematerializācijas nodrošināšana. Šā ieguldījuma mērķis ir nodrošināt integrētas pakalpojumu platformas uzņēmumiem un iedzīvotājiem visā to dzīves ciklā, ietverot visus dažādos reģistratorus (reģistrācijas, transportlīdzekļus, valstspiederību, komerciālos datus un sodāmības reģistrus, kā arī patentu reģistrāciju un pārbaudi);</w:t>
      </w:r>
    </w:p>
    <w:p w14:paraId="5C4276B3"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Digitālās platformas kriminālizmeklēšanai un kriminālistikai, informācijas sistēmu izstrāde un modernizācija un savienojuma nodrošināšana ar Eiropas tīkliem, </w:t>
      </w:r>
    </w:p>
    <w:p w14:paraId="7CD0A53D"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Zināšanu pārvaldības platformu izstrāde un īstenošana tieslietu jomā, tostarp kopīgu kopīgu pakalpojumu platforma, dokumentu pārvaldība, statistikas un rādītāju apkopošanas platformas izstrāde un saziņā un digitālajos pakalpojumos izmantotās valodas vienkāršošana mijiedarbībā ar iedzīvotājiem un uzņēmumiem (tostarp elektroniskie paziņojumi);</w:t>
      </w:r>
    </w:p>
    <w:p w14:paraId="6B600ACC"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Tehnoloģiju infrastruktūras un aprīkojuma uzlabošana, tostarp datu centrs, katastrofu/atgūšanas iekārta, digitālie arhīvi, atvērto datu platforma, digitālās identitātes pārvaldība un digitāla kontaktcentra un apkalpošanas dienesta izveide tieslietu jomā.</w:t>
      </w:r>
    </w:p>
    <w:p w14:paraId="5E8B14D7"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Šīs investīcijas gūst labumu no spēcīgas sinerģijas ar 19. komponentu “Digitālā publiskā pārvalde”, īstenojot paradigmu “digitāls pēc definīcijas” un nodrošinot saskaņotību ar valsts kiberdrošības stratēģiju un mākoņdatošanas stratēģiju. </w:t>
      </w:r>
    </w:p>
    <w:p w14:paraId="4A4D4017" w14:textId="77777777" w:rsidR="00776A1F" w:rsidRDefault="00D8574B">
      <w:pPr>
        <w:pStyle w:val="P68B1DB1-Normal4"/>
        <w:spacing w:before="40" w:after="0" w:line="259" w:lineRule="auto"/>
        <w:jc w:val="both"/>
        <w:rPr>
          <w:rFonts w:eastAsiaTheme="minorEastAsia" w:cs="Times New Roman"/>
          <w:noProof/>
        </w:rPr>
        <w:sectPr w:rsidR="00776A1F" w:rsidSect="00E00EDD">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60"/>
        </w:sectPr>
      </w:pPr>
      <w:r>
        <w:rPr>
          <w:noProof/>
        </w:rPr>
        <w:t>Ieguldījumu īstenošanu pabeidz līdz 2025. gada 31. decembrim.</w:t>
      </w:r>
    </w:p>
    <w:p w14:paraId="10A08022" w14:textId="77777777" w:rsidR="00776A1F" w:rsidRDefault="00D8574B">
      <w:pPr>
        <w:pStyle w:val="P68B1DB1-Normal3"/>
        <w:spacing w:before="40" w:after="0" w:line="259" w:lineRule="auto"/>
        <w:ind w:left="130" w:firstLine="720"/>
        <w:jc w:val="both"/>
        <w:outlineLvl w:val="1"/>
        <w:rPr>
          <w:rFonts w:eastAsiaTheme="minorEastAsia" w:cs="Times New Roman"/>
          <w:noProof/>
        </w:rPr>
      </w:pPr>
      <w:r>
        <w:rPr>
          <w:noProof/>
        </w:rPr>
        <w:t xml:space="preserve">R.2. </w:t>
      </w:r>
      <w:r>
        <w:rPr>
          <w:noProof/>
        </w:rPr>
        <w:tab/>
        <w:t>Atskaites punkti, mērķrādītāji, citi rādītāji un neatmaksājamā finansiālā atbalsta uzraudzības un īstenošanas grafiks</w:t>
      </w:r>
    </w:p>
    <w:p w14:paraId="786060A7"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993"/>
        <w:gridCol w:w="1521"/>
        <w:gridCol w:w="6"/>
        <w:gridCol w:w="1633"/>
        <w:gridCol w:w="1659"/>
        <w:gridCol w:w="992"/>
        <w:gridCol w:w="777"/>
        <w:gridCol w:w="533"/>
        <w:gridCol w:w="614"/>
        <w:gridCol w:w="4880"/>
      </w:tblGrid>
      <w:tr w:rsidR="00776A1F" w14:paraId="10258B68" w14:textId="77777777">
        <w:trPr>
          <w:trHeight w:val="910"/>
          <w:tblHeader/>
        </w:trPr>
        <w:tc>
          <w:tcPr>
            <w:tcW w:w="1277" w:type="dxa"/>
            <w:vMerge w:val="restart"/>
            <w:shd w:val="clear" w:color="auto" w:fill="BDD6EE"/>
            <w:vAlign w:val="center"/>
          </w:tcPr>
          <w:p w14:paraId="690E97EE"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5" w:type="dxa"/>
            <w:vMerge w:val="restart"/>
            <w:shd w:val="clear" w:color="auto" w:fill="BDD6EE"/>
            <w:vAlign w:val="center"/>
            <w:hideMark/>
          </w:tcPr>
          <w:p w14:paraId="6FE76F1B"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993" w:type="dxa"/>
            <w:vMerge w:val="restart"/>
            <w:shd w:val="clear" w:color="auto" w:fill="BDD6EE"/>
            <w:vAlign w:val="center"/>
            <w:hideMark/>
          </w:tcPr>
          <w:p w14:paraId="1C9E635C" w14:textId="1CAE8360"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521" w:type="dxa"/>
            <w:vMerge w:val="restart"/>
            <w:shd w:val="clear" w:color="auto" w:fill="BDD6EE"/>
            <w:vAlign w:val="center"/>
            <w:hideMark/>
          </w:tcPr>
          <w:p w14:paraId="03568057"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639" w:type="dxa"/>
            <w:gridSpan w:val="2"/>
            <w:vMerge w:val="restart"/>
            <w:shd w:val="clear" w:color="auto" w:fill="BDD6EE"/>
            <w:vAlign w:val="center"/>
            <w:hideMark/>
          </w:tcPr>
          <w:p w14:paraId="28863AC3"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3428" w:type="dxa"/>
            <w:gridSpan w:val="3"/>
            <w:shd w:val="clear" w:color="auto" w:fill="BDD6EE"/>
            <w:vAlign w:val="center"/>
            <w:hideMark/>
          </w:tcPr>
          <w:p w14:paraId="4089044F"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147" w:type="dxa"/>
            <w:gridSpan w:val="2"/>
            <w:shd w:val="clear" w:color="auto" w:fill="BDD6EE"/>
            <w:vAlign w:val="center"/>
            <w:hideMark/>
          </w:tcPr>
          <w:p w14:paraId="637730C0"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880" w:type="dxa"/>
            <w:vMerge w:val="restart"/>
            <w:shd w:val="clear" w:color="auto" w:fill="BDD6EE"/>
            <w:noWrap/>
            <w:vAlign w:val="center"/>
            <w:hideMark/>
          </w:tcPr>
          <w:p w14:paraId="6E961EB9"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259DC459" w14:textId="77777777">
        <w:trPr>
          <w:trHeight w:val="470"/>
          <w:tblHeader/>
        </w:trPr>
        <w:tc>
          <w:tcPr>
            <w:tcW w:w="1277" w:type="dxa"/>
            <w:vMerge/>
          </w:tcPr>
          <w:p w14:paraId="0B61D35A"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42F5CA82" w14:textId="77777777" w:rsidR="00776A1F" w:rsidRDefault="00776A1F">
            <w:pPr>
              <w:spacing w:after="0" w:line="240" w:lineRule="auto"/>
              <w:rPr>
                <w:rFonts w:ascii="Times New Roman" w:eastAsia="Times New Roman" w:hAnsi="Times New Roman" w:cs="Times New Roman"/>
                <w:b/>
                <w:noProof/>
                <w:sz w:val="18"/>
              </w:rPr>
            </w:pPr>
          </w:p>
        </w:tc>
        <w:tc>
          <w:tcPr>
            <w:tcW w:w="993" w:type="dxa"/>
            <w:vMerge/>
            <w:vAlign w:val="center"/>
            <w:hideMark/>
          </w:tcPr>
          <w:p w14:paraId="6A66BA83" w14:textId="5098E0F5" w:rsidR="00776A1F" w:rsidRDefault="00776A1F">
            <w:pPr>
              <w:spacing w:after="0" w:line="240" w:lineRule="auto"/>
              <w:jc w:val="center"/>
              <w:rPr>
                <w:rFonts w:ascii="Times New Roman" w:eastAsia="Times New Roman" w:hAnsi="Times New Roman" w:cs="Times New Roman"/>
                <w:b/>
                <w:noProof/>
                <w:sz w:val="18"/>
              </w:rPr>
            </w:pPr>
          </w:p>
        </w:tc>
        <w:tc>
          <w:tcPr>
            <w:tcW w:w="1521" w:type="dxa"/>
            <w:vMerge/>
            <w:vAlign w:val="center"/>
            <w:hideMark/>
          </w:tcPr>
          <w:p w14:paraId="020E12E7" w14:textId="77777777" w:rsidR="00776A1F" w:rsidRDefault="00776A1F">
            <w:pPr>
              <w:spacing w:after="0" w:line="240" w:lineRule="auto"/>
              <w:rPr>
                <w:rFonts w:ascii="Times New Roman" w:eastAsia="Times New Roman" w:hAnsi="Times New Roman" w:cs="Times New Roman"/>
                <w:b/>
                <w:noProof/>
                <w:sz w:val="18"/>
              </w:rPr>
            </w:pPr>
          </w:p>
        </w:tc>
        <w:tc>
          <w:tcPr>
            <w:tcW w:w="1639" w:type="dxa"/>
            <w:gridSpan w:val="2"/>
            <w:vMerge/>
            <w:vAlign w:val="center"/>
            <w:hideMark/>
          </w:tcPr>
          <w:p w14:paraId="70F7DD30" w14:textId="77777777" w:rsidR="00776A1F" w:rsidRDefault="00776A1F">
            <w:pPr>
              <w:spacing w:after="0" w:line="240" w:lineRule="auto"/>
              <w:rPr>
                <w:rFonts w:ascii="Times New Roman" w:eastAsia="Times New Roman" w:hAnsi="Times New Roman" w:cs="Times New Roman"/>
                <w:b/>
                <w:noProof/>
                <w:sz w:val="18"/>
              </w:rPr>
            </w:pPr>
          </w:p>
        </w:tc>
        <w:tc>
          <w:tcPr>
            <w:tcW w:w="1659" w:type="dxa"/>
            <w:shd w:val="clear" w:color="auto" w:fill="BDD6EE"/>
            <w:vAlign w:val="center"/>
            <w:hideMark/>
          </w:tcPr>
          <w:p w14:paraId="6FED8042"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055E64A2"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77" w:type="dxa"/>
            <w:shd w:val="clear" w:color="auto" w:fill="BDD6EE"/>
            <w:vAlign w:val="center"/>
            <w:hideMark/>
          </w:tcPr>
          <w:p w14:paraId="114749AF"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33" w:type="dxa"/>
            <w:shd w:val="clear" w:color="auto" w:fill="BDD6EE"/>
            <w:vAlign w:val="center"/>
            <w:hideMark/>
          </w:tcPr>
          <w:p w14:paraId="76E28634" w14:textId="77777777" w:rsidR="00776A1F" w:rsidRDefault="00D8574B">
            <w:pPr>
              <w:pStyle w:val="P68B1DB1-Normal6"/>
              <w:spacing w:after="0" w:line="240" w:lineRule="auto"/>
              <w:jc w:val="center"/>
              <w:rPr>
                <w:rFonts w:eastAsia="Times New Roman" w:cs="Times New Roman"/>
                <w:noProof/>
              </w:rPr>
            </w:pPr>
            <w:r>
              <w:rPr>
                <w:noProof/>
              </w:rPr>
              <w:t>Q</w:t>
            </w:r>
          </w:p>
        </w:tc>
        <w:tc>
          <w:tcPr>
            <w:tcW w:w="614" w:type="dxa"/>
            <w:shd w:val="clear" w:color="auto" w:fill="BDD6EE"/>
            <w:vAlign w:val="center"/>
            <w:hideMark/>
          </w:tcPr>
          <w:p w14:paraId="6B436B9B"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880" w:type="dxa"/>
            <w:vMerge/>
            <w:vAlign w:val="center"/>
            <w:hideMark/>
          </w:tcPr>
          <w:p w14:paraId="1483F6BF" w14:textId="77777777" w:rsidR="00776A1F" w:rsidRDefault="00776A1F">
            <w:pPr>
              <w:spacing w:after="0" w:line="240" w:lineRule="auto"/>
              <w:rPr>
                <w:rFonts w:ascii="Times New Roman" w:eastAsia="Times New Roman" w:hAnsi="Times New Roman" w:cs="Times New Roman"/>
                <w:b/>
                <w:noProof/>
                <w:sz w:val="18"/>
              </w:rPr>
            </w:pPr>
          </w:p>
        </w:tc>
      </w:tr>
      <w:tr w:rsidR="00776A1F" w14:paraId="0704287E" w14:textId="77777777">
        <w:trPr>
          <w:trHeight w:val="1038"/>
        </w:trPr>
        <w:tc>
          <w:tcPr>
            <w:tcW w:w="1277" w:type="dxa"/>
            <w:shd w:val="clear" w:color="auto" w:fill="C4EFCE"/>
            <w:vAlign w:val="center"/>
          </w:tcPr>
          <w:p w14:paraId="30823E55" w14:textId="77777777" w:rsidR="00776A1F" w:rsidRDefault="00D8574B">
            <w:pPr>
              <w:pStyle w:val="P68B1DB1-Normal7"/>
              <w:spacing w:after="0" w:line="240" w:lineRule="auto"/>
              <w:jc w:val="center"/>
              <w:rPr>
                <w:rFonts w:eastAsia="Times New Roman" w:cs="Calibri"/>
                <w:noProof/>
              </w:rPr>
            </w:pPr>
            <w:r>
              <w:rPr>
                <w:noProof/>
              </w:rPr>
              <w:t>18.1</w:t>
            </w:r>
          </w:p>
        </w:tc>
        <w:tc>
          <w:tcPr>
            <w:tcW w:w="1275" w:type="dxa"/>
            <w:shd w:val="clear" w:color="auto" w:fill="C4EFCE"/>
            <w:noWrap/>
            <w:vAlign w:val="center"/>
            <w:hideMark/>
          </w:tcPr>
          <w:p w14:paraId="0F9E1EF8" w14:textId="77777777" w:rsidR="00776A1F" w:rsidRDefault="00D8574B">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016CCA3"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5B55A10" w14:textId="77777777" w:rsidR="00776A1F" w:rsidRDefault="00D8574B">
            <w:pPr>
              <w:pStyle w:val="P68B1DB1-Normal8"/>
              <w:spacing w:after="0" w:line="240" w:lineRule="auto"/>
              <w:jc w:val="center"/>
              <w:rPr>
                <w:rFonts w:eastAsia="Times New Roman" w:cs="Calibri"/>
                <w:noProof/>
              </w:rPr>
            </w:pPr>
            <w:r>
              <w:rPr>
                <w:noProof/>
              </w:rPr>
              <w:t>Specializētu palātu izveide administratīvajās un nodokļu augstākajās tiesās</w:t>
            </w:r>
          </w:p>
        </w:tc>
        <w:tc>
          <w:tcPr>
            <w:tcW w:w="1633" w:type="dxa"/>
            <w:shd w:val="clear" w:color="auto" w:fill="C4EFCE"/>
            <w:noWrap/>
            <w:vAlign w:val="center"/>
            <w:hideMark/>
          </w:tcPr>
          <w:p w14:paraId="594CF147" w14:textId="77777777" w:rsidR="00776A1F" w:rsidRDefault="00D8574B">
            <w:pPr>
              <w:pStyle w:val="P68B1DB1-Normal8"/>
              <w:spacing w:after="0" w:line="240" w:lineRule="auto"/>
              <w:jc w:val="center"/>
              <w:rPr>
                <w:rFonts w:eastAsia="Times New Roman" w:cs="Calibri"/>
                <w:noProof/>
              </w:rPr>
            </w:pPr>
            <w:r>
              <w:rPr>
                <w:noProof/>
              </w:rPr>
              <w:t>Specializētu palātu izveide administratīvajās un nodokļu augstākajās tiesās</w:t>
            </w:r>
          </w:p>
        </w:tc>
        <w:tc>
          <w:tcPr>
            <w:tcW w:w="1659" w:type="dxa"/>
            <w:shd w:val="clear" w:color="auto" w:fill="C4EFCE"/>
            <w:noWrap/>
            <w:vAlign w:val="center"/>
            <w:hideMark/>
          </w:tcPr>
          <w:p w14:paraId="77D105FC"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8DF828B"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19FDADA"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0C9B9432" w14:textId="77777777" w:rsidR="00776A1F" w:rsidRDefault="00D8574B">
            <w:pPr>
              <w:pStyle w:val="P68B1DB1-Normal8"/>
              <w:spacing w:after="0" w:line="240" w:lineRule="auto"/>
              <w:jc w:val="center"/>
              <w:rPr>
                <w:rFonts w:eastAsia="Times New Roman" w:cs="Calibri"/>
                <w:noProof/>
              </w:rPr>
            </w:pPr>
            <w:r>
              <w:rPr>
                <w:noProof/>
              </w:rPr>
              <w:t>1. CET.</w:t>
            </w:r>
          </w:p>
        </w:tc>
        <w:tc>
          <w:tcPr>
            <w:tcW w:w="614" w:type="dxa"/>
            <w:shd w:val="clear" w:color="auto" w:fill="C4EFCE"/>
            <w:noWrap/>
            <w:vAlign w:val="center"/>
            <w:hideMark/>
          </w:tcPr>
          <w:p w14:paraId="47910214" w14:textId="77777777" w:rsidR="00776A1F" w:rsidRDefault="00D8574B">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210990C9" w14:textId="77777777" w:rsidR="00776A1F" w:rsidRDefault="00D8574B">
            <w:pPr>
              <w:pStyle w:val="P68B1DB1-Normal8"/>
              <w:spacing w:after="0" w:line="240" w:lineRule="auto"/>
              <w:jc w:val="both"/>
              <w:rPr>
                <w:rFonts w:eastAsia="Times New Roman" w:cs="Calibri"/>
                <w:noProof/>
              </w:rPr>
            </w:pPr>
            <w:r>
              <w:rPr>
                <w:noProof/>
              </w:rPr>
              <w:t>Specializētu palātu izveide administratīvajās un nodokļu augstākajās tiesās: parastie administratīvie spriedumi, sociālie administratīvie spriedumi, publiskā iepirkuma spriedumi, parastie nodokļu nolēmumi, nodokļu izpilde un administratīvo pārkāpumu spriedumi</w:t>
            </w:r>
          </w:p>
        </w:tc>
      </w:tr>
      <w:tr w:rsidR="00776A1F" w14:paraId="5EA37799" w14:textId="77777777">
        <w:trPr>
          <w:trHeight w:val="2570"/>
        </w:trPr>
        <w:tc>
          <w:tcPr>
            <w:tcW w:w="1277" w:type="dxa"/>
            <w:shd w:val="clear" w:color="auto" w:fill="C4EFCE"/>
            <w:vAlign w:val="center"/>
          </w:tcPr>
          <w:p w14:paraId="45922976" w14:textId="77777777" w:rsidR="00776A1F" w:rsidRDefault="00D8574B">
            <w:pPr>
              <w:pStyle w:val="P68B1DB1-Normal7"/>
              <w:spacing w:after="0" w:line="240" w:lineRule="auto"/>
              <w:jc w:val="center"/>
              <w:rPr>
                <w:rFonts w:eastAsia="Times New Roman" w:cs="Calibri"/>
                <w:noProof/>
              </w:rPr>
            </w:pPr>
            <w:r>
              <w:rPr>
                <w:noProof/>
              </w:rPr>
              <w:t>18.2</w:t>
            </w:r>
          </w:p>
        </w:tc>
        <w:tc>
          <w:tcPr>
            <w:tcW w:w="1275" w:type="dxa"/>
            <w:shd w:val="clear" w:color="auto" w:fill="C4EFCE"/>
            <w:noWrap/>
            <w:vAlign w:val="center"/>
          </w:tcPr>
          <w:p w14:paraId="134D7CD8" w14:textId="77777777" w:rsidR="00776A1F" w:rsidRDefault="00D8574B">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tcPr>
          <w:p w14:paraId="1EBB304E"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tcPr>
          <w:p w14:paraId="0E38DEE8" w14:textId="77777777" w:rsidR="00776A1F" w:rsidRDefault="00D8574B">
            <w:pPr>
              <w:pStyle w:val="P68B1DB1-Normal8"/>
              <w:spacing w:after="0" w:line="240" w:lineRule="auto"/>
              <w:jc w:val="center"/>
              <w:rPr>
                <w:rFonts w:eastAsia="Times New Roman" w:cs="Calibri"/>
                <w:noProof/>
              </w:rPr>
            </w:pPr>
            <w:r>
              <w:rPr>
                <w:noProof/>
              </w:rPr>
              <w:t>Tiesiskā regulējuma stāšanās spēkā, lai veicinātu strīdu izšķiršanu tiesā un ārpustiesas kārtībā</w:t>
            </w:r>
          </w:p>
          <w:p w14:paraId="36CC1118" w14:textId="77777777" w:rsidR="00776A1F" w:rsidRDefault="00776A1F">
            <w:pPr>
              <w:spacing w:after="0" w:line="240" w:lineRule="auto"/>
              <w:jc w:val="center"/>
              <w:rPr>
                <w:rFonts w:ascii="Calibri" w:eastAsia="Times New Roman" w:hAnsi="Calibri" w:cs="Calibri"/>
                <w:noProof/>
                <w:sz w:val="16"/>
              </w:rPr>
            </w:pPr>
          </w:p>
        </w:tc>
        <w:tc>
          <w:tcPr>
            <w:tcW w:w="1633" w:type="dxa"/>
            <w:shd w:val="clear" w:color="auto" w:fill="C4EFCE"/>
            <w:noWrap/>
            <w:vAlign w:val="center"/>
          </w:tcPr>
          <w:p w14:paraId="4DB8A301" w14:textId="77777777" w:rsidR="00776A1F" w:rsidRDefault="00D8574B">
            <w:pPr>
              <w:pStyle w:val="P68B1DB1-Normal8"/>
              <w:spacing w:after="0" w:line="240" w:lineRule="auto"/>
              <w:jc w:val="center"/>
              <w:rPr>
                <w:rFonts w:eastAsia="Times New Roman" w:cs="Calibri"/>
                <w:noProof/>
              </w:rPr>
            </w:pPr>
            <w:r>
              <w:rPr>
                <w:noProof/>
              </w:rPr>
              <w:t>Tiesiskā regulējuma stāšanās spēkā, lai veicinātu strīdu izšķiršanu tiesā un ārpustiesas kārtībā</w:t>
            </w:r>
          </w:p>
        </w:tc>
        <w:tc>
          <w:tcPr>
            <w:tcW w:w="1659" w:type="dxa"/>
            <w:shd w:val="clear" w:color="auto" w:fill="C4EFCE"/>
            <w:noWrap/>
            <w:vAlign w:val="center"/>
          </w:tcPr>
          <w:p w14:paraId="3F523CAC" w14:textId="77777777" w:rsidR="00776A1F" w:rsidRDefault="00776A1F">
            <w:pPr>
              <w:spacing w:after="0" w:line="240" w:lineRule="auto"/>
              <w:rPr>
                <w:rFonts w:ascii="Calibri" w:eastAsia="Times New Roman" w:hAnsi="Calibri" w:cs="Calibri"/>
                <w:noProof/>
                <w:sz w:val="16"/>
              </w:rPr>
            </w:pPr>
          </w:p>
        </w:tc>
        <w:tc>
          <w:tcPr>
            <w:tcW w:w="992" w:type="dxa"/>
            <w:shd w:val="clear" w:color="auto" w:fill="C4EFCE"/>
            <w:noWrap/>
            <w:vAlign w:val="center"/>
          </w:tcPr>
          <w:p w14:paraId="50EE6E1F" w14:textId="77777777" w:rsidR="00776A1F" w:rsidRDefault="00776A1F">
            <w:pPr>
              <w:spacing w:after="0" w:line="240" w:lineRule="auto"/>
              <w:jc w:val="center"/>
              <w:rPr>
                <w:rFonts w:ascii="Calibri" w:eastAsia="Times New Roman" w:hAnsi="Calibri" w:cs="Calibri"/>
                <w:noProof/>
                <w:sz w:val="16"/>
              </w:rPr>
            </w:pPr>
          </w:p>
        </w:tc>
        <w:tc>
          <w:tcPr>
            <w:tcW w:w="777" w:type="dxa"/>
            <w:shd w:val="clear" w:color="auto" w:fill="C4EFCE"/>
            <w:noWrap/>
            <w:vAlign w:val="center"/>
          </w:tcPr>
          <w:p w14:paraId="66037AB8" w14:textId="77777777" w:rsidR="00776A1F" w:rsidRDefault="00776A1F">
            <w:pPr>
              <w:spacing w:after="0" w:line="240" w:lineRule="auto"/>
              <w:jc w:val="center"/>
              <w:rPr>
                <w:rFonts w:ascii="Calibri" w:eastAsia="Times New Roman" w:hAnsi="Calibri" w:cs="Calibri"/>
                <w:noProof/>
                <w:sz w:val="16"/>
              </w:rPr>
            </w:pPr>
          </w:p>
        </w:tc>
        <w:tc>
          <w:tcPr>
            <w:tcW w:w="533" w:type="dxa"/>
            <w:shd w:val="clear" w:color="auto" w:fill="C4EFCE"/>
            <w:noWrap/>
            <w:vAlign w:val="center"/>
          </w:tcPr>
          <w:p w14:paraId="2E87CE6B" w14:textId="77777777" w:rsidR="00776A1F" w:rsidRDefault="00D8574B">
            <w:pPr>
              <w:pStyle w:val="P68B1DB1-Normal8"/>
              <w:spacing w:after="0" w:line="240" w:lineRule="auto"/>
              <w:jc w:val="center"/>
              <w:rPr>
                <w:rFonts w:eastAsia="Times New Roman" w:cs="Calibri"/>
                <w:noProof/>
              </w:rPr>
            </w:pPr>
            <w:r>
              <w:rPr>
                <w:noProof/>
              </w:rPr>
              <w:t>1. CET.</w:t>
            </w:r>
          </w:p>
        </w:tc>
        <w:tc>
          <w:tcPr>
            <w:tcW w:w="614" w:type="dxa"/>
            <w:shd w:val="clear" w:color="auto" w:fill="C4EFCE"/>
            <w:noWrap/>
            <w:vAlign w:val="center"/>
          </w:tcPr>
          <w:p w14:paraId="2B06B617" w14:textId="77777777" w:rsidR="00776A1F" w:rsidRDefault="00D8574B">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tcPr>
          <w:p w14:paraId="3B845451" w14:textId="77777777" w:rsidR="00776A1F" w:rsidRDefault="00D8574B">
            <w:pPr>
              <w:pStyle w:val="P68B1DB1-Normal8"/>
              <w:spacing w:after="0" w:line="240" w:lineRule="auto"/>
              <w:jc w:val="both"/>
              <w:rPr>
                <w:rFonts w:eastAsia="Times New Roman" w:cs="Calibri"/>
                <w:noProof/>
              </w:rPr>
            </w:pPr>
            <w:r>
              <w:rPr>
                <w:noProof/>
              </w:rPr>
              <w:t>Tāda tiesiskā regulējuma stāšanās spēkā, ar ko izveido likumisku stimulu sistēmu tiesvedības izbeigšanai, izmantojot strīdu ārpustiesas un ārpustiesas izlīgumu</w:t>
            </w:r>
          </w:p>
        </w:tc>
      </w:tr>
      <w:tr w:rsidR="00776A1F" w14:paraId="63E4A25B" w14:textId="77777777">
        <w:trPr>
          <w:cantSplit/>
          <w:trHeight w:val="5929"/>
        </w:trPr>
        <w:tc>
          <w:tcPr>
            <w:tcW w:w="1277" w:type="dxa"/>
            <w:shd w:val="clear" w:color="auto" w:fill="C4EFCE"/>
            <w:vAlign w:val="center"/>
          </w:tcPr>
          <w:p w14:paraId="4030100F" w14:textId="77777777" w:rsidR="00776A1F" w:rsidRDefault="00D8574B">
            <w:pPr>
              <w:pStyle w:val="P68B1DB1-Normal7"/>
              <w:spacing w:after="0" w:line="240" w:lineRule="auto"/>
              <w:jc w:val="center"/>
              <w:rPr>
                <w:rFonts w:eastAsia="Times New Roman" w:cs="Calibri"/>
                <w:noProof/>
              </w:rPr>
            </w:pPr>
            <w:r>
              <w:rPr>
                <w:noProof/>
              </w:rPr>
              <w:t>18.3</w:t>
            </w:r>
          </w:p>
        </w:tc>
        <w:tc>
          <w:tcPr>
            <w:tcW w:w="1275" w:type="dxa"/>
            <w:shd w:val="clear" w:color="auto" w:fill="C4EFCE"/>
            <w:noWrap/>
            <w:vAlign w:val="center"/>
            <w:hideMark/>
          </w:tcPr>
          <w:p w14:paraId="0EE4E35F" w14:textId="77777777" w:rsidR="00776A1F" w:rsidRDefault="00D8574B">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7DF377C5"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046AC9E" w14:textId="77777777" w:rsidR="00776A1F" w:rsidRDefault="00D8574B">
            <w:pPr>
              <w:pStyle w:val="P68B1DB1-Normal8"/>
              <w:spacing w:after="0" w:line="240" w:lineRule="auto"/>
              <w:jc w:val="center"/>
              <w:rPr>
                <w:rFonts w:eastAsia="Times New Roman" w:cs="Calibri"/>
                <w:noProof/>
              </w:rPr>
            </w:pPr>
            <w:r>
              <w:rPr>
                <w:noProof/>
              </w:rPr>
              <w:t>Pārskatītā maksātnespējas un atgūšanas tiesiskā regulējuma stāšanās spēkā</w:t>
            </w:r>
          </w:p>
        </w:tc>
        <w:tc>
          <w:tcPr>
            <w:tcW w:w="1633" w:type="dxa"/>
            <w:shd w:val="clear" w:color="auto" w:fill="C4EFCE"/>
            <w:vAlign w:val="center"/>
          </w:tcPr>
          <w:p w14:paraId="3258DA2E" w14:textId="77777777" w:rsidR="00776A1F" w:rsidRDefault="00D8574B">
            <w:pPr>
              <w:pStyle w:val="P68B1DB1-Normal8"/>
              <w:spacing w:after="0" w:line="240" w:lineRule="auto"/>
              <w:jc w:val="center"/>
              <w:rPr>
                <w:rFonts w:eastAsia="Times New Roman" w:cs="Calibri"/>
                <w:noProof/>
              </w:rPr>
            </w:pPr>
            <w:r>
              <w:rPr>
                <w:noProof/>
              </w:rPr>
              <w:t>Pārskatītā maksātnespējas un atgūšanas tiesiskā regulējuma stāšanās spēkā</w:t>
            </w:r>
          </w:p>
        </w:tc>
        <w:tc>
          <w:tcPr>
            <w:tcW w:w="1659" w:type="dxa"/>
            <w:shd w:val="clear" w:color="auto" w:fill="C4EFCE"/>
            <w:noWrap/>
            <w:vAlign w:val="center"/>
            <w:hideMark/>
          </w:tcPr>
          <w:p w14:paraId="15B6D3B5"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1E48313"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56852BD8"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DEFE34C" w14:textId="77777777" w:rsidR="00776A1F" w:rsidRDefault="00D8574B">
            <w:pPr>
              <w:pStyle w:val="P68B1DB1-Normal8"/>
              <w:spacing w:after="0" w:line="240" w:lineRule="auto"/>
              <w:jc w:val="center"/>
              <w:rPr>
                <w:rFonts w:eastAsia="Times New Roman" w:cs="Calibri"/>
                <w:noProof/>
              </w:rPr>
            </w:pPr>
            <w:r>
              <w:rPr>
                <w:noProof/>
              </w:rPr>
              <w:t>2. CET.</w:t>
            </w:r>
          </w:p>
        </w:tc>
        <w:tc>
          <w:tcPr>
            <w:tcW w:w="614" w:type="dxa"/>
            <w:shd w:val="clear" w:color="auto" w:fill="C4EFCE"/>
            <w:noWrap/>
            <w:vAlign w:val="center"/>
            <w:hideMark/>
          </w:tcPr>
          <w:p w14:paraId="06EFAEAF" w14:textId="77777777" w:rsidR="00776A1F" w:rsidRDefault="00D8574B">
            <w:pPr>
              <w:pStyle w:val="P68B1DB1-Normal8"/>
              <w:rPr>
                <w:rFonts w:eastAsia="Times New Roman" w:cs="Calibri"/>
                <w:noProof/>
              </w:rPr>
            </w:pPr>
            <w:r>
              <w:rPr>
                <w:noProof/>
              </w:rPr>
              <w:t>2024</w:t>
            </w:r>
          </w:p>
        </w:tc>
        <w:tc>
          <w:tcPr>
            <w:tcW w:w="4880" w:type="dxa"/>
            <w:shd w:val="clear" w:color="auto" w:fill="C4EFCE"/>
            <w:vAlign w:val="center"/>
            <w:hideMark/>
          </w:tcPr>
          <w:p w14:paraId="340D1B69" w14:textId="77777777" w:rsidR="00776A1F" w:rsidRDefault="00D8574B">
            <w:pPr>
              <w:spacing w:after="0" w:line="240" w:lineRule="auto"/>
              <w:jc w:val="both"/>
              <w:rPr>
                <w:rFonts w:ascii="Calibri" w:eastAsia="Times New Roman" w:hAnsi="Calibri" w:cs="Calibri"/>
                <w:noProof/>
                <w:sz w:val="16"/>
              </w:rPr>
            </w:pPr>
            <w:r>
              <w:rPr>
                <w:rFonts w:ascii="Calibri" w:hAnsi="Calibri"/>
                <w:noProof/>
                <w:sz w:val="16"/>
              </w:rPr>
              <w:t>Stājas spēkā pārskatītais tiesiskais regulējums attiecībā uz uzņēmumu maksātnespēju un glābšanu, lai paātrinātu šīs procedūras un pielāgotu tās “digitālai pēc noklusējuma”, tostarp</w:t>
            </w:r>
            <w:r>
              <w:rPr>
                <w:noProof/>
              </w:rPr>
              <w:br/>
            </w:r>
          </w:p>
          <w:p w14:paraId="75E14895" w14:textId="77777777" w:rsidR="00776A1F" w:rsidRDefault="00D8574B">
            <w:pPr>
              <w:pStyle w:val="P68B1DB1-Normal8"/>
              <w:spacing w:after="0" w:line="240" w:lineRule="auto"/>
              <w:jc w:val="both"/>
              <w:rPr>
                <w:rFonts w:eastAsia="Times New Roman" w:cs="Calibri"/>
                <w:noProof/>
              </w:rPr>
            </w:pPr>
            <w:r>
              <w:rPr>
                <w:noProof/>
              </w:rPr>
              <w:t>pārskatīt Maksātnespējas kodeksu, lai optimizētu maksātnespējas procedūras, atspoguļojot arī Direktīvas 2019/1023 transponēšanu un pilnībā elektronisku procedūru izveidi;</w:t>
            </w:r>
          </w:p>
          <w:p w14:paraId="5EAA7A3B" w14:textId="77777777" w:rsidR="00776A1F" w:rsidRDefault="00D8574B">
            <w:pPr>
              <w:pStyle w:val="P68B1DB1-Normal8"/>
              <w:spacing w:after="0" w:line="240" w:lineRule="auto"/>
              <w:jc w:val="both"/>
              <w:rPr>
                <w:rFonts w:eastAsia="Times New Roman" w:cs="Calibri"/>
                <w:noProof/>
              </w:rPr>
            </w:pPr>
            <w:r>
              <w:rPr>
                <w:noProof/>
              </w:rPr>
              <w:t>uzticēt maksātnespējas administratoram uzdevumu izstrādāt likvidācijas plānu ar konkrētiem termiņiem, lai atbrīvotos no aktīviem, kas veido maksātnespējīgā parādnieka mantu;</w:t>
            </w:r>
          </w:p>
          <w:p w14:paraId="4D201E3F" w14:textId="77777777" w:rsidR="00776A1F" w:rsidRDefault="00D8574B">
            <w:pPr>
              <w:pStyle w:val="P68B1DB1-Normal8"/>
              <w:spacing w:after="0" w:line="240" w:lineRule="auto"/>
              <w:jc w:val="both"/>
              <w:rPr>
                <w:rFonts w:eastAsia="Times New Roman" w:cs="Calibri"/>
                <w:noProof/>
              </w:rPr>
            </w:pPr>
            <w:r>
              <w:rPr>
                <w:noProof/>
              </w:rPr>
              <w:t>atbildības pārbaudes procedūras vienkāršošana un prasījumu sarindošana maksātnespējas procedūrā, piešķirot maksātnespējas administratoram pienākumu kopā ar atzīto prasījumu sarakstu iesniegt priekšlikumu par to sarindojumu, ļaujot tiesnesim piekrišanas gadījumā un neapstrīdot abus dokumentus apstiprināt, tādējādi pieļaujot elastīgāku procedūru;</w:t>
            </w:r>
          </w:p>
          <w:p w14:paraId="6435378B" w14:textId="77777777" w:rsidR="00776A1F" w:rsidRDefault="00D8574B">
            <w:pPr>
              <w:pStyle w:val="P68B1DB1-Normal8"/>
              <w:spacing w:after="0" w:line="240" w:lineRule="auto"/>
              <w:jc w:val="both"/>
              <w:rPr>
                <w:rFonts w:eastAsia="Times New Roman" w:cs="Calibri"/>
                <w:noProof/>
              </w:rPr>
            </w:pPr>
            <w:r>
              <w:rPr>
                <w:noProof/>
              </w:rPr>
              <w:t>d) obligātās daļējās sadales iestāde, ja maksātnespējīgā parādnieka manta ir daļa no tādu aktīvu likvidācijas ieņēmumiem, kuru vērtība ir EUR 10000 vai vairāk, kuru īpašumtiesības netiek apstrīdētas un procedūra nevar veikt galīgo sadalījumu;</w:t>
            </w:r>
          </w:p>
          <w:p w14:paraId="68A0B579" w14:textId="77777777" w:rsidR="00776A1F" w:rsidRDefault="00D8574B">
            <w:pPr>
              <w:pStyle w:val="P68B1DB1-Normal8"/>
              <w:spacing w:after="0" w:line="240" w:lineRule="auto"/>
              <w:jc w:val="both"/>
              <w:rPr>
                <w:rFonts w:eastAsia="Times New Roman" w:cs="Calibri"/>
                <w:noProof/>
              </w:rPr>
            </w:pPr>
            <w:r>
              <w:rPr>
                <w:noProof/>
              </w:rPr>
              <w:t xml:space="preserve">aizturēšanas tiesību preventīvā režīma pārskatīšana hipotēkas gadījumā (Código Civil); </w:t>
            </w:r>
          </w:p>
          <w:p w14:paraId="785EC4F6" w14:textId="77777777" w:rsidR="00776A1F" w:rsidRDefault="00D8574B">
            <w:pPr>
              <w:pStyle w:val="P68B1DB1-Normal8"/>
              <w:spacing w:after="0" w:line="240" w:lineRule="auto"/>
              <w:jc w:val="both"/>
              <w:rPr>
                <w:rFonts w:eastAsia="Times New Roman" w:cs="Calibri"/>
                <w:noProof/>
              </w:rPr>
            </w:pPr>
            <w:r>
              <w:rPr>
                <w:noProof/>
              </w:rPr>
              <w:t>samazināt maksātnespējas procesa administratoru darbības ierobežojumus.</w:t>
            </w:r>
          </w:p>
          <w:p w14:paraId="66B701AF" w14:textId="77777777" w:rsidR="00776A1F" w:rsidRDefault="00D8574B">
            <w:pPr>
              <w:pStyle w:val="P68B1DB1-Normal8"/>
              <w:spacing w:after="0" w:line="240" w:lineRule="auto"/>
              <w:jc w:val="both"/>
              <w:rPr>
                <w:rFonts w:eastAsia="Times New Roman" w:cs="Calibri"/>
                <w:noProof/>
              </w:rPr>
            </w:pPr>
            <w:r>
              <w:rPr>
                <w:noProof/>
              </w:rPr>
              <w:t>ierobežojumu atcelšana pavēstes posmā, parasti nosaka elektroniskus pakalpojumus juridiskām personām, jo īpaši maksātnespējas procedūrās (CPC);</w:t>
            </w:r>
          </w:p>
          <w:p w14:paraId="15C87B35" w14:textId="77777777" w:rsidR="00776A1F" w:rsidRDefault="00D8574B">
            <w:pPr>
              <w:pStyle w:val="P68B1DB1-Normal8"/>
              <w:spacing w:after="0" w:line="240" w:lineRule="auto"/>
              <w:jc w:val="both"/>
              <w:rPr>
                <w:rFonts w:eastAsia="Times New Roman" w:cs="Calibri"/>
                <w:noProof/>
              </w:rPr>
            </w:pPr>
            <w:r>
              <w:rPr>
                <w:noProof/>
              </w:rPr>
              <w:t>specializētu palātu izveide un darbība augstākajās tiesās komerclietu lietās.</w:t>
            </w:r>
          </w:p>
          <w:p w14:paraId="472B518E" w14:textId="77777777" w:rsidR="00776A1F" w:rsidRDefault="00D8574B">
            <w:pPr>
              <w:pStyle w:val="P68B1DB1-Normal8"/>
              <w:spacing w:after="0" w:line="240" w:lineRule="auto"/>
              <w:jc w:val="both"/>
              <w:rPr>
                <w:rFonts w:eastAsia="Times New Roman" w:cs="Calibri"/>
                <w:noProof/>
              </w:rPr>
            </w:pPr>
            <w:r>
              <w:rPr>
                <w:noProof/>
              </w:rPr>
              <w:t xml:space="preserve">ESE procedūras un to pielāgošana “digitālam pēc noklusējuma”, tostarp </w:t>
            </w:r>
          </w:p>
        </w:tc>
      </w:tr>
      <w:tr w:rsidR="00776A1F" w14:paraId="6AB9F600" w14:textId="77777777">
        <w:trPr>
          <w:trHeight w:val="430"/>
        </w:trPr>
        <w:tc>
          <w:tcPr>
            <w:tcW w:w="1277" w:type="dxa"/>
            <w:shd w:val="clear" w:color="auto" w:fill="C4EFCE"/>
            <w:vAlign w:val="center"/>
          </w:tcPr>
          <w:p w14:paraId="55355ADE" w14:textId="3ECAA7F9" w:rsidR="00776A1F" w:rsidRDefault="00D8574B">
            <w:pPr>
              <w:pStyle w:val="P68B1DB1-Normal7"/>
              <w:spacing w:after="0" w:line="240" w:lineRule="auto"/>
              <w:jc w:val="center"/>
              <w:rPr>
                <w:rFonts w:eastAsia="Times New Roman" w:cs="Calibri"/>
                <w:noProof/>
              </w:rPr>
            </w:pPr>
            <w:r>
              <w:rPr>
                <w:noProof/>
              </w:rPr>
              <w:t>18.4</w:t>
            </w:r>
          </w:p>
        </w:tc>
        <w:tc>
          <w:tcPr>
            <w:tcW w:w="1275" w:type="dxa"/>
            <w:shd w:val="clear" w:color="auto" w:fill="C4EFCE"/>
            <w:noWrap/>
            <w:vAlign w:val="center"/>
            <w:hideMark/>
          </w:tcPr>
          <w:p w14:paraId="7AEBE05E" w14:textId="77777777" w:rsidR="00776A1F" w:rsidRDefault="00D8574B">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60B81AA"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27A38FD" w14:textId="433D97C7" w:rsidR="00776A1F" w:rsidRDefault="00D8574B">
            <w:pPr>
              <w:pStyle w:val="P68B1DB1-Normal8"/>
              <w:spacing w:after="0" w:line="240" w:lineRule="auto"/>
              <w:jc w:val="center"/>
              <w:rPr>
                <w:rFonts w:eastAsia="Times New Roman" w:cs="Calibri"/>
                <w:noProof/>
              </w:rPr>
            </w:pPr>
            <w:r>
              <w:rPr>
                <w:noProof/>
              </w:rPr>
              <w:t>Stājas spēkā tiesību aktu kopums par licencēšanas šķēršļu novēršanu</w:t>
            </w:r>
          </w:p>
        </w:tc>
        <w:tc>
          <w:tcPr>
            <w:tcW w:w="1633" w:type="dxa"/>
            <w:shd w:val="clear" w:color="auto" w:fill="C4EFCE"/>
            <w:noWrap/>
            <w:vAlign w:val="center"/>
            <w:hideMark/>
          </w:tcPr>
          <w:p w14:paraId="65E920C4" w14:textId="39F70BC9" w:rsidR="00776A1F" w:rsidRDefault="00D8574B">
            <w:pPr>
              <w:pStyle w:val="P68B1DB1-Normal8"/>
              <w:spacing w:after="0" w:line="240" w:lineRule="auto"/>
              <w:jc w:val="center"/>
              <w:rPr>
                <w:rFonts w:eastAsia="Times New Roman" w:cs="Calibri"/>
                <w:noProof/>
              </w:rPr>
            </w:pPr>
            <w:r>
              <w:rPr>
                <w:noProof/>
              </w:rPr>
              <w:t xml:space="preserve"> Stājas spēkā tiesību aktu kopums par licencēšanas šķēršļu novēršanu</w:t>
            </w:r>
          </w:p>
        </w:tc>
        <w:tc>
          <w:tcPr>
            <w:tcW w:w="1659" w:type="dxa"/>
            <w:shd w:val="clear" w:color="auto" w:fill="C4EFCE"/>
            <w:noWrap/>
            <w:vAlign w:val="center"/>
            <w:hideMark/>
          </w:tcPr>
          <w:p w14:paraId="3B9AFDC2"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405CD4C"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DA1C3F0"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31E6942C" w14:textId="77777777" w:rsidR="00776A1F" w:rsidRDefault="00D8574B">
            <w:pPr>
              <w:pStyle w:val="P68B1DB1-Normal8"/>
              <w:spacing w:after="0" w:line="240" w:lineRule="auto"/>
              <w:jc w:val="center"/>
              <w:rPr>
                <w:rFonts w:eastAsia="Times New Roman" w:cs="Calibri"/>
                <w:noProof/>
              </w:rPr>
            </w:pPr>
            <w:r>
              <w:rPr>
                <w:noProof/>
              </w:rPr>
              <w:t>3. CET.</w:t>
            </w:r>
          </w:p>
        </w:tc>
        <w:tc>
          <w:tcPr>
            <w:tcW w:w="614" w:type="dxa"/>
            <w:shd w:val="clear" w:color="auto" w:fill="C4EFCE"/>
            <w:noWrap/>
            <w:vAlign w:val="center"/>
            <w:hideMark/>
          </w:tcPr>
          <w:p w14:paraId="75CF287C" w14:textId="77777777" w:rsidR="00776A1F" w:rsidRDefault="00D8574B">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7510859" w14:textId="37E2259C" w:rsidR="00776A1F" w:rsidRDefault="00D8574B">
            <w:pPr>
              <w:pStyle w:val="P68B1DB1-Normal8"/>
              <w:spacing w:after="0" w:line="240" w:lineRule="auto"/>
              <w:jc w:val="both"/>
              <w:rPr>
                <w:rFonts w:eastAsia="Times New Roman" w:cs="Calibri"/>
                <w:noProof/>
              </w:rPr>
            </w:pPr>
            <w:r>
              <w:rPr>
                <w:noProof/>
              </w:rPr>
              <w:t>Stājas spēkā tiesību akti par licencēšanas šķēršļu novēršanu, kas noteikti darba grupas ziņojumā, kura izveidota ar atbildīgo valdības locekļu kopīgu rīkojumu</w:t>
            </w:r>
          </w:p>
        </w:tc>
      </w:tr>
      <w:tr w:rsidR="00776A1F" w14:paraId="50FA20CE" w14:textId="77777777">
        <w:trPr>
          <w:trHeight w:val="640"/>
        </w:trPr>
        <w:tc>
          <w:tcPr>
            <w:tcW w:w="1277" w:type="dxa"/>
            <w:shd w:val="clear" w:color="auto" w:fill="C4EFCE"/>
            <w:vAlign w:val="center"/>
          </w:tcPr>
          <w:p w14:paraId="7B1F5CA0" w14:textId="77777777" w:rsidR="00776A1F" w:rsidRDefault="00D8574B">
            <w:pPr>
              <w:pStyle w:val="P68B1DB1-Normal7"/>
              <w:spacing w:after="0" w:line="240" w:lineRule="auto"/>
              <w:jc w:val="center"/>
              <w:rPr>
                <w:rFonts w:eastAsia="Times New Roman" w:cs="Calibri"/>
                <w:noProof/>
              </w:rPr>
            </w:pPr>
            <w:r>
              <w:rPr>
                <w:noProof/>
              </w:rPr>
              <w:t>18.5</w:t>
            </w:r>
          </w:p>
        </w:tc>
        <w:tc>
          <w:tcPr>
            <w:tcW w:w="1275" w:type="dxa"/>
            <w:shd w:val="clear" w:color="auto" w:fill="C4EFCE"/>
            <w:noWrap/>
            <w:vAlign w:val="center"/>
            <w:hideMark/>
          </w:tcPr>
          <w:p w14:paraId="7D316546" w14:textId="77777777" w:rsidR="00776A1F" w:rsidRDefault="00D8574B">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6B073812"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EFEFE4E" w14:textId="77777777" w:rsidR="00776A1F" w:rsidRDefault="00D8574B">
            <w:pPr>
              <w:pStyle w:val="P68B1DB1-Normal8"/>
              <w:spacing w:after="0" w:line="240" w:lineRule="auto"/>
              <w:jc w:val="center"/>
              <w:rPr>
                <w:rFonts w:eastAsia="Times New Roman" w:cs="Calibri"/>
                <w:noProof/>
              </w:rPr>
            </w:pPr>
            <w:r>
              <w:rPr>
                <w:noProof/>
              </w:rPr>
              <w:t>Modernizēta IT sistēma kriminālizmeklēšanai</w:t>
            </w:r>
          </w:p>
        </w:tc>
        <w:tc>
          <w:tcPr>
            <w:tcW w:w="1633" w:type="dxa"/>
            <w:shd w:val="clear" w:color="auto" w:fill="C4EFCE"/>
            <w:noWrap/>
            <w:vAlign w:val="center"/>
            <w:hideMark/>
          </w:tcPr>
          <w:p w14:paraId="676EC23C" w14:textId="77777777" w:rsidR="00776A1F" w:rsidRDefault="00D8574B">
            <w:pPr>
              <w:pStyle w:val="P68B1DB1-Normal8"/>
              <w:spacing w:after="0" w:line="240" w:lineRule="auto"/>
              <w:jc w:val="center"/>
              <w:rPr>
                <w:rFonts w:eastAsia="Times New Roman" w:cs="Calibri"/>
                <w:noProof/>
              </w:rPr>
            </w:pPr>
            <w:r>
              <w:rPr>
                <w:noProof/>
              </w:rPr>
              <w:t>Modernizēta IT sistēma kriminālizmeklēšanai, kas darbojas</w:t>
            </w:r>
          </w:p>
        </w:tc>
        <w:tc>
          <w:tcPr>
            <w:tcW w:w="1659" w:type="dxa"/>
            <w:shd w:val="clear" w:color="auto" w:fill="C4EFCE"/>
            <w:noWrap/>
            <w:vAlign w:val="center"/>
            <w:hideMark/>
          </w:tcPr>
          <w:p w14:paraId="1F1E7814"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EF1498A"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399F2EC4"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AD1E3F4" w14:textId="77777777" w:rsidR="00776A1F" w:rsidRDefault="00D8574B">
            <w:pPr>
              <w:pStyle w:val="P68B1DB1-Normal8"/>
              <w:spacing w:after="0" w:line="240" w:lineRule="auto"/>
              <w:jc w:val="center"/>
              <w:rPr>
                <w:rFonts w:eastAsia="Times New Roman" w:cs="Calibri"/>
                <w:noProof/>
              </w:rPr>
            </w:pPr>
            <w:r>
              <w:rPr>
                <w:noProof/>
              </w:rPr>
              <w:t>4. CET.</w:t>
            </w:r>
          </w:p>
        </w:tc>
        <w:tc>
          <w:tcPr>
            <w:tcW w:w="614" w:type="dxa"/>
            <w:shd w:val="clear" w:color="auto" w:fill="C4EFCE"/>
            <w:noWrap/>
            <w:vAlign w:val="center"/>
            <w:hideMark/>
          </w:tcPr>
          <w:p w14:paraId="5122DDCF" w14:textId="77777777" w:rsidR="00776A1F" w:rsidRDefault="00D8574B">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41A423B1" w14:textId="78BE8103" w:rsidR="00776A1F" w:rsidRDefault="00D8574B">
            <w:pPr>
              <w:pStyle w:val="P68B1DB1-Normal8"/>
              <w:spacing w:after="0" w:line="240" w:lineRule="auto"/>
              <w:jc w:val="both"/>
              <w:rPr>
                <w:rFonts w:eastAsia="Times New Roman" w:cs="Calibri"/>
                <w:noProof/>
              </w:rPr>
            </w:pPr>
            <w:r>
              <w:rPr>
                <w:noProof/>
              </w:rPr>
              <w:t>Sāks darboties modernizēta IT sistēma kriminālizmeklēšanai. Modernizācija ietver saskarņu ieviešanu un pārtveršanas sistēmu modernizāciju un sadarbspējas nodrošināšanu ar Eiropas un starptautiskajiem partneriem.</w:t>
            </w:r>
          </w:p>
        </w:tc>
      </w:tr>
      <w:tr w:rsidR="00776A1F" w14:paraId="225C6D24" w14:textId="77777777">
        <w:trPr>
          <w:trHeight w:val="430"/>
        </w:trPr>
        <w:tc>
          <w:tcPr>
            <w:tcW w:w="1277" w:type="dxa"/>
            <w:shd w:val="clear" w:color="auto" w:fill="C4EFCE"/>
            <w:vAlign w:val="center"/>
          </w:tcPr>
          <w:p w14:paraId="26C96112" w14:textId="77777777" w:rsidR="00776A1F" w:rsidRDefault="00D8574B">
            <w:pPr>
              <w:pStyle w:val="P68B1DB1-Normal7"/>
              <w:spacing w:after="0" w:line="240" w:lineRule="auto"/>
              <w:jc w:val="center"/>
              <w:rPr>
                <w:rFonts w:eastAsia="Times New Roman" w:cs="Calibri"/>
                <w:noProof/>
              </w:rPr>
            </w:pPr>
            <w:r>
              <w:rPr>
                <w:noProof/>
              </w:rPr>
              <w:t>18.6</w:t>
            </w:r>
          </w:p>
        </w:tc>
        <w:tc>
          <w:tcPr>
            <w:tcW w:w="1275" w:type="dxa"/>
            <w:shd w:val="clear" w:color="auto" w:fill="C4EFCE"/>
            <w:noWrap/>
            <w:vAlign w:val="center"/>
            <w:hideMark/>
          </w:tcPr>
          <w:p w14:paraId="169DA80A" w14:textId="77777777" w:rsidR="00776A1F" w:rsidRDefault="00D8574B">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39443976"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95D35B1" w14:textId="77777777" w:rsidR="00776A1F" w:rsidRDefault="00D8574B">
            <w:pPr>
              <w:pStyle w:val="P68B1DB1-Normal8"/>
              <w:spacing w:after="0" w:line="240" w:lineRule="auto"/>
              <w:jc w:val="center"/>
              <w:rPr>
                <w:rFonts w:eastAsia="Times New Roman" w:cs="Calibri"/>
                <w:noProof/>
              </w:rPr>
            </w:pPr>
            <w:r>
              <w:rPr>
                <w:noProof/>
              </w:rPr>
              <w:t>Informācijas sistēma “Uzņēmuma 2.0”</w:t>
            </w:r>
          </w:p>
        </w:tc>
        <w:tc>
          <w:tcPr>
            <w:tcW w:w="1633" w:type="dxa"/>
            <w:shd w:val="clear" w:color="auto" w:fill="C4EFCE"/>
            <w:noWrap/>
            <w:vAlign w:val="center"/>
            <w:hideMark/>
          </w:tcPr>
          <w:p w14:paraId="57E18843" w14:textId="77777777" w:rsidR="00776A1F" w:rsidRDefault="00D8574B">
            <w:pPr>
              <w:pStyle w:val="P68B1DB1-Normal8"/>
              <w:spacing w:after="0" w:line="240" w:lineRule="auto"/>
              <w:jc w:val="center"/>
              <w:rPr>
                <w:rFonts w:eastAsia="Times New Roman" w:cs="Calibri"/>
                <w:noProof/>
              </w:rPr>
            </w:pPr>
            <w:r>
              <w:rPr>
                <w:noProof/>
              </w:rPr>
              <w:t>Darbojas informācijas sistēma “Uzņēmuma 2.0”</w:t>
            </w:r>
          </w:p>
        </w:tc>
        <w:tc>
          <w:tcPr>
            <w:tcW w:w="1659" w:type="dxa"/>
            <w:shd w:val="clear" w:color="auto" w:fill="C4EFCE"/>
            <w:noWrap/>
            <w:vAlign w:val="center"/>
            <w:hideMark/>
          </w:tcPr>
          <w:p w14:paraId="02355EB1"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47E5270"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0D2D7DFE"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5472196" w14:textId="77777777" w:rsidR="00776A1F" w:rsidRDefault="00D8574B">
            <w:pPr>
              <w:pStyle w:val="P68B1DB1-Normal8"/>
              <w:spacing w:after="0" w:line="240" w:lineRule="auto"/>
              <w:jc w:val="center"/>
              <w:rPr>
                <w:rFonts w:eastAsia="Times New Roman" w:cs="Calibri"/>
                <w:noProof/>
              </w:rPr>
            </w:pPr>
            <w:r>
              <w:rPr>
                <w:noProof/>
              </w:rPr>
              <w:t>1. CET.</w:t>
            </w:r>
          </w:p>
        </w:tc>
        <w:tc>
          <w:tcPr>
            <w:tcW w:w="614" w:type="dxa"/>
            <w:shd w:val="clear" w:color="auto" w:fill="C4EFCE"/>
            <w:noWrap/>
            <w:vAlign w:val="center"/>
            <w:hideMark/>
          </w:tcPr>
          <w:p w14:paraId="34E046B1" w14:textId="77777777" w:rsidR="00776A1F" w:rsidRDefault="00D8574B">
            <w:pPr>
              <w:pStyle w:val="P68B1DB1-Normal8"/>
              <w:spacing w:after="0" w:line="240" w:lineRule="auto"/>
              <w:jc w:val="center"/>
              <w:rPr>
                <w:rFonts w:eastAsia="Times New Roman" w:cs="Calibri"/>
                <w:noProof/>
              </w:rPr>
            </w:pPr>
            <w:r>
              <w:rPr>
                <w:noProof/>
              </w:rPr>
              <w:t>2024</w:t>
            </w:r>
          </w:p>
        </w:tc>
        <w:tc>
          <w:tcPr>
            <w:tcW w:w="4880" w:type="dxa"/>
            <w:shd w:val="clear" w:color="auto" w:fill="C4EFCE"/>
            <w:vAlign w:val="center"/>
            <w:hideMark/>
          </w:tcPr>
          <w:p w14:paraId="1B04CDEB" w14:textId="77777777" w:rsidR="00776A1F" w:rsidRDefault="00D8574B">
            <w:pPr>
              <w:pStyle w:val="P68B1DB1-Normal8"/>
              <w:spacing w:after="0" w:line="240" w:lineRule="auto"/>
              <w:jc w:val="both"/>
              <w:rPr>
                <w:rFonts w:eastAsia="Times New Roman" w:cs="Calibri"/>
                <w:noProof/>
              </w:rPr>
            </w:pPr>
            <w:r>
              <w:rPr>
                <w:noProof/>
              </w:rPr>
              <w:t>Informācijas sistēmas “Enterprise 2.0” darbības uzsākšana, kas ir jauna platforma, kura ietver informāciju par uzņēmumu dzīves ciklu (izveide, pārvaldība un izbeigšana).</w:t>
            </w:r>
          </w:p>
        </w:tc>
      </w:tr>
      <w:tr w:rsidR="00776A1F" w14:paraId="0A059693" w14:textId="77777777">
        <w:trPr>
          <w:trHeight w:val="1549"/>
        </w:trPr>
        <w:tc>
          <w:tcPr>
            <w:tcW w:w="1277" w:type="dxa"/>
            <w:shd w:val="clear" w:color="auto" w:fill="C4EFCE"/>
            <w:vAlign w:val="center"/>
          </w:tcPr>
          <w:p w14:paraId="4ED3BD78" w14:textId="77777777" w:rsidR="00776A1F" w:rsidRDefault="00D8574B">
            <w:pPr>
              <w:pStyle w:val="P68B1DB1-Normal7"/>
              <w:spacing w:after="0" w:line="240" w:lineRule="auto"/>
              <w:jc w:val="center"/>
              <w:rPr>
                <w:rFonts w:eastAsia="Times New Roman" w:cs="Calibri"/>
                <w:noProof/>
              </w:rPr>
            </w:pPr>
            <w:r>
              <w:rPr>
                <w:noProof/>
              </w:rPr>
              <w:t>18.7</w:t>
            </w:r>
          </w:p>
        </w:tc>
        <w:tc>
          <w:tcPr>
            <w:tcW w:w="1275" w:type="dxa"/>
            <w:shd w:val="clear" w:color="auto" w:fill="C4EFCE"/>
            <w:noWrap/>
            <w:vAlign w:val="center"/>
            <w:hideMark/>
          </w:tcPr>
          <w:p w14:paraId="2C1871B2" w14:textId="77777777" w:rsidR="00776A1F" w:rsidRDefault="00D8574B">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40CE8FFB"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F76739D" w14:textId="77777777" w:rsidR="00776A1F" w:rsidRDefault="00D8574B">
            <w:pPr>
              <w:pStyle w:val="P68B1DB1-Normal8"/>
              <w:spacing w:after="0" w:line="240" w:lineRule="auto"/>
              <w:jc w:val="center"/>
              <w:rPr>
                <w:rFonts w:eastAsia="Times New Roman" w:cs="Calibri"/>
                <w:noProof/>
              </w:rPr>
            </w:pPr>
            <w:r>
              <w:rPr>
                <w:noProof/>
              </w:rPr>
              <w:t>Jauna informācijas sistēma tiesu un prokuratūras digitālajai pārveidei</w:t>
            </w:r>
          </w:p>
        </w:tc>
        <w:tc>
          <w:tcPr>
            <w:tcW w:w="1633" w:type="dxa"/>
            <w:shd w:val="clear" w:color="auto" w:fill="C4EFCE"/>
            <w:noWrap/>
            <w:vAlign w:val="center"/>
            <w:hideMark/>
          </w:tcPr>
          <w:p w14:paraId="0E3E294D" w14:textId="77777777" w:rsidR="00776A1F" w:rsidRDefault="00D8574B">
            <w:pPr>
              <w:pStyle w:val="P68B1DB1-Normal8"/>
              <w:spacing w:after="0" w:line="240" w:lineRule="auto"/>
              <w:jc w:val="center"/>
              <w:rPr>
                <w:rFonts w:eastAsia="Times New Roman" w:cs="Calibri"/>
                <w:noProof/>
              </w:rPr>
            </w:pPr>
            <w:r>
              <w:rPr>
                <w:noProof/>
              </w:rPr>
              <w:t>Jauna informācijas sistēma tiesu un prokuratūras digitālajai pārveidei</w:t>
            </w:r>
          </w:p>
        </w:tc>
        <w:tc>
          <w:tcPr>
            <w:tcW w:w="1659" w:type="dxa"/>
            <w:shd w:val="clear" w:color="auto" w:fill="C4EFCE"/>
            <w:noWrap/>
            <w:vAlign w:val="center"/>
            <w:hideMark/>
          </w:tcPr>
          <w:p w14:paraId="01C32B98"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6C17AC"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48D4F6D4"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D0E0F97" w14:textId="77777777" w:rsidR="00776A1F" w:rsidRDefault="00D8574B">
            <w:pPr>
              <w:pStyle w:val="P68B1DB1-Normal8"/>
              <w:spacing w:after="0" w:line="240" w:lineRule="auto"/>
              <w:jc w:val="center"/>
              <w:rPr>
                <w:rFonts w:eastAsia="Times New Roman" w:cs="Calibri"/>
                <w:noProof/>
              </w:rPr>
            </w:pPr>
            <w:r>
              <w:rPr>
                <w:noProof/>
              </w:rPr>
              <w:t>4. CET.</w:t>
            </w:r>
          </w:p>
        </w:tc>
        <w:tc>
          <w:tcPr>
            <w:tcW w:w="614" w:type="dxa"/>
            <w:shd w:val="clear" w:color="auto" w:fill="C4EFCE"/>
            <w:noWrap/>
            <w:vAlign w:val="center"/>
            <w:hideMark/>
          </w:tcPr>
          <w:p w14:paraId="0F78CEE7" w14:textId="77777777" w:rsidR="00776A1F" w:rsidRDefault="00D8574B">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8A62C7E" w14:textId="2D8A6040" w:rsidR="00776A1F" w:rsidRDefault="00D8574B">
            <w:pPr>
              <w:pStyle w:val="P68B1DB1-Normal8"/>
              <w:spacing w:after="0" w:line="240" w:lineRule="auto"/>
              <w:jc w:val="both"/>
              <w:rPr>
                <w:rFonts w:eastAsia="Times New Roman" w:cs="Calibri"/>
                <w:noProof/>
              </w:rPr>
            </w:pPr>
            <w:r>
              <w:rPr>
                <w:noProof/>
              </w:rPr>
              <w:t>Jaunas informācijas sistēmas darbības uzsākšana elektroniskai tiesvedībai. Jaunā informācijas sistēma ir pieejama aptuveni 400 tiesās un prokuratūrās, lai izskatītu elektroniskās tiesvedības, kas aptver visas jurisdikcijas, procesuālos posmus (tostarp izmeklēšanu) un tiesu iestādes, un to izmanto tiesneši, prokurori, tiesu ierēdņi un pārstāvji. Visa Tiesas saziņa ar ieinteresētajām personām tiek digitalizēta.</w:t>
            </w:r>
          </w:p>
        </w:tc>
      </w:tr>
      <w:tr w:rsidR="00776A1F" w14:paraId="7596235C" w14:textId="77777777">
        <w:trPr>
          <w:trHeight w:val="420"/>
        </w:trPr>
        <w:tc>
          <w:tcPr>
            <w:tcW w:w="1277" w:type="dxa"/>
            <w:shd w:val="clear" w:color="auto" w:fill="C4EFCE"/>
            <w:vAlign w:val="center"/>
          </w:tcPr>
          <w:p w14:paraId="136E2CBE" w14:textId="77777777" w:rsidR="00776A1F" w:rsidRDefault="00D8574B">
            <w:pPr>
              <w:pStyle w:val="P68B1DB1-Normal7"/>
              <w:spacing w:after="0" w:line="240" w:lineRule="auto"/>
              <w:jc w:val="center"/>
              <w:rPr>
                <w:rFonts w:eastAsia="Times New Roman" w:cs="Calibri"/>
                <w:noProof/>
              </w:rPr>
            </w:pPr>
            <w:r>
              <w:rPr>
                <w:noProof/>
              </w:rPr>
              <w:t>18.8</w:t>
            </w:r>
          </w:p>
        </w:tc>
        <w:tc>
          <w:tcPr>
            <w:tcW w:w="1275" w:type="dxa"/>
            <w:shd w:val="clear" w:color="auto" w:fill="C4EFCE"/>
            <w:noWrap/>
            <w:vAlign w:val="center"/>
            <w:hideMark/>
          </w:tcPr>
          <w:p w14:paraId="04B7365D" w14:textId="77777777" w:rsidR="00776A1F" w:rsidRDefault="00D8574B">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03AD5040"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2AEC5F26" w14:textId="77777777" w:rsidR="00776A1F" w:rsidRDefault="00D8574B">
            <w:pPr>
              <w:pStyle w:val="P68B1DB1-Normal8"/>
              <w:spacing w:after="0" w:line="240" w:lineRule="auto"/>
              <w:jc w:val="center"/>
              <w:rPr>
                <w:rFonts w:eastAsia="Times New Roman" w:cs="Calibri"/>
                <w:noProof/>
              </w:rPr>
            </w:pPr>
            <w:r>
              <w:rPr>
                <w:noProof/>
              </w:rPr>
              <w:t xml:space="preserve">Jaunā tehnoloģiju plāna īstenošana  </w:t>
            </w:r>
          </w:p>
        </w:tc>
        <w:tc>
          <w:tcPr>
            <w:tcW w:w="1633" w:type="dxa"/>
            <w:shd w:val="clear" w:color="auto" w:fill="C4EFCE"/>
            <w:noWrap/>
            <w:vAlign w:val="center"/>
            <w:hideMark/>
          </w:tcPr>
          <w:p w14:paraId="490AFB9D" w14:textId="77777777" w:rsidR="00776A1F" w:rsidRDefault="00D8574B">
            <w:pPr>
              <w:pStyle w:val="P68B1DB1-Normal8"/>
              <w:spacing w:after="0" w:line="240" w:lineRule="auto"/>
              <w:jc w:val="center"/>
              <w:rPr>
                <w:rFonts w:eastAsia="Times New Roman" w:cs="Calibri"/>
                <w:noProof/>
              </w:rPr>
            </w:pPr>
            <w:r>
              <w:rPr>
                <w:noProof/>
              </w:rPr>
              <w:t>Jaunā tehnoloģiju plāna īstenošana</w:t>
            </w:r>
          </w:p>
        </w:tc>
        <w:tc>
          <w:tcPr>
            <w:tcW w:w="1659" w:type="dxa"/>
            <w:shd w:val="clear" w:color="auto" w:fill="C4EFCE"/>
            <w:noWrap/>
            <w:vAlign w:val="center"/>
            <w:hideMark/>
          </w:tcPr>
          <w:p w14:paraId="45638276"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590CD33"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6F1CD951"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0C9F6AE" w14:textId="77777777" w:rsidR="00776A1F" w:rsidRDefault="00D8574B">
            <w:pPr>
              <w:pStyle w:val="P68B1DB1-Normal8"/>
              <w:spacing w:after="0" w:line="240" w:lineRule="auto"/>
              <w:jc w:val="center"/>
              <w:rPr>
                <w:rFonts w:eastAsia="Times New Roman" w:cs="Calibri"/>
                <w:noProof/>
              </w:rPr>
            </w:pPr>
            <w:r>
              <w:rPr>
                <w:noProof/>
              </w:rPr>
              <w:t>4. CET.</w:t>
            </w:r>
          </w:p>
        </w:tc>
        <w:tc>
          <w:tcPr>
            <w:tcW w:w="614" w:type="dxa"/>
            <w:shd w:val="clear" w:color="auto" w:fill="C4EFCE"/>
            <w:noWrap/>
            <w:vAlign w:val="center"/>
            <w:hideMark/>
          </w:tcPr>
          <w:p w14:paraId="1F094D9A" w14:textId="77777777" w:rsidR="00776A1F" w:rsidRDefault="00D8574B">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16BB7A9B" w14:textId="77777777" w:rsidR="00776A1F" w:rsidRDefault="00D8574B">
            <w:pPr>
              <w:pStyle w:val="P68B1DB1-Normal8"/>
              <w:spacing w:after="0" w:line="240" w:lineRule="auto"/>
              <w:jc w:val="both"/>
              <w:rPr>
                <w:rFonts w:eastAsia="Times New Roman" w:cs="Calibri"/>
                <w:noProof/>
              </w:rPr>
            </w:pPr>
            <w:r>
              <w:rPr>
                <w:noProof/>
              </w:rPr>
              <w:t xml:space="preserve">Īstenot jauno tehnoloģiju plānu tieslietu aprīkojumam un infrastruktūrai, sākot darboties šādiem komponentiem: </w:t>
            </w:r>
          </w:p>
          <w:p w14:paraId="2DCE4A09" w14:textId="77777777" w:rsidR="00776A1F" w:rsidRDefault="00D8574B">
            <w:pPr>
              <w:pStyle w:val="P68B1DB1-Normal8"/>
              <w:spacing w:after="0" w:line="240" w:lineRule="auto"/>
              <w:jc w:val="both"/>
              <w:rPr>
                <w:rFonts w:eastAsia="Times New Roman" w:cs="Calibri"/>
                <w:noProof/>
              </w:rPr>
            </w:pPr>
            <w:r>
              <w:rPr>
                <w:noProof/>
              </w:rPr>
              <w:t xml:space="preserve">(a) Jauns datu centrs; </w:t>
            </w:r>
          </w:p>
          <w:p w14:paraId="5AABD6C8" w14:textId="77777777" w:rsidR="00776A1F" w:rsidRDefault="00D8574B">
            <w:pPr>
              <w:pStyle w:val="P68B1DB1-Normal8"/>
              <w:spacing w:after="0" w:line="240" w:lineRule="auto"/>
              <w:jc w:val="both"/>
              <w:rPr>
                <w:rFonts w:eastAsia="Times New Roman" w:cs="Calibri"/>
                <w:noProof/>
              </w:rPr>
            </w:pPr>
            <w:r>
              <w:rPr>
                <w:noProof/>
              </w:rPr>
              <w:t xml:space="preserve">b) Atvērto datu platforma tiesiskumam; </w:t>
            </w:r>
          </w:p>
          <w:p w14:paraId="598F4A88" w14:textId="77777777" w:rsidR="00776A1F" w:rsidRDefault="00D8574B">
            <w:pPr>
              <w:pStyle w:val="P68B1DB1-Normal8"/>
              <w:spacing w:after="0" w:line="240" w:lineRule="auto"/>
              <w:jc w:val="both"/>
              <w:rPr>
                <w:rFonts w:eastAsia="Times New Roman" w:cs="Calibri"/>
                <w:noProof/>
              </w:rPr>
            </w:pPr>
            <w:r>
              <w:rPr>
                <w:noProof/>
              </w:rPr>
              <w:t xml:space="preserve">C) Informācijas pārvaldības sistēma visām struktūrām tieslietu jomā; </w:t>
            </w:r>
          </w:p>
          <w:p w14:paraId="458BE826" w14:textId="1D3A1DA0" w:rsidR="00776A1F" w:rsidRDefault="00D8574B">
            <w:pPr>
              <w:pStyle w:val="P68B1DB1-Normal8"/>
              <w:spacing w:after="0" w:line="240" w:lineRule="auto"/>
              <w:jc w:val="both"/>
              <w:rPr>
                <w:rFonts w:eastAsia="Times New Roman" w:cs="Calibri"/>
                <w:noProof/>
              </w:rPr>
            </w:pPr>
            <w:r>
              <w:rPr>
                <w:noProof/>
              </w:rPr>
              <w:t>(d) Digitālās identitātes pārvaldība un</w:t>
            </w:r>
          </w:p>
          <w:p w14:paraId="42F2BEFF" w14:textId="12D6CA51" w:rsidR="00776A1F" w:rsidRDefault="00D8574B">
            <w:pPr>
              <w:pStyle w:val="P68B1DB1-Normal8"/>
              <w:spacing w:after="0" w:line="240" w:lineRule="auto"/>
              <w:jc w:val="both"/>
              <w:rPr>
                <w:rFonts w:eastAsia="Times New Roman" w:cs="Calibri"/>
                <w:noProof/>
              </w:rPr>
            </w:pPr>
            <w:r>
              <w:rPr>
                <w:noProof/>
              </w:rPr>
              <w:t>e) Sistēma konfiscēto līdzekļu atgūšanai un pārvaldībai tiesvedībā</w:t>
            </w:r>
          </w:p>
        </w:tc>
      </w:tr>
      <w:tr w:rsidR="00776A1F" w14:paraId="652E8888" w14:textId="77777777">
        <w:trPr>
          <w:trHeight w:val="290"/>
        </w:trPr>
        <w:tc>
          <w:tcPr>
            <w:tcW w:w="1277" w:type="dxa"/>
            <w:shd w:val="clear" w:color="auto" w:fill="C4EFCE"/>
            <w:vAlign w:val="center"/>
          </w:tcPr>
          <w:p w14:paraId="7B60AA28" w14:textId="77777777" w:rsidR="00776A1F" w:rsidRDefault="00D8574B">
            <w:pPr>
              <w:pStyle w:val="P68B1DB1-Normal7"/>
              <w:spacing w:after="0" w:line="240" w:lineRule="auto"/>
              <w:jc w:val="center"/>
              <w:rPr>
                <w:rFonts w:eastAsia="Times New Roman" w:cs="Calibri"/>
                <w:noProof/>
              </w:rPr>
            </w:pPr>
            <w:r>
              <w:rPr>
                <w:noProof/>
              </w:rPr>
              <w:t>18.9</w:t>
            </w:r>
          </w:p>
        </w:tc>
        <w:tc>
          <w:tcPr>
            <w:tcW w:w="1275" w:type="dxa"/>
            <w:shd w:val="clear" w:color="auto" w:fill="C4EFCE"/>
            <w:noWrap/>
            <w:vAlign w:val="center"/>
            <w:hideMark/>
          </w:tcPr>
          <w:p w14:paraId="466CB9EA" w14:textId="77777777" w:rsidR="00776A1F" w:rsidRDefault="00D8574B">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542529BD" w14:textId="77777777" w:rsidR="00776A1F" w:rsidRDefault="00D8574B">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30BF086F" w14:textId="77777777" w:rsidR="00776A1F" w:rsidRDefault="00D8574B">
            <w:pPr>
              <w:pStyle w:val="P68B1DB1-Normal8"/>
              <w:spacing w:after="0" w:line="240" w:lineRule="auto"/>
              <w:jc w:val="center"/>
              <w:rPr>
                <w:rFonts w:eastAsia="Times New Roman" w:cs="Calibri"/>
                <w:noProof/>
              </w:rPr>
            </w:pPr>
            <w:r>
              <w:rPr>
                <w:noProof/>
              </w:rPr>
              <w:t xml:space="preserve">Zināšanu pārvaldības platformas tieslietu jomā </w:t>
            </w:r>
          </w:p>
        </w:tc>
        <w:tc>
          <w:tcPr>
            <w:tcW w:w="1633" w:type="dxa"/>
            <w:shd w:val="clear" w:color="auto" w:fill="C4EFCE"/>
            <w:noWrap/>
            <w:vAlign w:val="center"/>
            <w:hideMark/>
          </w:tcPr>
          <w:p w14:paraId="2BB35CD2" w14:textId="77777777" w:rsidR="00776A1F" w:rsidRDefault="00D8574B">
            <w:pPr>
              <w:pStyle w:val="P68B1DB1-Normal8"/>
              <w:spacing w:after="0" w:line="240" w:lineRule="auto"/>
              <w:jc w:val="center"/>
              <w:rPr>
                <w:rFonts w:eastAsia="Times New Roman" w:cs="Calibri"/>
                <w:noProof/>
              </w:rPr>
            </w:pPr>
            <w:r>
              <w:rPr>
                <w:noProof/>
              </w:rPr>
              <w:t>Zināšanu pārvaldības platformas tieslietu jomā darbojas</w:t>
            </w:r>
          </w:p>
        </w:tc>
        <w:tc>
          <w:tcPr>
            <w:tcW w:w="1659" w:type="dxa"/>
            <w:shd w:val="clear" w:color="auto" w:fill="C4EFCE"/>
            <w:noWrap/>
            <w:vAlign w:val="center"/>
            <w:hideMark/>
          </w:tcPr>
          <w:p w14:paraId="1AFCBD9B"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D02AA90" w14:textId="77777777" w:rsidR="00776A1F" w:rsidRDefault="00D8574B">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1A564C8D" w14:textId="77777777" w:rsidR="00776A1F" w:rsidRDefault="00D8574B">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7BC388F9" w14:textId="77777777" w:rsidR="00776A1F" w:rsidRDefault="00D8574B">
            <w:pPr>
              <w:pStyle w:val="P68B1DB1-Normal8"/>
              <w:spacing w:after="0" w:line="240" w:lineRule="auto"/>
              <w:jc w:val="center"/>
              <w:rPr>
                <w:rFonts w:eastAsia="Times New Roman" w:cs="Calibri"/>
                <w:noProof/>
              </w:rPr>
            </w:pPr>
            <w:r>
              <w:rPr>
                <w:noProof/>
              </w:rPr>
              <w:t>4. CET.</w:t>
            </w:r>
          </w:p>
        </w:tc>
        <w:tc>
          <w:tcPr>
            <w:tcW w:w="614" w:type="dxa"/>
            <w:shd w:val="clear" w:color="auto" w:fill="C4EFCE"/>
            <w:noWrap/>
            <w:vAlign w:val="center"/>
            <w:hideMark/>
          </w:tcPr>
          <w:p w14:paraId="176AAACD" w14:textId="77777777" w:rsidR="00776A1F" w:rsidRDefault="00D8574B">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0610679A" w14:textId="77777777" w:rsidR="00776A1F" w:rsidRDefault="00D8574B">
            <w:pPr>
              <w:pStyle w:val="P68B1DB1-Normal8"/>
              <w:spacing w:after="0" w:line="240" w:lineRule="auto"/>
              <w:jc w:val="both"/>
              <w:rPr>
                <w:rFonts w:eastAsia="Times New Roman" w:cs="Calibri"/>
                <w:noProof/>
              </w:rPr>
            </w:pPr>
            <w:r>
              <w:rPr>
                <w:noProof/>
              </w:rPr>
              <w:t xml:space="preserve">Šādu zināšanu pārvaldības platformu darbības uzsākšana: </w:t>
            </w:r>
          </w:p>
          <w:p w14:paraId="496127DF" w14:textId="77777777" w:rsidR="00776A1F" w:rsidRDefault="00D8574B">
            <w:pPr>
              <w:pStyle w:val="P68B1DB1-Normal8"/>
              <w:spacing w:after="0" w:line="240" w:lineRule="auto"/>
              <w:jc w:val="both"/>
              <w:rPr>
                <w:rFonts w:eastAsia="Times New Roman" w:cs="Calibri"/>
                <w:noProof/>
              </w:rPr>
            </w:pPr>
            <w:r>
              <w:rPr>
                <w:noProof/>
              </w:rPr>
              <w:t>(a) Kopīgi atbalsta pakalpojumi</w:t>
            </w:r>
          </w:p>
          <w:p w14:paraId="7691DD03" w14:textId="77777777" w:rsidR="00776A1F" w:rsidRDefault="00D8574B">
            <w:pPr>
              <w:pStyle w:val="P68B1DB1-Normal8"/>
              <w:spacing w:after="0" w:line="240" w:lineRule="auto"/>
              <w:jc w:val="both"/>
              <w:rPr>
                <w:rFonts w:eastAsia="Times New Roman" w:cs="Calibri"/>
                <w:noProof/>
              </w:rPr>
            </w:pPr>
            <w:r>
              <w:rPr>
                <w:noProof/>
              </w:rPr>
              <w:t>b) Statistika un rādītāji</w:t>
            </w:r>
          </w:p>
          <w:p w14:paraId="72273524" w14:textId="66EFA231" w:rsidR="00776A1F" w:rsidRDefault="00D8574B">
            <w:pPr>
              <w:pStyle w:val="P68B1DB1-Normal8"/>
              <w:spacing w:after="0" w:line="240" w:lineRule="auto"/>
              <w:jc w:val="both"/>
              <w:rPr>
                <w:rFonts w:eastAsia="Times New Roman" w:cs="Calibri"/>
                <w:noProof/>
              </w:rPr>
            </w:pPr>
            <w:r>
              <w:rPr>
                <w:noProof/>
              </w:rPr>
              <w:t>C) Informācijas pārvaldības platforma (dokumentu pārvaldības sistēma)</w:t>
            </w:r>
          </w:p>
        </w:tc>
      </w:tr>
    </w:tbl>
    <w:p w14:paraId="1FA4212A"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4578922"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336"/>
          <w:headerReference w:type="default" r:id="rId337"/>
          <w:footerReference w:type="even" r:id="rId338"/>
          <w:footerReference w:type="default" r:id="rId339"/>
          <w:headerReference w:type="first" r:id="rId340"/>
          <w:footerReference w:type="first" r:id="rId341"/>
          <w:pgSz w:w="16839" w:h="11907" w:orient="landscape"/>
          <w:pgMar w:top="1134" w:right="1134" w:bottom="1134" w:left="1134" w:header="567" w:footer="567" w:gutter="0"/>
          <w:cols w:space="720"/>
          <w:docGrid w:linePitch="360"/>
        </w:sectPr>
      </w:pPr>
    </w:p>
    <w:p w14:paraId="2D348F08"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S. 19. KOMPONENTS: Digitālā valsts pārvalde</w:t>
      </w:r>
    </w:p>
    <w:p w14:paraId="545FE9CA" w14:textId="77777777" w:rsidR="00776A1F" w:rsidRDefault="00D8574B">
      <w:pPr>
        <w:pStyle w:val="P68B1DB1-Normal4"/>
        <w:keepNext/>
        <w:spacing w:before="40" w:after="0" w:line="259" w:lineRule="auto"/>
        <w:jc w:val="both"/>
        <w:rPr>
          <w:rFonts w:eastAsiaTheme="minorEastAsia" w:cs="Times New Roman"/>
          <w:noProof/>
        </w:rPr>
      </w:pPr>
      <w:r>
        <w:rPr>
          <w:noProof/>
        </w:rPr>
        <w:t>Šis Portugāles atveseļošanas un noturības plāna komponents risina problēmu saistībā ar nepieciešamību nodrošināt labākus, vienkāršākus un digitālākus publiskos pakalpojumus. Lai gan Portugālei ir labas iespējas sniegt digitālos pakalpojumus, prasību sadrumstalotība un dublēšanās joprojām ir galvenie šķēršļi efektīvai un uz klientu orientētai valsts pārvaldei. Šā komponenta mērķis ir risināt šīs problēmas.</w:t>
      </w:r>
    </w:p>
    <w:p w14:paraId="7E98D9F3"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Komponenta mērķis ir uzlabot sabiedriskos pakalpojumus, veicinot tehnoloģisko risinājumu izmantošanu un stiprinot tuvumu, lai iedzīvotājiem un uzņēmumiem nodrošinātu vienkāršāku, drošu, efektīvu un lietderīgu piekļuvi, samazinot konteksta izmaksas. Turklāt tās mērķis ir veicināt valsts pārvaldes efektivitāti, modernizāciju, inovāciju un pilnvērtīgu iespēju nodrošināšanu, stiprināt tās noturību, uzlabot civildienesta ierēdņu prasmes un palielināt valsts un valsts pārvaldes ieguldījumu ekonomikas un sociālajā izaugsmē un attīstībā. </w:t>
      </w:r>
    </w:p>
    <w:p w14:paraId="48EE2AE0"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 Šis komponents ir vērsts uz paradigmas “digitāls pēc definīcijas” un “tikai vienreiz” principa īstenošanu Portugāles valsts pārvaldē, vienlaikus ieguldot darbaspēka prasmju pilnveidē. </w:t>
      </w:r>
    </w:p>
    <w:p w14:paraId="73EFA6EB"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Šis komponents palīdz īstenot konkrētām valstīm adresētos ieteikumus par: </w:t>
      </w:r>
    </w:p>
    <w:p w14:paraId="4BE37384" w14:textId="77777777" w:rsidR="00776A1F" w:rsidRDefault="00D8574B">
      <w:pPr>
        <w:pStyle w:val="P68B1DB1-Normal4"/>
        <w:keepNext/>
        <w:numPr>
          <w:ilvl w:val="0"/>
          <w:numId w:val="35"/>
        </w:numPr>
        <w:spacing w:before="40" w:after="0" w:line="259" w:lineRule="auto"/>
        <w:jc w:val="both"/>
        <w:rPr>
          <w:rFonts w:eastAsiaTheme="minorEastAsia" w:cs="Times New Roman"/>
          <w:noProof/>
        </w:rPr>
      </w:pPr>
      <w:r>
        <w:rPr>
          <w:noProof/>
        </w:rPr>
        <w:t xml:space="preserve">par prioritāti noteikt izaugsmi veicinošus izdevumus (valsts īpašais ieteikums Nr. 1 2019 un 2020), izmantojot digitalizācijas radītos efektivitātes ieguvumus; </w:t>
      </w:r>
    </w:p>
    <w:p w14:paraId="6FD36964" w14:textId="77777777" w:rsidR="00776A1F" w:rsidRDefault="00D8574B">
      <w:pPr>
        <w:pStyle w:val="P68B1DB1-Normal4"/>
        <w:keepNext/>
        <w:numPr>
          <w:ilvl w:val="0"/>
          <w:numId w:val="35"/>
        </w:numPr>
        <w:spacing w:before="40" w:after="0" w:line="259" w:lineRule="auto"/>
        <w:jc w:val="both"/>
        <w:rPr>
          <w:rFonts w:eastAsiaTheme="minorEastAsia" w:cs="Times New Roman"/>
          <w:noProof/>
        </w:rPr>
      </w:pPr>
      <w:r>
        <w:rPr>
          <w:noProof/>
        </w:rPr>
        <w:t>iedzīvotāju prasmju līmeņa uzlabošana (valsts īpašais ieteikums Nr. 2 2019) attiecībā uz civildienestu;</w:t>
      </w:r>
    </w:p>
    <w:p w14:paraId="1C7F0463" w14:textId="77777777" w:rsidR="00776A1F" w:rsidRDefault="00D8574B">
      <w:pPr>
        <w:pStyle w:val="P68B1DB1-Normal4"/>
        <w:keepNext/>
        <w:numPr>
          <w:ilvl w:val="0"/>
          <w:numId w:val="35"/>
        </w:numPr>
        <w:spacing w:before="40" w:after="0" w:line="259" w:lineRule="auto"/>
        <w:jc w:val="both"/>
        <w:rPr>
          <w:rFonts w:eastAsiaTheme="minorEastAsia" w:cs="Times New Roman"/>
          <w:noProof/>
        </w:rPr>
      </w:pPr>
      <w:r>
        <w:rPr>
          <w:noProof/>
        </w:rPr>
        <w:t xml:space="preserve">investīciju koncentrēšana uz digitālo pārkārtošanos (valsts īpašais ieteikums Nr. 3 2020), ieguldot transversālās un nozaru publiskās pārvaldes sistēmās; un </w:t>
      </w:r>
    </w:p>
    <w:p w14:paraId="4FD80289" w14:textId="77777777" w:rsidR="00776A1F" w:rsidRDefault="00D8574B">
      <w:pPr>
        <w:pStyle w:val="P68B1DB1-Normal4"/>
        <w:keepNext/>
        <w:numPr>
          <w:ilvl w:val="0"/>
          <w:numId w:val="35"/>
        </w:numPr>
        <w:spacing w:before="40" w:after="0" w:line="259" w:lineRule="auto"/>
        <w:jc w:val="both"/>
        <w:rPr>
          <w:rFonts w:eastAsiaTheme="minorEastAsia" w:cs="Times New Roman"/>
          <w:noProof/>
        </w:rPr>
      </w:pPr>
      <w:r>
        <w:rPr>
          <w:noProof/>
        </w:rPr>
        <w:t xml:space="preserve">samazināt regulatīvo un administratīvo slogu uzņēmumiem (konkrētai valstij adresētais ieteikums Nr. 4 2019), vienkāršojot un padarot efektīvākas attiecības starp uzņēmumiem un publiskajām iestādēm, jo īpaši īstenojot vienreizējas iesniegšanas principu. </w:t>
      </w:r>
    </w:p>
    <w:p w14:paraId="2CE620EE" w14:textId="77777777" w:rsidR="00776A1F" w:rsidRDefault="00D8574B">
      <w:pPr>
        <w:pStyle w:val="P68B1DB1-Normal4"/>
        <w:keepNext/>
        <w:spacing w:before="40" w:after="120" w:line="259" w:lineRule="auto"/>
        <w:ind w:left="720"/>
        <w:jc w:val="both"/>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138A182A" w14:textId="77777777" w:rsidR="00776A1F" w:rsidRDefault="00D8574B">
      <w:pPr>
        <w:pStyle w:val="P68B1DB1-Normal3"/>
        <w:keepNext/>
        <w:spacing w:before="40" w:after="120" w:line="259" w:lineRule="auto"/>
        <w:ind w:left="130" w:firstLine="720"/>
        <w:jc w:val="both"/>
        <w:outlineLvl w:val="1"/>
        <w:rPr>
          <w:rFonts w:eastAsiaTheme="minorEastAsia" w:cs="Times New Roman"/>
          <w:noProof/>
        </w:rPr>
      </w:pPr>
      <w:r>
        <w:rPr>
          <w:noProof/>
        </w:rPr>
        <w:t xml:space="preserve">S.1. </w:t>
      </w:r>
      <w:r>
        <w:rPr>
          <w:noProof/>
        </w:rPr>
        <w:tab/>
        <w:t>Neatmaksājamam finansiālajam atbalstam pieteikto reformu un investīciju apraksts</w:t>
      </w:r>
    </w:p>
    <w:p w14:paraId="33CDC499"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TD-r34 reforma: Digitāli, vienkārši, iekļaujoši un droši publiskie pakalpojumi iedzīvotājiem un uzņēmumiem </w:t>
      </w:r>
    </w:p>
    <w:p w14:paraId="77FBE40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Reformas mērķis ir ieviest paradigmu “digitāls pēc definīcijas” sabiedriskajos pakalpojumos, lai to vairāk orientētu uz lietotājiem, palielinātu pieejamību un samazinātu administratīvo slogu iedzīvotājiem un uzņēmumiem, tostarp paļaujoties uz mākoņpakalpojumu izmantošanu. </w:t>
      </w:r>
    </w:p>
    <w:p w14:paraId="1568584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 ietver tādu pasākumu īstenošanu, kuru mērķis ir nodrošināt, ka ir ieviests nepieciešamais tiesiskais regulējums digitālajai pārejai, jo īpaši vienotās digitālās vārtejas un vienreizējas iesniegšanas principa īstenošanai, izmantojot koordinētu procesu starp publiskām struktūrām, kas nostiprinātas stratēģijā un rīcības plānā digitālajai pārveidei publiskajā pārvaldē 2021.–2023. gadam un 2024.–2026. gadam, vienlaikus īstenojot nepieciešamos informācijas drošības aizsardzības pasākumus, tostarp tos, kas attiecas uz kiberdrošību. </w:t>
      </w:r>
    </w:p>
    <w:p w14:paraId="5F0EA2EF" w14:textId="12627A6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2021. gada 30. septembrim.</w:t>
      </w:r>
    </w:p>
    <w:p w14:paraId="66FE78DD"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4F8D8530"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TD-r35 reforma: Valsts pārvaldes funkcionālā un organizatoriskā reforma</w:t>
      </w:r>
    </w:p>
    <w:p w14:paraId="033B5E87"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Šīs reformas mērķis ir pārstrukturēt un racionalizēt sabiedriskos pakalpojumus, lai veicinātu modernu un efektīvāku valsts pārvaldi, izmantojot arī sinerģijas priekšrocības, kas izriet no TD-r34 reformas īstenošanas. Pašlaik centrālās valdības departamentos pastāv izkliedētība un atlaišana, kā rezultātā ministriju dienesti atkārtojas, un publiskajā sektorā ir augsts darba sniegšanas modeļu neelastības līmenis, kas balstās uz stingrām komandķēdēm un noved pie nevajadzīgas birokrātiskas pieejas. </w:t>
      </w:r>
    </w:p>
    <w:p w14:paraId="17A61D9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Ar šo reformu pārskata valsts un valsts pārvaldes darbības modeli kopumā, lai uzlabotu sinerģiju un izmantotu tehnoloģiju radītās iespējas. Tas ietver kopīgu un kopīgu pakalpojumu centralizāciju, vēršanos pret izkliedētību un dublēšanos centrālās valdības departamentos, nozaru tiešās un netiešās valsts pārvaldes struktūru pienācīgu specializāciju pa kompetences jomām, kritiski svarīgu funkciju specializāciju valdības darbības atbalstam un valdības biroju koncentrēšanu vienā fiziskā telpā, kā arī iekšējās revīzijas un kritēriju veicināšanu, procesa efektivitāti, pastāvīgu uzlabošanu un augstākās vadības prakses izplatīšanu starp valsts pārvaldes struktūrām. Šo reformu veic, izveidojot misijas struktūru (uzdevumgrupu), lai diagnosticētu un izstrādātu valsts centrālo dienestu reorganizācijas plānu, ko finansē saskaņā ar TD-C19-i07. </w:t>
      </w:r>
    </w:p>
    <w:p w14:paraId="5AC9D457"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Reformas īstenošanu pabeidz līdz 2023. gada 31. decembrim. </w:t>
      </w:r>
    </w:p>
    <w:p w14:paraId="0BE3FE14"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TD-r36 reforma: Valsts pārvalde, kas pilnvarota radīt sabiedrisko vērtību</w:t>
      </w:r>
    </w:p>
    <w:p w14:paraId="4496EB08" w14:textId="77777777" w:rsidR="00776A1F" w:rsidRDefault="00D8574B">
      <w:pPr>
        <w:pStyle w:val="P68B1DB1-Normal4"/>
        <w:keepNext/>
        <w:spacing w:before="40" w:after="0" w:line="259" w:lineRule="auto"/>
        <w:jc w:val="both"/>
        <w:rPr>
          <w:rFonts w:eastAsiaTheme="minorEastAsia" w:cs="Times New Roman"/>
          <w:noProof/>
        </w:rPr>
      </w:pPr>
      <w:r>
        <w:rPr>
          <w:noProof/>
        </w:rPr>
        <w:t>Šī reforma ir vērsta uz civildienesta ierēdņu prasmju pilnveidi, tostarp attiecībā uz viņu digitālajām prasmēm, un ievieš jaunus darba modeļus (proti, tāldarbu). Šī reforma atbilst 6. komponentā paredzētajiem pasākumiem.</w:t>
      </w:r>
    </w:p>
    <w:p w14:paraId="6CC35A5C"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Šī reforma, kas atspoguļota 2020. gada jūlija Valsts un valsts pārvaldes inovācijas un modernizācijas stratēģijā, stiprina civildienesta ierēdņu un vadības vadības vadības un apmācības struktūru, izveidojot struktūru mācību pasākumu koordinēšanai ( </w:t>
      </w:r>
      <w:r>
        <w:rPr>
          <w:i/>
          <w:noProof/>
        </w:rPr>
        <w:t>Instituto Nacional de Administração</w:t>
      </w:r>
      <w:r>
        <w:rPr>
          <w:noProof/>
        </w:rPr>
        <w:t xml:space="preserve">), kas pārvalda gan padziļinātu mācību, piemēram, vadības prasmju, datu zinātnes, specializācijas kursu, veicināšanu, gan padziļinot </w:t>
      </w:r>
      <w:r>
        <w:rPr>
          <w:i/>
          <w:noProof/>
        </w:rPr>
        <w:t>Qualifica AP</w:t>
      </w:r>
      <w:r>
        <w:rPr>
          <w:noProof/>
        </w:rPr>
        <w:t xml:space="preserve"> programmu, lai īstermiņā/vidējā termiņā paaugstinātu valsts ierēdņu kvalifikācijas līmeni. Vienlaikus šīs reformas mērķis ir izmantot tāldarba potenciālu civildienestā.</w:t>
      </w:r>
    </w:p>
    <w:p w14:paraId="1D6E6E11" w14:textId="77777777" w:rsidR="00776A1F" w:rsidRDefault="00D8574B">
      <w:pPr>
        <w:pStyle w:val="P68B1DB1-Normal4"/>
        <w:keepNext/>
        <w:spacing w:before="40" w:after="0" w:line="259" w:lineRule="auto"/>
        <w:jc w:val="both"/>
        <w:rPr>
          <w:rFonts w:eastAsiaTheme="minorEastAsia" w:cs="Times New Roman"/>
          <w:noProof/>
        </w:rPr>
      </w:pPr>
      <w:r>
        <w:rPr>
          <w:noProof/>
        </w:rPr>
        <w:t>Tas ir cieši saistīts ar ieguldījumu TD-C19-i07 — Iespēju nodrošināšana valsts pārvaldē, kas paredz digitālās kapacitātes programmas, profesionālās prakses programmas, augstāku un padziļinātu vadības apmācību un civildienesta ierēdņu prasmju uzlabošanu kopumā.</w:t>
      </w:r>
    </w:p>
    <w:p w14:paraId="3081325B"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Reformas īstenošanu pabeidz līdz 2021. gada 30. jūnijam. </w:t>
      </w:r>
    </w:p>
    <w:p w14:paraId="67759F07"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Ieguldījums TD-C19-i01: Sabiedrisko un konsulāro dienestu pārveidošana </w:t>
      </w:r>
    </w:p>
    <w:p w14:paraId="2662C4CF" w14:textId="77777777" w:rsidR="00776A1F" w:rsidRDefault="00D8574B">
      <w:pPr>
        <w:pStyle w:val="P68B1DB1-Normal4"/>
        <w:keepNext/>
        <w:spacing w:before="40" w:after="0" w:line="259" w:lineRule="auto"/>
        <w:jc w:val="both"/>
        <w:rPr>
          <w:rFonts w:eastAsiaTheme="minorEastAsia" w:cs="Times New Roman"/>
          <w:noProof/>
        </w:rPr>
      </w:pPr>
      <w:r>
        <w:rPr>
          <w:noProof/>
        </w:rPr>
        <w:t>Šā ieguldījuma mērķis ir īstenot digitālo paradigmu ieinteresēto personu un Portugāles valsts pārvaldes mijiedarbībā ar mērķi palielināt efektivitāti un samazināt birokrātiju. Tā mērķis ir arī palielināt konsulāro pakalpojumu efektivitāti un nodrošināt Ārlietu ministrijas kontrolē esošo struktūru digitālo pārkārtošanos.</w:t>
      </w:r>
    </w:p>
    <w:p w14:paraId="522C313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Ar šo pasākumu pārstrādā publisko un konsulāro dienestu kontaktpunktu, izveidojot visaptverošas reaģēšanas spējas (vienota digitālā vārteja, zvanu centrs un personīgie pakalpojumi) apvienojumā ar transversālas pārvaldības sistēmu, izmantojot mākoņdatošanu un 5G tīklu izmantošanu, lai ieviestu jauninājumus, uzlabotu kvalitāti un samazinātu asimetriju sabiedrisko pakalpojumu sniegšanā. </w:t>
      </w:r>
    </w:p>
    <w:p w14:paraId="3624F6F1" w14:textId="47138042" w:rsidR="00776A1F" w:rsidRDefault="00D8574B">
      <w:pPr>
        <w:pStyle w:val="P68B1DB1-Normal4"/>
        <w:keepNext/>
        <w:spacing w:before="40" w:after="0" w:line="259" w:lineRule="auto"/>
        <w:jc w:val="both"/>
        <w:rPr>
          <w:rFonts w:eastAsiaTheme="minorEastAsia" w:cs="Times New Roman"/>
          <w:noProof/>
        </w:rPr>
      </w:pPr>
      <w:r>
        <w:rPr>
          <w:noProof/>
        </w:rPr>
        <w:t xml:space="preserve">Šis ieguldījums ietver arī jaunu </w:t>
      </w:r>
      <w:r>
        <w:rPr>
          <w:i/>
          <w:noProof/>
        </w:rPr>
        <w:t>Espaços cidadão</w:t>
      </w:r>
      <w:r>
        <w:rPr>
          <w:noProof/>
        </w:rPr>
        <w:t xml:space="preserve"> un </w:t>
      </w:r>
      <w:r>
        <w:rPr>
          <w:i/>
          <w:noProof/>
        </w:rPr>
        <w:t>Lojas do Cidadão</w:t>
      </w:r>
      <w:r>
        <w:rPr>
          <w:noProof/>
        </w:rPr>
        <w:t xml:space="preserve"> izveidi jaunās energoefektīvās telpās. </w:t>
      </w:r>
    </w:p>
    <w:p w14:paraId="432248CD" w14:textId="4667BC5C"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2026. gada 30. jūnijam.</w:t>
      </w:r>
    </w:p>
    <w:p w14:paraId="154FC4BB"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TD-C19-i02: Ilgtspējīgi elektroniskie pakalpojumi</w:t>
      </w:r>
      <w:r>
        <w:rPr>
          <w:i/>
          <w:noProof/>
        </w:rPr>
        <w:t xml:space="preserve"> </w:t>
      </w:r>
    </w:p>
    <w:p w14:paraId="303AEEC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Šā ieguldījuma mērķis ir sniegt nepieciešamo atbalsta biroja atbalstu iepriekšējiem ieguldījumiem, un tā mērķis ir stiprināt datu valorizāciju un izmantošanu sabiedriskajos dienestos, stiprināt sadarbspēju un datu kopīgošanu, kā arī sadarbspēju ar ārējām struktūrām un pāri robežām (savienojums ar Eiropas vienoto datu portālu). </w:t>
      </w:r>
    </w:p>
    <w:p w14:paraId="5FE6647D" w14:textId="4C63475B" w:rsidR="00776A1F" w:rsidRDefault="00D8574B">
      <w:pPr>
        <w:pStyle w:val="P68B1DB1-Normal4"/>
        <w:keepNext/>
        <w:spacing w:before="40" w:after="0" w:line="259" w:lineRule="auto"/>
        <w:jc w:val="both"/>
        <w:rPr>
          <w:rFonts w:eastAsiaTheme="minorEastAsia" w:cs="Times New Roman"/>
          <w:noProof/>
        </w:rPr>
      </w:pPr>
      <w:r>
        <w:rPr>
          <w:noProof/>
        </w:rPr>
        <w:t>Šā ieguldījuma pamatā ir reforma TD-r34, lai izveidotu valsts pārvaldes datu ekosistēmas koordinētu pārvaldību, iekļaujot drošus identifikācijas risinājumus, datu piekļuves kontroles mehānismus un statistikas informāciju. Tā veicina publisko iestāžu savākto datu atkalizmantošanu, īstenojot vienreizējas iesniegšanas principu, paļaujoties uz IT sistēmu sadarbspēju un integrāciju un paplašinot elektroniskās identifikācijas risinājumu izmantošanu. Turklāt tā veicina atvērtos datus un datu pieejamību pētniecības vajadzībām, vienlaikus veicinot datu zinātnes prasmes.</w:t>
      </w:r>
    </w:p>
    <w:p w14:paraId="24A9EB59"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2026. gada 31. martam.</w:t>
      </w:r>
    </w:p>
    <w:p w14:paraId="25B68A4D"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TD-C19-i03: Vispārējā kiberdrošības satvara stiprināšana </w:t>
      </w:r>
    </w:p>
    <w:p w14:paraId="66E4850F" w14:textId="77777777" w:rsidR="00776A1F" w:rsidRDefault="00D8574B">
      <w:pPr>
        <w:pStyle w:val="P68B1DB1-Normal4"/>
        <w:keepNext/>
        <w:spacing w:before="40" w:after="0" w:line="259" w:lineRule="auto"/>
        <w:jc w:val="both"/>
        <w:rPr>
          <w:rFonts w:eastAsiaTheme="minorEastAsia" w:cs="Times New Roman"/>
          <w:noProof/>
        </w:rPr>
      </w:pPr>
      <w:r>
        <w:rPr>
          <w:noProof/>
        </w:rPr>
        <w:t>Šā ieguldījuma mērķis ir uzlabot tiešsaistes datu informācijas drošības standartus un procedūras. Ieguldījums ir saistīts ar ieguldījumiem TD-C19-i01 un TD-C19-i02.</w:t>
      </w:r>
    </w:p>
    <w:p w14:paraId="67D18F87" w14:textId="77777777" w:rsidR="00776A1F" w:rsidRDefault="00D8574B">
      <w:pPr>
        <w:pStyle w:val="P68B1DB1-Normal4"/>
        <w:keepNext/>
        <w:spacing w:before="40" w:after="0" w:line="259" w:lineRule="auto"/>
        <w:jc w:val="both"/>
        <w:rPr>
          <w:rFonts w:eastAsiaTheme="minorEastAsia" w:cs="Times New Roman"/>
          <w:noProof/>
        </w:rPr>
      </w:pPr>
      <w:r>
        <w:rPr>
          <w:noProof/>
        </w:rPr>
        <w:t>Šā pasākuma mērķis ir uzlabot valstu iespējas kiberdrošības un informācijas drošības jomā un radīt fiziskus un tehnoloģiskus apstākļus jauna kiberdrošības un informācijas drošības koordinācijas modeļa īstenošanai un īstenošanai. Tajā ietver četrus pasākumus:</w:t>
      </w:r>
    </w:p>
    <w:p w14:paraId="6D7C0A47"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Palielināt spēju veidošanu kiberdrošības un informācijas drošības jomā, izveidojot kompetences centrus kiberdrošības risinājumu izstrādei MVU un valsts pārvaldei; </w:t>
      </w:r>
    </w:p>
    <w:p w14:paraId="4AA336A2"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Uzlabot informācijas aprites cikla pārvaldības drošību, attīstot valsts kriptogrāfijas spējas un kontroli pār klasificētu informāciju;</w:t>
      </w:r>
    </w:p>
    <w:p w14:paraId="7273D3F8" w14:textId="0A1AA4AB"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Īstenot valsts kiberdrošības atsauces satvaru (atbilstoši reformai TD-r34), tostarp akreditēt struktūras (saskaņojot 16. komponentā iekļautos pasākumus un izmantojot tos); un</w:t>
      </w:r>
    </w:p>
    <w:p w14:paraId="6097B93E" w14:textId="77777777" w:rsidR="00776A1F" w:rsidRDefault="00D8574B">
      <w:pPr>
        <w:pStyle w:val="P68B1DB1-Normal4"/>
        <w:keepNext/>
        <w:numPr>
          <w:ilvl w:val="0"/>
          <w:numId w:val="35"/>
        </w:numPr>
        <w:spacing w:before="40" w:after="160" w:line="259" w:lineRule="auto"/>
        <w:contextualSpacing/>
        <w:jc w:val="both"/>
        <w:rPr>
          <w:rFonts w:eastAsiaTheme="minorEastAsia" w:cs="Times New Roman"/>
          <w:noProof/>
        </w:rPr>
      </w:pPr>
      <w:r>
        <w:rPr>
          <w:noProof/>
        </w:rPr>
        <w:t>Radīt fiziskus un tehnoloģiskus apstākļus jaunā kiberdrošības un informācijas drošības koordinācijas modeļa īstenošanai (ar pilnībā pilnvarotām attiecīgajām jaunajām iestādēm).</w:t>
      </w:r>
    </w:p>
    <w:p w14:paraId="37AA6BF2"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2026. gada 31. martam.</w:t>
      </w:r>
    </w:p>
    <w:p w14:paraId="1FFBF663"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TD-C19-i04: Efektīva, droša un kopīga kritiskā digitālā infrastruktūra </w:t>
      </w:r>
    </w:p>
    <w:p w14:paraId="2027F4C8" w14:textId="77777777" w:rsidR="00776A1F" w:rsidRDefault="00D8574B">
      <w:pPr>
        <w:pStyle w:val="P68B1DB1-Normal4"/>
        <w:keepNext/>
        <w:spacing w:before="40" w:after="0" w:line="259" w:lineRule="auto"/>
        <w:jc w:val="both"/>
        <w:rPr>
          <w:rFonts w:eastAsiaTheme="minorEastAsia" w:cs="Times New Roman"/>
          <w:noProof/>
        </w:rPr>
      </w:pPr>
      <w:r>
        <w:rPr>
          <w:noProof/>
        </w:rPr>
        <w:t>Šā ieguldījuma mērķis ir palielināt kritisko digitālo infrastruktūru, proti, ārkārtas un drošības sakaru tīklu, kā arī valdības datortīkla (RING) noturību.</w:t>
      </w:r>
    </w:p>
    <w:p w14:paraId="37E654B4" w14:textId="77777777" w:rsidR="00776A1F" w:rsidRDefault="00D8574B">
      <w:pPr>
        <w:pStyle w:val="P68B1DB1-Normal4"/>
        <w:keepNext/>
        <w:spacing w:before="40" w:after="0" w:line="259" w:lineRule="auto"/>
        <w:jc w:val="both"/>
        <w:rPr>
          <w:rFonts w:eastAsiaTheme="minorEastAsia" w:cs="Times New Roman"/>
          <w:noProof/>
        </w:rPr>
      </w:pPr>
      <w:r>
        <w:rPr>
          <w:noProof/>
        </w:rPr>
        <w:t>Šis ieguldījums ir vērsts uz valdības IT tīklu, uzlabo valsts ārkārtas situāciju sakaru tīkla un valsts iekšējās drošības tīkla pārklājumu un jaudu un pārskata informācijas sistēmu un drošības spēku procesu arhitektūru. Tas iekļauj:</w:t>
      </w:r>
    </w:p>
    <w:p w14:paraId="1A4C5223" w14:textId="77777777" w:rsidR="00776A1F" w:rsidRDefault="00D8574B">
      <w:pPr>
        <w:pStyle w:val="P68B1DB1-Normal4"/>
        <w:keepNext/>
        <w:numPr>
          <w:ilvl w:val="0"/>
          <w:numId w:val="53"/>
        </w:numPr>
        <w:spacing w:before="40" w:after="160" w:line="259" w:lineRule="auto"/>
        <w:contextualSpacing/>
        <w:jc w:val="both"/>
        <w:rPr>
          <w:rFonts w:eastAsiaTheme="minorEastAsia" w:cs="Times New Roman"/>
          <w:noProof/>
        </w:rPr>
      </w:pPr>
      <w:r>
        <w:rPr>
          <w:noProof/>
        </w:rPr>
        <w:t xml:space="preserve">Tehnoloģiju sistēmu atjaunošana robežu pārvaldībai un kontrolei, policijas un tiesu iestāžu sadarbībai; </w:t>
      </w:r>
    </w:p>
    <w:p w14:paraId="7CF7CCE5" w14:textId="77777777" w:rsidR="00776A1F" w:rsidRDefault="00D8574B">
      <w:pPr>
        <w:pStyle w:val="P68B1DB1-Normal4"/>
        <w:keepNext/>
        <w:numPr>
          <w:ilvl w:val="0"/>
          <w:numId w:val="53"/>
        </w:numPr>
        <w:spacing w:before="40" w:after="160" w:line="259" w:lineRule="auto"/>
        <w:contextualSpacing/>
        <w:jc w:val="both"/>
        <w:rPr>
          <w:rFonts w:eastAsiaTheme="minorEastAsia" w:cs="Times New Roman"/>
          <w:noProof/>
        </w:rPr>
      </w:pPr>
      <w:r>
        <w:rPr>
          <w:noProof/>
        </w:rPr>
        <w:t>Operatīvo centru projekts 112 — atjauninājums, lai ņemtu vērā jaunus standartus (jaunā paaudze 112);</w:t>
      </w:r>
    </w:p>
    <w:p w14:paraId="497C78A2" w14:textId="77777777" w:rsidR="00776A1F" w:rsidRDefault="00D8574B">
      <w:pPr>
        <w:pStyle w:val="P68B1DB1-Normal4"/>
        <w:keepNext/>
        <w:numPr>
          <w:ilvl w:val="0"/>
          <w:numId w:val="53"/>
        </w:numPr>
        <w:spacing w:before="40" w:after="160" w:line="259" w:lineRule="auto"/>
        <w:contextualSpacing/>
        <w:jc w:val="both"/>
        <w:rPr>
          <w:rFonts w:eastAsiaTheme="minorEastAsia" w:cs="Times New Roman"/>
          <w:noProof/>
        </w:rPr>
      </w:pPr>
      <w:r>
        <w:rPr>
          <w:noProof/>
        </w:rPr>
        <w:t>Valsts iekšējās drošības tīkla projekts — IT arhitektūras sistēmu un tehnoloģisko rīku piemērotība un jauna datu centra izveide un darbības uzsākšana;</w:t>
      </w:r>
    </w:p>
    <w:p w14:paraId="472CBA0A" w14:textId="77777777" w:rsidR="00776A1F" w:rsidRDefault="00D8574B">
      <w:pPr>
        <w:pStyle w:val="P68B1DB1-Normal4"/>
        <w:keepNext/>
        <w:numPr>
          <w:ilvl w:val="0"/>
          <w:numId w:val="53"/>
        </w:numPr>
        <w:spacing w:before="40" w:after="160" w:line="259" w:lineRule="auto"/>
        <w:contextualSpacing/>
        <w:jc w:val="both"/>
        <w:rPr>
          <w:rFonts w:eastAsiaTheme="minorEastAsia" w:cs="Times New Roman"/>
          <w:noProof/>
        </w:rPr>
      </w:pPr>
      <w:r>
        <w:rPr>
          <w:noProof/>
        </w:rPr>
        <w:t>Valsts ārkārtas sakaru tīkla (SIRESP) projekts — ieguldījums ietver SIRESP zemes infrastruktūras (pamata) tehnoloģijas izmaiņu veicināšanu no E1 uz IP (Interneta protokols), ar SIRESP saistītu informācijas sistēmu atkopšanas centra izveidi, kā arī hercistu staru kūļu ieviešanu dažās tīkla vietās, aizstājot vara un optiskās šķiedras savienojumus, lai nodrošinātu dublēšanas sistēmu;</w:t>
      </w:r>
    </w:p>
    <w:p w14:paraId="19E9EDA6" w14:textId="77777777" w:rsidR="00776A1F" w:rsidRDefault="00D8574B">
      <w:pPr>
        <w:pStyle w:val="P68B1DB1-Normal4"/>
        <w:keepNext/>
        <w:numPr>
          <w:ilvl w:val="0"/>
          <w:numId w:val="53"/>
        </w:numPr>
        <w:spacing w:before="40" w:after="160" w:line="259" w:lineRule="auto"/>
        <w:contextualSpacing/>
        <w:jc w:val="both"/>
        <w:rPr>
          <w:rFonts w:eastAsiaTheme="minorEastAsia" w:cs="Times New Roman"/>
          <w:noProof/>
        </w:rPr>
      </w:pPr>
      <w:r>
        <w:rPr>
          <w:noProof/>
        </w:rPr>
        <w:t>Kopīgu pakalpojumu ieviešana drošības spēkos un pakalpojumos, darba ņēmēju atlaišanas novēršana tehniskajos procesos, kopēju sistēmu izveide un darbības izmaksu samazināšana; un</w:t>
      </w:r>
    </w:p>
    <w:p w14:paraId="3E4EAEE1" w14:textId="77777777" w:rsidR="00776A1F" w:rsidRDefault="00D8574B">
      <w:pPr>
        <w:pStyle w:val="P68B1DB1-Normal4"/>
        <w:keepNext/>
        <w:numPr>
          <w:ilvl w:val="0"/>
          <w:numId w:val="53"/>
        </w:numPr>
        <w:spacing w:before="40" w:after="160" w:line="259" w:lineRule="auto"/>
        <w:contextualSpacing/>
        <w:jc w:val="both"/>
        <w:rPr>
          <w:rFonts w:eastAsiaTheme="minorEastAsia" w:cs="Times New Roman"/>
          <w:noProof/>
        </w:rPr>
      </w:pPr>
      <w:r>
        <w:rPr>
          <w:noProof/>
        </w:rPr>
        <w:t>Gredzens — valdības IT tīkla pārvaldības centra tehnoloģiskās infrastruktūras un informācijas sistēmu atjaunošana un attīstība, darbinieku apmācība, integrētas multivides sistēmas nodrošināšana, drošas sakaru sistēmas un pārvaldība.</w:t>
      </w:r>
    </w:p>
    <w:p w14:paraId="6B97C2B4"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2026. gada 31. martam.</w:t>
      </w:r>
    </w:p>
    <w:p w14:paraId="381572D8" w14:textId="1EFC180A"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TD-C19-i05-RAM: Madeiras publiskās pārvaldes digitālā pārkārtošanās </w:t>
      </w:r>
    </w:p>
    <w:p w14:paraId="29E3A143" w14:textId="77777777" w:rsidR="00776A1F" w:rsidRDefault="00D8574B">
      <w:pPr>
        <w:pStyle w:val="P68B1DB1-Normal4"/>
        <w:keepNext/>
        <w:spacing w:before="40" w:after="0" w:line="22" w:lineRule="atLeast"/>
        <w:jc w:val="both"/>
        <w:rPr>
          <w:rFonts w:eastAsiaTheme="minorEastAsia" w:cs="Times New Roman"/>
          <w:noProof/>
        </w:rPr>
      </w:pPr>
      <w:r>
        <w:rPr>
          <w:noProof/>
        </w:rPr>
        <w:t xml:space="preserve">Šo investīciju mērķis ir nodrošināt noturīgāku valsts pārvaldi, padarot digitālās tehnoloģijas pieejamas sabiedrisko pakalpojumu sniegšanai. </w:t>
      </w:r>
    </w:p>
    <w:p w14:paraId="62BFA60F" w14:textId="00FFE6EC" w:rsidR="00776A1F" w:rsidRDefault="00D8574B">
      <w:pPr>
        <w:pStyle w:val="P68B1DB1-Normal4"/>
        <w:keepNext/>
        <w:spacing w:after="160" w:line="22" w:lineRule="atLeast"/>
        <w:jc w:val="both"/>
        <w:rPr>
          <w:rFonts w:eastAsia="Times New Roman" w:cs="Times New Roman"/>
          <w:noProof/>
        </w:rPr>
      </w:pPr>
      <w:r>
        <w:rPr>
          <w:noProof/>
        </w:rPr>
        <w:t>Šis ieguldījums atbilst pieejai, kas pieņemta ieguldījumos TD-C19-i01 līdz i03, kuras mērķis ir modernizēt kritisko infrastruktūru un IT arhitektūru, padarīt digitālos rīkus pieejamus atbilstoši valsts pārvaldes un iedzīvotāju vajadzībām, uzlabot cilvēkresursu prasmes (jo īpaši digitālo prasmju jomā), omnikāna publisko pakalpojumu pieejamību un sadarbspēju un savienojamību. Šis pasākums nodrošina reģiona valsts pārvaldes iestādēm infrastruktūru, rīkus, pakalpojumu sadarbspēju un zinātību, lai nodrošinātu digitālo publisko pakalpojumu sniegšanu. Ar pasākumu izstrādā arī centralizētu datu pārvaldības risinājumu.</w:t>
      </w:r>
    </w:p>
    <w:p w14:paraId="647A856E"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30. jūnijam.</w:t>
      </w:r>
    </w:p>
    <w:p w14:paraId="4B5DBC4E" w14:textId="722653DB"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TD-C19-i06-RAA: Azoru salu valsts pārvaldes digitālā pārkārtošanās </w:t>
      </w:r>
    </w:p>
    <w:p w14:paraId="660DD307" w14:textId="77777777" w:rsidR="00776A1F" w:rsidRDefault="00D8574B">
      <w:pPr>
        <w:pStyle w:val="P68B1DB1-Normal4"/>
        <w:keepNext/>
        <w:spacing w:before="40" w:after="0" w:line="259" w:lineRule="auto"/>
        <w:jc w:val="both"/>
        <w:rPr>
          <w:rFonts w:eastAsiaTheme="minorEastAsia" w:cs="Times New Roman"/>
          <w:noProof/>
        </w:rPr>
      </w:pPr>
      <w:r>
        <w:rPr>
          <w:noProof/>
        </w:rPr>
        <w:t>Šo investīciju mērķis ir atbalstīt publiskā sektora digitālo pārkārtošanos un samazināt administratīvo slogu, lai iedzīvotājiem un uzņēmumiem sniegtu labākus sabiedriskos pakalpojumus.</w:t>
      </w:r>
    </w:p>
    <w:p w14:paraId="3B659374" w14:textId="744A928B" w:rsidR="00776A1F" w:rsidRDefault="00D8574B">
      <w:pPr>
        <w:pStyle w:val="P68B1DB1-Normal4"/>
        <w:keepNext/>
        <w:spacing w:before="40" w:after="0" w:line="259" w:lineRule="auto"/>
        <w:jc w:val="both"/>
        <w:rPr>
          <w:rFonts w:eastAsiaTheme="minorEastAsia" w:cs="Times New Roman"/>
          <w:noProof/>
        </w:rPr>
      </w:pPr>
      <w:r>
        <w:rPr>
          <w:noProof/>
        </w:rPr>
        <w:t>Šis pasākums atbalsta sabiedrisko pakalpojumu digitālo pārkārtošanos, arī saskaņā ar visaptverošu pieeju, paļaujoties uz sadarbspējīgiem digitālajiem pakalpojumiem, ja darījumu pakalpojumi ir pieejami tiešsaistē. Tā pārstrādā sabiedriskos pakalpojumus, lai nodrošinātu vienkāršākus un dinamiskākus pakalpojumus, un uzlabo tehnoloģiskos apstākļus darbvietu dematerializācijai civildienestā, nodrošinot virtuālu darba vidi un personāla apmācību (piemēram, digitālās prasmes, vadību un sadarbību). Lai nodrošinātu datu drošību, izveido kiberdrošības operāciju centru.</w:t>
      </w:r>
    </w:p>
    <w:p w14:paraId="42D68FCC"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3C5769F7"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TD-C19-i07: Valsts pārvalde, kas pilnvarota radīt sabiedrisko vērtību</w:t>
      </w:r>
    </w:p>
    <w:p w14:paraId="0088EEF1" w14:textId="77777777" w:rsidR="00776A1F" w:rsidRDefault="00D8574B">
      <w:pPr>
        <w:pStyle w:val="P68B1DB1-Normal4"/>
        <w:keepNext/>
        <w:spacing w:before="40" w:after="0" w:line="259" w:lineRule="auto"/>
        <w:jc w:val="both"/>
        <w:rPr>
          <w:rFonts w:eastAsiaTheme="minorEastAsia" w:cs="Times New Roman"/>
          <w:noProof/>
        </w:rPr>
      </w:pPr>
      <w:r>
        <w:rPr>
          <w:noProof/>
        </w:rPr>
        <w:t>Šā ieguldījuma mērķis ir nodrošināt, ka civildienestam ir nepieciešamā zinātība, jo īpaši attiecībā uz vadības prasmēm un tehnoloģijām, lai sabiedrībai sniegtu augstas kvalitātes pakalpojumus.</w:t>
      </w:r>
    </w:p>
    <w:p w14:paraId="20434E99" w14:textId="6144F8EC" w:rsidR="00776A1F" w:rsidRDefault="00D8574B">
      <w:pPr>
        <w:pStyle w:val="P68B1DB1-Normal4"/>
        <w:keepNext/>
        <w:spacing w:before="40" w:after="0" w:line="259" w:lineRule="auto"/>
        <w:jc w:val="both"/>
        <w:rPr>
          <w:rFonts w:eastAsiaTheme="minorEastAsia" w:cs="Times New Roman"/>
          <w:noProof/>
        </w:rPr>
      </w:pPr>
      <w:r>
        <w:rPr>
          <w:noProof/>
        </w:rPr>
        <w:t>Šā ieguldījuma mērķis ir izstrādāt apmācības piedāvājumu valsts pārvaldes darbiniekiem un vadītājiem, veicināt talantu piesaisti, piedāvājot stažēšanās programmas un veicinot tāldarbu. Jo īpaši tā ietver digitālas veicinošas programmas, augstāku un padziļinātu vadības apmācību un civildienesta ierēdņu vispārējo apmācību un kvalifikācijas celšanu.</w:t>
      </w:r>
    </w:p>
    <w:p w14:paraId="512AFC27" w14:textId="77777777" w:rsidR="00776A1F" w:rsidRDefault="00D8574B">
      <w:pPr>
        <w:pStyle w:val="P68B1DB1-Normal4"/>
        <w:keepNext/>
        <w:spacing w:before="40" w:after="0" w:line="259" w:lineRule="auto"/>
        <w:jc w:val="both"/>
        <w:rPr>
          <w:rFonts w:eastAsiaTheme="minorEastAsia" w:cs="Times New Roman"/>
          <w:noProof/>
        </w:rPr>
      </w:pPr>
      <w:r>
        <w:rPr>
          <w:noProof/>
        </w:rPr>
        <w:t>Šis pasākums ietver arī Kompetenču centra izveidi plānošanai, politikai un prognozēšanai valsts pārvaldē, kas ir būtisks, lai stiprinātu spējas atbalstīt publiskās politikas noteikšanu un īstenošanu, politikas izvērtēšanu un prognozēšanu.</w:t>
      </w:r>
    </w:p>
    <w:p w14:paraId="79184ED3" w14:textId="77777777" w:rsidR="00776A1F" w:rsidRDefault="00D8574B">
      <w:pPr>
        <w:pStyle w:val="P68B1DB1-Normal4"/>
        <w:keepNext/>
        <w:spacing w:before="40" w:after="0" w:line="259" w:lineRule="auto"/>
        <w:jc w:val="both"/>
        <w:rPr>
          <w:rFonts w:eastAsiaTheme="minorEastAsia" w:cs="Times New Roman"/>
          <w:noProof/>
        </w:rPr>
      </w:pPr>
      <w:r>
        <w:rPr>
          <w:noProof/>
        </w:rPr>
        <w:t>Turklāt, kā minēts TD-r35 reformā, saskaņā ar šo ieguldījumu izveido uzdevumu struktūru, lai atbalstītu sabiedrisko pakalpojumu reorganizāciju.</w:t>
      </w:r>
    </w:p>
    <w:p w14:paraId="3494F754" w14:textId="77777777" w:rsidR="00776A1F" w:rsidRDefault="00D8574B">
      <w:pPr>
        <w:pStyle w:val="P68B1DB1-Normal4"/>
        <w:keepNext/>
        <w:spacing w:before="40" w:after="0" w:line="259" w:lineRule="auto"/>
        <w:jc w:val="both"/>
        <w:rPr>
          <w:rFonts w:eastAsiaTheme="minorEastAsia" w:cs="Times New Roman"/>
          <w:noProof/>
        </w:rPr>
      </w:pPr>
      <w:r>
        <w:rPr>
          <w:noProof/>
        </w:rPr>
        <w:t>Investīciju īstenošanu pabeidz līdz 2026. gada 31. martam.</w:t>
      </w:r>
    </w:p>
    <w:p w14:paraId="33A26B41" w14:textId="0518C380"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TD-C19-r41 reforma: Piekļuve sabiedriskajiem pakalpojumiem: saskaņot un konsolidēt piekļuvi klātienē un tiešsaistē </w:t>
      </w:r>
    </w:p>
    <w:p w14:paraId="78F96C8F" w14:textId="085A25C0" w:rsidR="00776A1F" w:rsidRDefault="00D8574B">
      <w:pPr>
        <w:pStyle w:val="P68B1DB1-Normal4"/>
        <w:spacing w:before="40" w:after="0" w:line="259" w:lineRule="auto"/>
        <w:jc w:val="both"/>
        <w:rPr>
          <w:rFonts w:cs="Times New Roman"/>
          <w:noProof/>
        </w:rPr>
      </w:pPr>
      <w:r>
        <w:rPr>
          <w:noProof/>
        </w:rPr>
        <w:t xml:space="preserve">Šīs reformas mērķis ir padziļināt valsts pārvaldes digitālo pārkārtošanos un izmantot jaunās tehnoloģijas, lai pārveidotu pašreizējo sabiedrisko pakalpojumu modeli. </w:t>
      </w:r>
    </w:p>
    <w:p w14:paraId="13C6A2E3" w14:textId="0566F40C" w:rsidR="00776A1F" w:rsidRDefault="00D8574B">
      <w:pPr>
        <w:pStyle w:val="P68B1DB1-Normal4"/>
        <w:spacing w:before="40" w:after="0" w:line="259" w:lineRule="auto"/>
        <w:jc w:val="both"/>
        <w:rPr>
          <w:rFonts w:eastAsia="@MS Mincho" w:cs="Times New Roman"/>
          <w:noProof/>
        </w:rPr>
      </w:pPr>
      <w:r>
        <w:rPr>
          <w:noProof/>
        </w:rPr>
        <w:t>Reforma ietver tāda tiesību akta stāšanos spēkā, ar ko saskaņo un konsolidē noteikumus par piekļuvi sabiedriskajiem pakalpojumiem klātienē un attālināti (tiešsaistē, izmantojot lietotni, tālruni). Šis tiesību akts arī paplašina sabiedrisko pakalpojumu vienotajā portālā pieejamo sabiedrisko pakalpojumu skaitu.</w:t>
      </w:r>
    </w:p>
    <w:p w14:paraId="46639889" w14:textId="77777777" w:rsidR="00776A1F" w:rsidRDefault="00D8574B">
      <w:pPr>
        <w:pStyle w:val="P68B1DB1-Normal4"/>
        <w:spacing w:before="40" w:after="0" w:line="259" w:lineRule="auto"/>
        <w:jc w:val="both"/>
        <w:rPr>
          <w:rFonts w:cs="Times New Roman"/>
          <w:noProof/>
        </w:rPr>
      </w:pPr>
      <w:r>
        <w:rPr>
          <w:noProof/>
        </w:rPr>
        <w:t>Reformas īstenošanu pabeidz līdz 2025. gada 30. septembrim.</w:t>
      </w:r>
    </w:p>
    <w:p w14:paraId="7DE1A9CA" w14:textId="2210B9E1" w:rsidR="00776A1F" w:rsidRDefault="00D8574B">
      <w:pPr>
        <w:pStyle w:val="P68B1DB1-Heading214"/>
        <w:spacing w:before="240"/>
        <w:rPr>
          <w:noProof/>
        </w:rPr>
      </w:pPr>
      <w:r>
        <w:rPr>
          <w:noProof/>
        </w:rPr>
        <w:t>Reforma TD-C19-r42: Jauna novērtēšanas sistēma valsts pārvaldes darbaspēka nostiprināšanai un atjaunošanai</w:t>
      </w:r>
    </w:p>
    <w:p w14:paraId="553B9ED2" w14:textId="1CFBDB39" w:rsidR="00776A1F" w:rsidRDefault="00D8574B">
      <w:pPr>
        <w:pStyle w:val="P68B1DB1-Normal4"/>
        <w:spacing w:beforeLines="40" w:before="96" w:after="0" w:line="22" w:lineRule="atLeast"/>
        <w:jc w:val="both"/>
        <w:rPr>
          <w:rFonts w:cs="Times New Roman"/>
          <w:noProof/>
        </w:rPr>
      </w:pPr>
      <w:r>
        <w:rPr>
          <w:noProof/>
        </w:rPr>
        <w:t xml:space="preserve">Šīs reformas galvenais mērķis ir risināt vienu no Portugāles valsts pārvaldes galvenajām problēmām: tās spēja atjaunot darbaspēku un piesaistīt un noturēt talantus. </w:t>
      </w:r>
    </w:p>
    <w:p w14:paraId="6B48C29E" w14:textId="77777777" w:rsidR="00776A1F" w:rsidRDefault="00D8574B">
      <w:pPr>
        <w:pStyle w:val="P68B1DB1-Normal4"/>
        <w:spacing w:beforeLines="40" w:before="96" w:after="0" w:line="22" w:lineRule="atLeast"/>
        <w:jc w:val="both"/>
        <w:rPr>
          <w:rFonts w:cs="Times New Roman"/>
          <w:noProof/>
        </w:rPr>
      </w:pPr>
      <w:r>
        <w:rPr>
          <w:noProof/>
        </w:rPr>
        <w:t>Šī reforma ietver valsts pārvaldes darbības rezultātu novērtēšanas sistēmas (Integrētā sistēma publiskās pārvaldes darbības pārvaldībai un novērtēšanai — SIADAP) pārskatīšanu, grozot tiesisko regulējumu. Pārskatītajā SIADAP:</w:t>
      </w:r>
    </w:p>
    <w:p w14:paraId="615F098E" w14:textId="77777777" w:rsidR="00776A1F" w:rsidRDefault="00D8574B">
      <w:pPr>
        <w:pStyle w:val="ListParagraph"/>
        <w:keepNext w:val="0"/>
        <w:numPr>
          <w:ilvl w:val="0"/>
          <w:numId w:val="82"/>
        </w:numPr>
        <w:spacing w:beforeLines="40" w:before="96" w:after="0" w:line="22" w:lineRule="atLeast"/>
        <w:rPr>
          <w:noProof/>
        </w:rPr>
      </w:pPr>
      <w:r>
        <w:rPr>
          <w:noProof/>
        </w:rPr>
        <w:t xml:space="preserve">Mainīt novērtēšanas biežumu (no reizi divos gados uz katru gadu); </w:t>
      </w:r>
    </w:p>
    <w:p w14:paraId="15FE64A1" w14:textId="77777777" w:rsidR="00776A1F" w:rsidRDefault="00D8574B">
      <w:pPr>
        <w:pStyle w:val="ListParagraph"/>
        <w:keepNext w:val="0"/>
        <w:numPr>
          <w:ilvl w:val="0"/>
          <w:numId w:val="82"/>
        </w:numPr>
        <w:spacing w:beforeLines="40" w:before="96" w:after="0" w:line="22" w:lineRule="atLeast"/>
        <w:rPr>
          <w:noProof/>
        </w:rPr>
      </w:pPr>
      <w:r>
        <w:rPr>
          <w:noProof/>
        </w:rPr>
        <w:t xml:space="preserve">Palielināt to darba ņēmēju īpatsvaru, kuri var saņemt divus labākos veiktspējas vērtējumus, un viņu attiecīgos punktus katrā izvērtēšanas ciklā; </w:t>
      </w:r>
    </w:p>
    <w:p w14:paraId="5B67385F" w14:textId="77777777" w:rsidR="00776A1F" w:rsidRDefault="00D8574B">
      <w:pPr>
        <w:pStyle w:val="ListParagraph"/>
        <w:keepNext w:val="0"/>
        <w:numPr>
          <w:ilvl w:val="0"/>
          <w:numId w:val="82"/>
        </w:numPr>
        <w:spacing w:beforeLines="40" w:before="96" w:after="0" w:line="22" w:lineRule="atLeast"/>
        <w:rPr>
          <w:noProof/>
        </w:rPr>
      </w:pPr>
      <w:r>
        <w:rPr>
          <w:noProof/>
        </w:rPr>
        <w:t xml:space="preserve">Ieviest papildu snieguma pakāpi; </w:t>
      </w:r>
    </w:p>
    <w:p w14:paraId="3CD9DEDD" w14:textId="2385DC1D" w:rsidR="00776A1F" w:rsidRDefault="00D8574B">
      <w:pPr>
        <w:pStyle w:val="ListParagraph"/>
        <w:keepNext w:val="0"/>
        <w:numPr>
          <w:ilvl w:val="0"/>
          <w:numId w:val="82"/>
        </w:numPr>
        <w:spacing w:beforeLines="40" w:before="96" w:after="0" w:line="22" w:lineRule="atLeast"/>
        <w:rPr>
          <w:noProof/>
        </w:rPr>
      </w:pPr>
      <w:r>
        <w:rPr>
          <w:noProof/>
        </w:rPr>
        <w:t xml:space="preserve">Izveido to kompetenču sarakstu, kas jānovērtē valsts pārvaldes kompetenču profilā;  </w:t>
      </w:r>
    </w:p>
    <w:p w14:paraId="0D4797D5" w14:textId="615A1814" w:rsidR="00776A1F" w:rsidRDefault="00D8574B">
      <w:pPr>
        <w:pStyle w:val="ListParagraph"/>
        <w:keepNext w:val="0"/>
        <w:numPr>
          <w:ilvl w:val="0"/>
          <w:numId w:val="82"/>
        </w:numPr>
        <w:spacing w:beforeLines="40" w:before="96" w:after="0" w:line="22" w:lineRule="atLeast"/>
        <w:rPr>
          <w:noProof/>
        </w:rPr>
      </w:pPr>
      <w:r>
        <w:rPr>
          <w:noProof/>
        </w:rPr>
        <w:t>Apzināt, kādas ir vajadzības, lai turpinātu attīstīt kompetences un attiecīgo apmācību.</w:t>
      </w:r>
    </w:p>
    <w:p w14:paraId="0E988E2A" w14:textId="585AA569" w:rsidR="00776A1F" w:rsidRDefault="00D8574B">
      <w:pPr>
        <w:pStyle w:val="P68B1DB1-Normal4"/>
        <w:spacing w:beforeLines="40" w:before="96" w:after="0" w:line="22" w:lineRule="atLeast"/>
        <w:jc w:val="both"/>
        <w:rPr>
          <w:rFonts w:cs="Times New Roman"/>
          <w:noProof/>
        </w:rPr>
      </w:pPr>
      <w:r>
        <w:rPr>
          <w:noProof/>
        </w:rPr>
        <w:t xml:space="preserve">Turklāt kopā ar SIADAP modeļa pārskatīšanu reforma ietver arī valsts pārvaldes kompetenču profila pārskatīšanu, kas ietver kompetences, kuras jānovērtē darbā pieņemšanas un atlases procesā, snieguma novērtēšanas sistēmā un jāiekļauj profesionālajā apmācībā. </w:t>
      </w:r>
    </w:p>
    <w:p w14:paraId="0D929530" w14:textId="5F2DFF63" w:rsidR="00776A1F" w:rsidRDefault="00D8574B">
      <w:pPr>
        <w:pStyle w:val="P68B1DB1-Normal4"/>
        <w:spacing w:beforeLines="40" w:before="96" w:after="0" w:line="22" w:lineRule="atLeast"/>
        <w:jc w:val="both"/>
        <w:rPr>
          <w:rFonts w:cs="Times New Roman"/>
          <w:noProof/>
        </w:rPr>
      </w:pPr>
      <w:r>
        <w:rPr>
          <w:noProof/>
        </w:rPr>
        <w:t xml:space="preserve">Reforma ietver arī IT platformas izstrādi, kurā darbojas SIADAP. Nodrošina īpašu apmācību, lai mācītos par platformas izmantošanu. </w:t>
      </w:r>
    </w:p>
    <w:p w14:paraId="6FA49BD3" w14:textId="291EABB7" w:rsidR="00776A1F" w:rsidRDefault="00D8574B">
      <w:pPr>
        <w:pStyle w:val="P68B1DB1-Normal4"/>
        <w:spacing w:beforeLines="40" w:before="96" w:after="0" w:line="22" w:lineRule="atLeast"/>
        <w:jc w:val="both"/>
        <w:rPr>
          <w:rFonts w:cs="Times New Roman"/>
          <w:noProof/>
        </w:rPr>
      </w:pPr>
      <w:r>
        <w:rPr>
          <w:noProof/>
        </w:rPr>
        <w:t>Reformas īstenošanu pabeidz līdz 2025. gada 31. martam.</w:t>
      </w:r>
    </w:p>
    <w:p w14:paraId="61D9A60B" w14:textId="76B79EF0" w:rsidR="00776A1F" w:rsidRDefault="00D8574B">
      <w:pPr>
        <w:pStyle w:val="P68B1DB1-Heading214"/>
        <w:spacing w:before="240"/>
        <w:rPr>
          <w:noProof/>
        </w:rPr>
      </w:pPr>
      <w:r>
        <w:rPr>
          <w:noProof/>
        </w:rPr>
        <w:t>Ieguldījums TD-C19-i08 Intelektiskās teritorijas</w:t>
      </w:r>
    </w:p>
    <w:p w14:paraId="75C3ED74" w14:textId="77777777" w:rsidR="00776A1F" w:rsidRDefault="00D8574B">
      <w:pPr>
        <w:pStyle w:val="P68B1DB1-Normal4"/>
        <w:spacing w:beforeLines="40" w:before="96" w:after="0" w:line="22" w:lineRule="atLeast"/>
        <w:jc w:val="both"/>
        <w:rPr>
          <w:rFonts w:cs="Times New Roman"/>
          <w:noProof/>
        </w:rPr>
      </w:pPr>
      <w:r>
        <w:rPr>
          <w:noProof/>
        </w:rPr>
        <w:t xml:space="preserve">Šā ieguldījuma mērķis ir radīt jaunu paradigmu pilsētu un teritoriju plānošanai un pārvaldībai, pamatojoties uz datiem balstītu publisko politiku. </w:t>
      </w:r>
    </w:p>
    <w:p w14:paraId="787965D6" w14:textId="77777777" w:rsidR="00776A1F" w:rsidRDefault="00D8574B">
      <w:pPr>
        <w:pStyle w:val="P68B1DB1-Normal4"/>
        <w:spacing w:beforeLines="40" w:before="96" w:after="0" w:line="22" w:lineRule="atLeast"/>
        <w:jc w:val="both"/>
        <w:rPr>
          <w:rFonts w:cs="Times New Roman"/>
          <w:noProof/>
        </w:rPr>
      </w:pPr>
      <w:r>
        <w:rPr>
          <w:noProof/>
        </w:rPr>
        <w:t>Ieguldījums ietver:</w:t>
      </w:r>
    </w:p>
    <w:p w14:paraId="22DF1388" w14:textId="148F8DD1" w:rsidR="00776A1F" w:rsidRDefault="00D8574B">
      <w:pPr>
        <w:pStyle w:val="ListParagraph"/>
        <w:keepNext w:val="0"/>
        <w:numPr>
          <w:ilvl w:val="0"/>
          <w:numId w:val="84"/>
        </w:numPr>
        <w:spacing w:beforeLines="40" w:before="96" w:after="0" w:line="22" w:lineRule="atLeast"/>
        <w:rPr>
          <w:noProof/>
        </w:rPr>
      </w:pPr>
      <w:r>
        <w:rPr>
          <w:noProof/>
        </w:rPr>
        <w:t>Viedo teritoriju portāla izstrāde un atklāšana. Šajā portālā ir tiešsaistes repozitorijs, kurā ir attiecīgā informācija vietējā, reģionālā un valsts līmenī, piemēram, laba prakse, norādījumi, informācija par standartiem, normatīvajiem aktiem un informācija par projektu finansējuma avotiem.</w:t>
      </w:r>
    </w:p>
    <w:p w14:paraId="12D7477F" w14:textId="6BE4E225" w:rsidR="00776A1F" w:rsidRDefault="00D8574B">
      <w:pPr>
        <w:pStyle w:val="ListParagraph"/>
        <w:keepNext w:val="0"/>
        <w:numPr>
          <w:ilvl w:val="0"/>
          <w:numId w:val="84"/>
        </w:numPr>
        <w:spacing w:beforeLines="40" w:before="96" w:after="0" w:line="22" w:lineRule="atLeast"/>
        <w:rPr>
          <w:noProof/>
        </w:rPr>
      </w:pPr>
      <w:r>
        <w:rPr>
          <w:noProof/>
        </w:rPr>
        <w:t xml:space="preserve">Pilsētu pārvaldības platformu (UMP) izstrāde, ieviešana vai modernizācija 75 pašvaldībās un Comunidades Intermunicipais/Areas Metropolitanas, tostarp mājokļu un telpiskās plānošanas procedūru digitalizācija. </w:t>
      </w:r>
    </w:p>
    <w:p w14:paraId="61C1C578" w14:textId="29C677AC" w:rsidR="00776A1F" w:rsidRDefault="00D8574B">
      <w:pPr>
        <w:pStyle w:val="ListParagraph"/>
        <w:keepNext w:val="0"/>
        <w:numPr>
          <w:ilvl w:val="0"/>
          <w:numId w:val="84"/>
        </w:numPr>
        <w:spacing w:beforeLines="40" w:before="96" w:after="0" w:line="22" w:lineRule="atLeast"/>
        <w:rPr>
          <w:noProof/>
        </w:rPr>
      </w:pPr>
      <w:r>
        <w:rPr>
          <w:noProof/>
        </w:rPr>
        <w:t xml:space="preserve">Digitālo dvīņu izstrāde (paredzēta vai faktiska reāla fiziska produkta, sistēmas vai procesa digitāls attēlojums praktiskā nolūkā) tādās valsts prioritārās jomās kā ūdensapgāde un lauksaimniecība, klimatnoturība, mobilitāte un dekarbonizācija, veselība, enerģētika, tūrisms, civilā aizsardzība. </w:t>
      </w:r>
    </w:p>
    <w:p w14:paraId="61C1750B" w14:textId="479FE5E9" w:rsidR="00776A1F" w:rsidRDefault="00D8574B">
      <w:pPr>
        <w:pStyle w:val="ListParagraph"/>
        <w:keepNext w:val="0"/>
        <w:numPr>
          <w:ilvl w:val="0"/>
          <w:numId w:val="84"/>
        </w:numPr>
        <w:spacing w:beforeLines="40" w:before="96" w:after="0" w:line="22" w:lineRule="atLeast"/>
        <w:rPr>
          <w:noProof/>
        </w:rPr>
      </w:pPr>
      <w:r>
        <w:rPr>
          <w:noProof/>
        </w:rPr>
        <w:t xml:space="preserve">Izstrādāt un ieviest publiskās politikas infopaneli, lai palīdzētu publiskā sektora dalībniekiem dažādos hierarhijas līmeņos pieņemt politiskus lēmumus, sniedzot sistemātisku un aktuālu informāciju. </w:t>
      </w:r>
    </w:p>
    <w:p w14:paraId="55B408C7" w14:textId="24E1FBE6" w:rsidR="00776A1F" w:rsidRDefault="00D8574B">
      <w:pPr>
        <w:pStyle w:val="ListParagraph"/>
        <w:keepNext w:val="0"/>
        <w:numPr>
          <w:ilvl w:val="0"/>
          <w:numId w:val="84"/>
        </w:numPr>
        <w:spacing w:beforeLines="40" w:before="96" w:after="0" w:line="22" w:lineRule="atLeast"/>
        <w:rPr>
          <w:noProof/>
        </w:rPr>
      </w:pPr>
      <w:r>
        <w:rPr>
          <w:noProof/>
        </w:rPr>
        <w:t>Satura izstrāde un apmācības nodrošināšana par datu vākšanu un pārvaldību, standartiem, atvērtiem standartiem, lietojumprogrammu saskarnēm un citu saturu, kas saistīts ar viedajām pilsētām un ēkām, un ilgtspēju.</w:t>
      </w:r>
    </w:p>
    <w:p w14:paraId="7B990B4E" w14:textId="66208460" w:rsidR="00776A1F" w:rsidRDefault="00D8574B">
      <w:pPr>
        <w:pStyle w:val="P68B1DB1-Normal4"/>
        <w:spacing w:beforeLines="40" w:before="96" w:after="0" w:line="22" w:lineRule="atLeast"/>
        <w:jc w:val="both"/>
        <w:rPr>
          <w:rFonts w:cs="Times New Roman"/>
          <w:noProof/>
        </w:rPr>
      </w:pPr>
      <w:r>
        <w:rPr>
          <w:noProof/>
        </w:rPr>
        <w:t>Ieguldījumu īstenošanu pabeidz līdz 2026. gada 30. jūnijam.</w:t>
      </w:r>
    </w:p>
    <w:p w14:paraId="681015AA"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7CC8938" w14:textId="77777777" w:rsidR="00776A1F" w:rsidRDefault="00776A1F">
      <w:pPr>
        <w:keepNext/>
        <w:spacing w:before="40" w:after="0" w:line="259" w:lineRule="auto"/>
        <w:rPr>
          <w:rFonts w:ascii="Times New Roman" w:eastAsiaTheme="minorEastAsia" w:hAnsi="Times New Roman" w:cs="Times New Roman"/>
          <w:noProof/>
          <w:sz w:val="24"/>
        </w:rPr>
        <w:sectPr w:rsidR="00776A1F" w:rsidSect="00E00EDD">
          <w:headerReference w:type="even" r:id="rId342"/>
          <w:headerReference w:type="default" r:id="rId343"/>
          <w:footerReference w:type="even" r:id="rId344"/>
          <w:footerReference w:type="default" r:id="rId345"/>
          <w:headerReference w:type="first" r:id="rId346"/>
          <w:footerReference w:type="first" r:id="rId347"/>
          <w:pgSz w:w="11907" w:h="16839"/>
          <w:pgMar w:top="1134" w:right="1134" w:bottom="1134" w:left="1134" w:header="567" w:footer="567" w:gutter="0"/>
          <w:cols w:space="720"/>
          <w:docGrid w:linePitch="360"/>
        </w:sectPr>
      </w:pPr>
    </w:p>
    <w:p w14:paraId="7CB91F94"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 xml:space="preserve">S.2. </w:t>
      </w:r>
      <w:r>
        <w:rPr>
          <w:noProof/>
        </w:rPr>
        <w:tab/>
        <w:t>Atskaites punkti, mērķrādītāji, citi rādītāji un neatmaksājamā finansiālā atbalsta uzraudzības un īstenošanas grafiks</w:t>
      </w:r>
    </w:p>
    <w:p w14:paraId="64FD62E1"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186"/>
        <w:gridCol w:w="1058"/>
        <w:gridCol w:w="1573"/>
        <w:gridCol w:w="1314"/>
        <w:gridCol w:w="1110"/>
        <w:gridCol w:w="928"/>
        <w:gridCol w:w="670"/>
        <w:gridCol w:w="542"/>
        <w:gridCol w:w="670"/>
        <w:gridCol w:w="4347"/>
      </w:tblGrid>
      <w:tr w:rsidR="00776A1F" w14:paraId="088C7A32" w14:textId="77777777">
        <w:trPr>
          <w:trHeight w:val="910"/>
          <w:tblHeader/>
        </w:trPr>
        <w:tc>
          <w:tcPr>
            <w:tcW w:w="1082" w:type="dxa"/>
            <w:vMerge w:val="restart"/>
            <w:shd w:val="clear" w:color="auto" w:fill="BDD6EE"/>
            <w:vAlign w:val="center"/>
            <w:hideMark/>
          </w:tcPr>
          <w:p w14:paraId="67C74427"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11" w:type="dxa"/>
            <w:vMerge w:val="restart"/>
            <w:shd w:val="clear" w:color="auto" w:fill="BDD6EE"/>
            <w:vAlign w:val="center"/>
            <w:hideMark/>
          </w:tcPr>
          <w:p w14:paraId="628E7404"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080" w:type="dxa"/>
            <w:vMerge w:val="restart"/>
            <w:shd w:val="clear" w:color="auto" w:fill="BDD6EE"/>
            <w:vAlign w:val="center"/>
            <w:hideMark/>
          </w:tcPr>
          <w:p w14:paraId="0E05B438" w14:textId="53E6D5D2"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609" w:type="dxa"/>
            <w:vMerge w:val="restart"/>
            <w:shd w:val="clear" w:color="auto" w:fill="BDD6EE"/>
            <w:vAlign w:val="center"/>
            <w:hideMark/>
          </w:tcPr>
          <w:p w14:paraId="0BDF7800"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343" w:type="dxa"/>
            <w:vMerge w:val="restart"/>
            <w:shd w:val="clear" w:color="auto" w:fill="BDD6EE"/>
            <w:vAlign w:val="center"/>
            <w:hideMark/>
          </w:tcPr>
          <w:p w14:paraId="170B5F8F"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444" w:type="dxa"/>
            <w:gridSpan w:val="3"/>
            <w:shd w:val="clear" w:color="auto" w:fill="BDD6EE"/>
            <w:vAlign w:val="center"/>
            <w:hideMark/>
          </w:tcPr>
          <w:p w14:paraId="2A5DB656"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32" w:type="dxa"/>
            <w:gridSpan w:val="2"/>
            <w:shd w:val="clear" w:color="auto" w:fill="BDD6EE"/>
            <w:vAlign w:val="center"/>
            <w:hideMark/>
          </w:tcPr>
          <w:p w14:paraId="6828BC5C"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4458" w:type="dxa"/>
            <w:vMerge w:val="restart"/>
            <w:shd w:val="clear" w:color="auto" w:fill="BDD6EE"/>
            <w:vAlign w:val="center"/>
            <w:hideMark/>
          </w:tcPr>
          <w:p w14:paraId="7DCEFB52"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4548F8B7" w14:textId="77777777">
        <w:trPr>
          <w:trHeight w:val="470"/>
          <w:tblHeader/>
        </w:trPr>
        <w:tc>
          <w:tcPr>
            <w:tcW w:w="1082" w:type="dxa"/>
            <w:vMerge/>
            <w:vAlign w:val="center"/>
            <w:hideMark/>
          </w:tcPr>
          <w:p w14:paraId="103877F4" w14:textId="77777777" w:rsidR="00776A1F" w:rsidRDefault="00776A1F">
            <w:pPr>
              <w:spacing w:after="0" w:line="240" w:lineRule="auto"/>
              <w:rPr>
                <w:rFonts w:ascii="Times New Roman" w:eastAsia="Times New Roman" w:hAnsi="Times New Roman" w:cs="Times New Roman"/>
                <w:b/>
                <w:noProof/>
                <w:sz w:val="18"/>
              </w:rPr>
            </w:pPr>
          </w:p>
        </w:tc>
        <w:tc>
          <w:tcPr>
            <w:tcW w:w="1211" w:type="dxa"/>
            <w:vMerge/>
            <w:vAlign w:val="center"/>
            <w:hideMark/>
          </w:tcPr>
          <w:p w14:paraId="615E906C" w14:textId="77777777" w:rsidR="00776A1F" w:rsidRDefault="00776A1F">
            <w:pPr>
              <w:spacing w:after="0" w:line="240" w:lineRule="auto"/>
              <w:rPr>
                <w:rFonts w:ascii="Times New Roman" w:eastAsia="Times New Roman" w:hAnsi="Times New Roman" w:cs="Times New Roman"/>
                <w:b/>
                <w:noProof/>
                <w:sz w:val="18"/>
              </w:rPr>
            </w:pPr>
          </w:p>
        </w:tc>
        <w:tc>
          <w:tcPr>
            <w:tcW w:w="1080" w:type="dxa"/>
            <w:vMerge/>
            <w:vAlign w:val="center"/>
            <w:hideMark/>
          </w:tcPr>
          <w:p w14:paraId="03D775B3" w14:textId="2BE8587E" w:rsidR="00776A1F" w:rsidRDefault="00776A1F">
            <w:pPr>
              <w:spacing w:after="0" w:line="240" w:lineRule="auto"/>
              <w:jc w:val="center"/>
              <w:rPr>
                <w:rFonts w:ascii="Times New Roman" w:eastAsia="Times New Roman" w:hAnsi="Times New Roman" w:cs="Times New Roman"/>
                <w:b/>
                <w:noProof/>
                <w:sz w:val="18"/>
              </w:rPr>
            </w:pPr>
          </w:p>
        </w:tc>
        <w:tc>
          <w:tcPr>
            <w:tcW w:w="1609" w:type="dxa"/>
            <w:vMerge/>
            <w:vAlign w:val="center"/>
            <w:hideMark/>
          </w:tcPr>
          <w:p w14:paraId="7BCB0E2B" w14:textId="77777777" w:rsidR="00776A1F" w:rsidRDefault="00776A1F">
            <w:pPr>
              <w:spacing w:after="0" w:line="240" w:lineRule="auto"/>
              <w:rPr>
                <w:rFonts w:ascii="Times New Roman" w:eastAsia="Times New Roman" w:hAnsi="Times New Roman" w:cs="Times New Roman"/>
                <w:b/>
                <w:noProof/>
                <w:sz w:val="18"/>
              </w:rPr>
            </w:pPr>
          </w:p>
        </w:tc>
        <w:tc>
          <w:tcPr>
            <w:tcW w:w="1343" w:type="dxa"/>
            <w:vMerge/>
            <w:vAlign w:val="center"/>
            <w:hideMark/>
          </w:tcPr>
          <w:p w14:paraId="37EB8607" w14:textId="77777777" w:rsidR="00776A1F" w:rsidRDefault="00776A1F">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61817E80"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47" w:type="dxa"/>
            <w:shd w:val="clear" w:color="auto" w:fill="BDD6EE"/>
            <w:vAlign w:val="center"/>
            <w:hideMark/>
          </w:tcPr>
          <w:p w14:paraId="3FDEEB09"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682" w:type="dxa"/>
            <w:shd w:val="clear" w:color="auto" w:fill="BDD6EE"/>
            <w:vAlign w:val="center"/>
            <w:hideMark/>
          </w:tcPr>
          <w:p w14:paraId="65EB9FBE"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50" w:type="dxa"/>
            <w:shd w:val="clear" w:color="auto" w:fill="BDD6EE"/>
            <w:vAlign w:val="center"/>
            <w:hideMark/>
          </w:tcPr>
          <w:p w14:paraId="1B5C364F" w14:textId="77777777" w:rsidR="00776A1F" w:rsidRDefault="00D8574B">
            <w:pPr>
              <w:pStyle w:val="P68B1DB1-Normal6"/>
              <w:spacing w:after="0" w:line="240" w:lineRule="auto"/>
              <w:jc w:val="center"/>
              <w:rPr>
                <w:rFonts w:eastAsia="Times New Roman" w:cs="Times New Roman"/>
                <w:noProof/>
              </w:rPr>
            </w:pPr>
            <w:r>
              <w:rPr>
                <w:noProof/>
              </w:rPr>
              <w:t>Q</w:t>
            </w:r>
          </w:p>
        </w:tc>
        <w:tc>
          <w:tcPr>
            <w:tcW w:w="682" w:type="dxa"/>
            <w:shd w:val="clear" w:color="auto" w:fill="BDD6EE"/>
            <w:vAlign w:val="center"/>
            <w:hideMark/>
          </w:tcPr>
          <w:p w14:paraId="3B9C38F6"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458" w:type="dxa"/>
            <w:vMerge/>
            <w:vAlign w:val="center"/>
            <w:hideMark/>
          </w:tcPr>
          <w:p w14:paraId="7341FB0C" w14:textId="77777777" w:rsidR="00776A1F" w:rsidRDefault="00776A1F">
            <w:pPr>
              <w:spacing w:after="0" w:line="240" w:lineRule="auto"/>
              <w:rPr>
                <w:rFonts w:ascii="Times New Roman" w:eastAsia="Times New Roman" w:hAnsi="Times New Roman" w:cs="Times New Roman"/>
                <w:b/>
                <w:noProof/>
                <w:sz w:val="18"/>
              </w:rPr>
            </w:pPr>
          </w:p>
        </w:tc>
      </w:tr>
      <w:tr w:rsidR="00776A1F" w14:paraId="1E167ECE" w14:textId="77777777">
        <w:trPr>
          <w:trHeight w:val="420"/>
        </w:trPr>
        <w:tc>
          <w:tcPr>
            <w:tcW w:w="1082" w:type="dxa"/>
            <w:shd w:val="clear" w:color="auto" w:fill="C4EFCE"/>
            <w:vAlign w:val="center"/>
            <w:hideMark/>
          </w:tcPr>
          <w:p w14:paraId="1B7A59FA" w14:textId="77777777" w:rsidR="00776A1F" w:rsidRDefault="00D8574B">
            <w:pPr>
              <w:pStyle w:val="P68B1DB1-Normal7"/>
              <w:spacing w:after="0" w:line="240" w:lineRule="auto"/>
              <w:jc w:val="center"/>
              <w:rPr>
                <w:rFonts w:eastAsia="Times New Roman" w:cs="Calibri"/>
                <w:noProof/>
              </w:rPr>
            </w:pPr>
            <w:r>
              <w:rPr>
                <w:noProof/>
              </w:rPr>
              <w:t>19.1</w:t>
            </w:r>
          </w:p>
        </w:tc>
        <w:tc>
          <w:tcPr>
            <w:tcW w:w="1211" w:type="dxa"/>
            <w:shd w:val="clear" w:color="auto" w:fill="C4EFCE"/>
            <w:noWrap/>
            <w:vAlign w:val="center"/>
            <w:hideMark/>
          </w:tcPr>
          <w:p w14:paraId="3FDA88F6" w14:textId="77777777" w:rsidR="00776A1F" w:rsidRDefault="00D8574B">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3DC52799"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F8CF771" w14:textId="77777777" w:rsidR="00776A1F" w:rsidRDefault="00D8574B">
            <w:pPr>
              <w:pStyle w:val="P68B1DB1-Normal8"/>
              <w:spacing w:after="0" w:line="240" w:lineRule="auto"/>
              <w:jc w:val="center"/>
              <w:rPr>
                <w:rFonts w:eastAsia="Times New Roman" w:cs="Calibri"/>
                <w:noProof/>
              </w:rPr>
            </w:pPr>
            <w:r>
              <w:rPr>
                <w:noProof/>
              </w:rPr>
              <w:t>Sabiedriskie pakalpojumi, kas pieejami vienkāršotā un saskaņotā veidā pa dažādiem kanāliem</w:t>
            </w:r>
          </w:p>
        </w:tc>
        <w:tc>
          <w:tcPr>
            <w:tcW w:w="1343" w:type="dxa"/>
            <w:shd w:val="clear" w:color="auto" w:fill="C4EFCE"/>
            <w:noWrap/>
            <w:vAlign w:val="center"/>
            <w:hideMark/>
          </w:tcPr>
          <w:p w14:paraId="6DFD823D"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317A5659"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3D4F554C"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7880A98" w14:textId="77777777" w:rsidR="00776A1F" w:rsidRDefault="00D8574B">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290B35B9" w14:textId="77777777"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hideMark/>
          </w:tcPr>
          <w:p w14:paraId="2E18BF24" w14:textId="77777777" w:rsidR="00776A1F" w:rsidRDefault="00D8574B">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2F2A0419" w14:textId="77777777" w:rsidR="00776A1F" w:rsidRDefault="00D8574B">
            <w:pPr>
              <w:pStyle w:val="P68B1DB1-Normal8"/>
              <w:spacing w:after="0" w:line="240" w:lineRule="auto"/>
              <w:jc w:val="both"/>
              <w:rPr>
                <w:rFonts w:eastAsia="Times New Roman" w:cs="Calibri"/>
                <w:noProof/>
              </w:rPr>
            </w:pPr>
            <w:r>
              <w:rPr>
                <w:noProof/>
              </w:rPr>
              <w:t xml:space="preserve">Pakalpojumu skaits, kas reģistrēti paplašinātajā Vienību un pakalpojumu katalogā un ir pieejami pa vairākiem kanāliem: vienots digitālo pakalpojumu portāls, kontaktcentrs, </w:t>
            </w:r>
            <w:r>
              <w:rPr>
                <w:i/>
                <w:noProof/>
              </w:rPr>
              <w:t>Lojas do Cidadão</w:t>
            </w:r>
            <w:r>
              <w:rPr>
                <w:noProof/>
              </w:rPr>
              <w:t xml:space="preserve"> / </w:t>
            </w:r>
            <w:r>
              <w:rPr>
                <w:i/>
                <w:noProof/>
              </w:rPr>
              <w:t>Espaços Cidadão</w:t>
            </w:r>
            <w:r>
              <w:rPr>
                <w:noProof/>
              </w:rPr>
              <w:t xml:space="preserve">. </w:t>
            </w:r>
          </w:p>
          <w:p w14:paraId="0669A61E" w14:textId="66964D8D" w:rsidR="00776A1F" w:rsidRDefault="00D8574B">
            <w:pPr>
              <w:pStyle w:val="P68B1DB1-Normal8"/>
              <w:spacing w:after="0" w:line="240" w:lineRule="auto"/>
              <w:jc w:val="both"/>
              <w:rPr>
                <w:rFonts w:eastAsia="Times New Roman" w:cs="Calibri"/>
                <w:noProof/>
              </w:rPr>
            </w:pPr>
            <w:r>
              <w:rPr>
                <w:noProof/>
              </w:rPr>
              <w:t>Šis rādītājs nozīmē, ka šie pakalpojumi jāpārveido saskaņā ar principu “tikai vienreiz” un padarīt tos pieejamus, izmantojot visaptverošu pieeju.</w:t>
            </w:r>
          </w:p>
        </w:tc>
      </w:tr>
      <w:tr w:rsidR="00776A1F" w14:paraId="5047912C" w14:textId="77777777">
        <w:trPr>
          <w:trHeight w:val="420"/>
        </w:trPr>
        <w:tc>
          <w:tcPr>
            <w:tcW w:w="1082" w:type="dxa"/>
            <w:shd w:val="clear" w:color="auto" w:fill="C4EFCE"/>
            <w:vAlign w:val="center"/>
            <w:hideMark/>
          </w:tcPr>
          <w:p w14:paraId="313C63A5" w14:textId="77777777" w:rsidR="00776A1F" w:rsidRDefault="00D8574B">
            <w:pPr>
              <w:pStyle w:val="P68B1DB1-Normal7"/>
              <w:spacing w:after="0" w:line="240" w:lineRule="auto"/>
              <w:jc w:val="center"/>
              <w:rPr>
                <w:rFonts w:eastAsia="Times New Roman" w:cs="Calibri"/>
                <w:noProof/>
              </w:rPr>
            </w:pPr>
            <w:r>
              <w:rPr>
                <w:noProof/>
              </w:rPr>
              <w:t>19.2</w:t>
            </w:r>
          </w:p>
        </w:tc>
        <w:tc>
          <w:tcPr>
            <w:tcW w:w="1211" w:type="dxa"/>
            <w:shd w:val="clear" w:color="auto" w:fill="C4EFCE"/>
            <w:noWrap/>
            <w:vAlign w:val="center"/>
            <w:hideMark/>
          </w:tcPr>
          <w:p w14:paraId="74C76E9B" w14:textId="77777777" w:rsidR="00776A1F" w:rsidRDefault="00D8574B">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21EB2875"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557BE133" w14:textId="77777777" w:rsidR="00776A1F" w:rsidRDefault="00D8574B">
            <w:pPr>
              <w:pStyle w:val="P68B1DB1-Normal8"/>
              <w:spacing w:after="0" w:line="240" w:lineRule="auto"/>
              <w:jc w:val="center"/>
              <w:rPr>
                <w:rFonts w:eastAsia="Times New Roman" w:cs="Calibri"/>
                <w:noProof/>
              </w:rPr>
            </w:pPr>
            <w:r>
              <w:rPr>
                <w:noProof/>
              </w:rPr>
              <w:t>Sabiedriskie pakalpojumi, kas pieejami vienkāršotā un saskaņotā veidā pa dažādiem kanāliem</w:t>
            </w:r>
          </w:p>
        </w:tc>
        <w:tc>
          <w:tcPr>
            <w:tcW w:w="1343" w:type="dxa"/>
            <w:shd w:val="clear" w:color="auto" w:fill="C4EFCE"/>
            <w:noWrap/>
            <w:vAlign w:val="center"/>
            <w:hideMark/>
          </w:tcPr>
          <w:p w14:paraId="0C7B536C"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23C0D4E"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04D75696" w14:textId="77777777" w:rsidR="00776A1F" w:rsidRDefault="00D8574B">
            <w:pPr>
              <w:pStyle w:val="P68B1DB1-Normal8"/>
              <w:spacing w:after="0" w:line="240" w:lineRule="auto"/>
              <w:jc w:val="center"/>
              <w:rPr>
                <w:rFonts w:eastAsia="Times New Roman" w:cs="Calibri"/>
                <w:noProof/>
              </w:rPr>
            </w:pPr>
            <w:r>
              <w:rPr>
                <w:noProof/>
              </w:rPr>
              <w:t>5</w:t>
            </w:r>
          </w:p>
        </w:tc>
        <w:tc>
          <w:tcPr>
            <w:tcW w:w="682" w:type="dxa"/>
            <w:shd w:val="clear" w:color="auto" w:fill="C4EFCE"/>
            <w:noWrap/>
            <w:vAlign w:val="center"/>
            <w:hideMark/>
          </w:tcPr>
          <w:p w14:paraId="542165AC" w14:textId="77777777" w:rsidR="00776A1F" w:rsidRDefault="00D8574B">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204665A2"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47B5ABC7"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6A62EF75" w14:textId="77777777" w:rsidR="00776A1F" w:rsidRDefault="00D8574B">
            <w:pPr>
              <w:pStyle w:val="P68B1DB1-Normal8"/>
              <w:spacing w:after="0" w:line="240" w:lineRule="auto"/>
              <w:jc w:val="both"/>
              <w:rPr>
                <w:rFonts w:eastAsia="Times New Roman" w:cs="Calibri"/>
                <w:noProof/>
              </w:rPr>
            </w:pPr>
            <w:r>
              <w:rPr>
                <w:noProof/>
              </w:rPr>
              <w:t xml:space="preserve">Pakalpojumu skaits, kas reģistrēti paplašinātajā Vienību un pakalpojumu katalogā un ir pieejami pa vairākiem kanāliem: vienots digitālo pakalpojumu portāls, kontaktcentrs, </w:t>
            </w:r>
            <w:r>
              <w:rPr>
                <w:i/>
                <w:noProof/>
              </w:rPr>
              <w:t>Lojas do Cidadão</w:t>
            </w:r>
            <w:r>
              <w:rPr>
                <w:noProof/>
              </w:rPr>
              <w:t xml:space="preserve"> / </w:t>
            </w:r>
            <w:r>
              <w:rPr>
                <w:i/>
                <w:noProof/>
              </w:rPr>
              <w:t>Espaços Cidadão</w:t>
            </w:r>
            <w:r>
              <w:rPr>
                <w:noProof/>
              </w:rPr>
              <w:t xml:space="preserve">. </w:t>
            </w:r>
          </w:p>
          <w:p w14:paraId="1F8BC66A" w14:textId="3E0F41FA" w:rsidR="00776A1F" w:rsidRDefault="00D8574B">
            <w:pPr>
              <w:pStyle w:val="P68B1DB1-Normal8"/>
              <w:spacing w:after="0" w:line="240" w:lineRule="auto"/>
              <w:jc w:val="both"/>
              <w:rPr>
                <w:rFonts w:eastAsia="Times New Roman" w:cs="Calibri"/>
                <w:noProof/>
              </w:rPr>
            </w:pPr>
            <w:r>
              <w:rPr>
                <w:noProof/>
              </w:rPr>
              <w:t>Šis rādītājs nozīmē, ka šie pakalpojumi jāpārveido saskaņā ar principu “tikai vienreiz” un padarīt tos pieejamus, izmantojot visaptverošu pieeju.</w:t>
            </w:r>
          </w:p>
        </w:tc>
      </w:tr>
      <w:tr w:rsidR="00776A1F" w14:paraId="27972876" w14:textId="77777777">
        <w:trPr>
          <w:trHeight w:val="290"/>
        </w:trPr>
        <w:tc>
          <w:tcPr>
            <w:tcW w:w="1082" w:type="dxa"/>
            <w:shd w:val="clear" w:color="auto" w:fill="C4EFCE"/>
            <w:vAlign w:val="center"/>
            <w:hideMark/>
          </w:tcPr>
          <w:p w14:paraId="0B0D05C4" w14:textId="77777777" w:rsidR="00776A1F" w:rsidRDefault="00D8574B">
            <w:pPr>
              <w:pStyle w:val="P68B1DB1-Normal7"/>
              <w:spacing w:after="0" w:line="240" w:lineRule="auto"/>
              <w:jc w:val="center"/>
              <w:rPr>
                <w:rFonts w:eastAsia="Times New Roman" w:cs="Calibri"/>
                <w:noProof/>
              </w:rPr>
            </w:pPr>
            <w:r>
              <w:rPr>
                <w:noProof/>
              </w:rPr>
              <w:t>19.3</w:t>
            </w:r>
          </w:p>
        </w:tc>
        <w:tc>
          <w:tcPr>
            <w:tcW w:w="1211" w:type="dxa"/>
            <w:shd w:val="clear" w:color="auto" w:fill="C4EFCE"/>
            <w:noWrap/>
            <w:vAlign w:val="center"/>
            <w:hideMark/>
          </w:tcPr>
          <w:p w14:paraId="0DA2F717" w14:textId="77777777" w:rsidR="00776A1F" w:rsidRDefault="00D8574B">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3FEDE5E4"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24992453" w14:textId="77777777" w:rsidR="00776A1F" w:rsidRDefault="00D8574B">
            <w:pPr>
              <w:pStyle w:val="P68B1DB1-Normal8"/>
              <w:spacing w:after="0" w:line="240" w:lineRule="auto"/>
              <w:jc w:val="center"/>
              <w:rPr>
                <w:rFonts w:eastAsia="Times New Roman" w:cs="Calibri"/>
                <w:noProof/>
              </w:rPr>
            </w:pPr>
            <w:r>
              <w:rPr>
                <w:noProof/>
              </w:rPr>
              <w:t>Ieviests jauns konsulārās pārvaldības modelis</w:t>
            </w:r>
          </w:p>
        </w:tc>
        <w:tc>
          <w:tcPr>
            <w:tcW w:w="1343" w:type="dxa"/>
            <w:shd w:val="clear" w:color="auto" w:fill="C4EFCE"/>
            <w:noWrap/>
            <w:vAlign w:val="center"/>
            <w:hideMark/>
          </w:tcPr>
          <w:p w14:paraId="221340B2" w14:textId="77777777" w:rsidR="00776A1F" w:rsidRDefault="00D8574B">
            <w:pPr>
              <w:pStyle w:val="P68B1DB1-Normal8"/>
              <w:spacing w:after="0" w:line="240" w:lineRule="auto"/>
              <w:jc w:val="center"/>
              <w:rPr>
                <w:rFonts w:eastAsia="Times New Roman" w:cs="Calibri"/>
                <w:noProof/>
              </w:rPr>
            </w:pPr>
            <w:r>
              <w:rPr>
                <w:noProof/>
              </w:rPr>
              <w:t>Ieviests jauns konsulārās pārvaldības modelis</w:t>
            </w:r>
          </w:p>
        </w:tc>
        <w:tc>
          <w:tcPr>
            <w:tcW w:w="1134" w:type="dxa"/>
            <w:shd w:val="clear" w:color="auto" w:fill="C4EFCE"/>
            <w:noWrap/>
            <w:vAlign w:val="center"/>
            <w:hideMark/>
          </w:tcPr>
          <w:p w14:paraId="57A5BD83" w14:textId="77777777" w:rsidR="00776A1F" w:rsidRDefault="00D8574B">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0C64240F" w14:textId="77777777" w:rsidR="00776A1F" w:rsidRDefault="00D8574B">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78C80247" w14:textId="77777777" w:rsidR="00776A1F" w:rsidRDefault="00D8574B">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2C0C4BCA"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6EC450BB"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6DC3E91" w14:textId="77777777" w:rsidR="00776A1F" w:rsidRDefault="00D8574B">
            <w:pPr>
              <w:pStyle w:val="P68B1DB1-Normal8"/>
              <w:spacing w:after="0" w:line="240" w:lineRule="auto"/>
              <w:jc w:val="both"/>
              <w:rPr>
                <w:rFonts w:eastAsia="Calibri" w:cs="Calibri"/>
                <w:noProof/>
              </w:rPr>
            </w:pPr>
            <w:r>
              <w:rPr>
                <w:noProof/>
              </w:rPr>
              <w:t xml:space="preserve">Jaunā konsulārās pārvaldības modeļa pilnīga īstenošana: </w:t>
            </w:r>
          </w:p>
          <w:p w14:paraId="1B8817E6" w14:textId="77777777" w:rsidR="00776A1F" w:rsidRDefault="00D8574B">
            <w:pPr>
              <w:pStyle w:val="P68B1DB1-Normal8"/>
              <w:spacing w:after="0" w:line="240" w:lineRule="auto"/>
              <w:jc w:val="both"/>
              <w:rPr>
                <w:rFonts w:eastAsia="Calibri" w:cs="Calibri"/>
                <w:noProof/>
              </w:rPr>
            </w:pPr>
            <w:r>
              <w:rPr>
                <w:noProof/>
              </w:rPr>
              <w:t xml:space="preserve">dematerializēti konsulārie pakalpojumi, kas pieejami valstspiederīgajiem/ārvalstniekiem ārvalstīs, un 80 % no Ārlietu ministrijas sniegtajiem pakalpojumiem ir digitalizēti; </w:t>
            </w:r>
          </w:p>
          <w:p w14:paraId="7C5A19A7" w14:textId="49C1668D" w:rsidR="00776A1F" w:rsidRDefault="00D8574B">
            <w:pPr>
              <w:pStyle w:val="P68B1DB1-Normal8"/>
              <w:spacing w:after="0" w:line="240" w:lineRule="auto"/>
              <w:jc w:val="both"/>
              <w:rPr>
                <w:rFonts w:eastAsia="Times New Roman" w:cs="Calibri"/>
                <w:noProof/>
              </w:rPr>
            </w:pPr>
            <w:r>
              <w:rPr>
                <w:i/>
                <w:noProof/>
              </w:rPr>
              <w:t>Centro de Atendimento konsulārā</w:t>
            </w:r>
            <w:r>
              <w:rPr>
                <w:noProof/>
              </w:rPr>
              <w:t xml:space="preserve"> darbība, kas pieejama vismaz 15 valstīs.</w:t>
            </w:r>
          </w:p>
        </w:tc>
      </w:tr>
      <w:tr w:rsidR="00776A1F" w14:paraId="42D2A359" w14:textId="77777777">
        <w:trPr>
          <w:trHeight w:val="290"/>
        </w:trPr>
        <w:tc>
          <w:tcPr>
            <w:tcW w:w="1082" w:type="dxa"/>
            <w:shd w:val="clear" w:color="auto" w:fill="C4EFCE"/>
            <w:vAlign w:val="center"/>
          </w:tcPr>
          <w:p w14:paraId="4C161EC7" w14:textId="4D567DD7" w:rsidR="00776A1F" w:rsidRDefault="00D8574B">
            <w:pPr>
              <w:pStyle w:val="P68B1DB1-Normal7"/>
              <w:spacing w:after="0" w:line="240" w:lineRule="auto"/>
              <w:jc w:val="center"/>
              <w:rPr>
                <w:rFonts w:eastAsia="Times New Roman" w:cs="Calibri"/>
                <w:noProof/>
              </w:rPr>
            </w:pPr>
            <w:r>
              <w:rPr>
                <w:noProof/>
              </w:rPr>
              <w:t>19.25</w:t>
            </w:r>
          </w:p>
        </w:tc>
        <w:tc>
          <w:tcPr>
            <w:tcW w:w="1211" w:type="dxa"/>
            <w:shd w:val="clear" w:color="auto" w:fill="C4EFCE"/>
            <w:noWrap/>
            <w:vAlign w:val="center"/>
          </w:tcPr>
          <w:p w14:paraId="07A7A65E" w14:textId="3F4583C4" w:rsidR="00776A1F" w:rsidRDefault="00D8574B">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45A6111B" w14:textId="49684DBC"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0EEB120D" w14:textId="7DE3216A" w:rsidR="00776A1F" w:rsidRDefault="00D8574B">
            <w:pPr>
              <w:pStyle w:val="P68B1DB1-Normal8"/>
              <w:spacing w:after="0" w:line="240" w:lineRule="auto"/>
              <w:jc w:val="center"/>
              <w:rPr>
                <w:rFonts w:eastAsia="Times New Roman" w:cs="Calibri"/>
                <w:noProof/>
              </w:rPr>
            </w:pPr>
            <w:r>
              <w:rPr>
                <w:noProof/>
              </w:rPr>
              <w:t>Protokolu parakstīšana jaunu iedzīvotāju veikalu un iedzīvotāju telpu izveidei</w:t>
            </w:r>
          </w:p>
        </w:tc>
        <w:tc>
          <w:tcPr>
            <w:tcW w:w="1343" w:type="dxa"/>
            <w:shd w:val="clear" w:color="auto" w:fill="C4EFCE"/>
            <w:noWrap/>
            <w:vAlign w:val="center"/>
          </w:tcPr>
          <w:p w14:paraId="6B203D02" w14:textId="3253C7C6" w:rsidR="00776A1F" w:rsidRDefault="00D8574B">
            <w:pPr>
              <w:pStyle w:val="P68B1DB1-Normal8"/>
              <w:spacing w:after="0" w:line="240" w:lineRule="auto"/>
              <w:jc w:val="center"/>
              <w:rPr>
                <w:rFonts w:eastAsia="Times New Roman" w:cs="Calibri"/>
                <w:noProof/>
              </w:rPr>
            </w:pPr>
            <w:r>
              <w:rPr>
                <w:noProof/>
              </w:rPr>
              <w:t>Parakstītie protokoli</w:t>
            </w:r>
          </w:p>
        </w:tc>
        <w:tc>
          <w:tcPr>
            <w:tcW w:w="1134" w:type="dxa"/>
            <w:shd w:val="clear" w:color="auto" w:fill="C4EFCE"/>
            <w:noWrap/>
            <w:vAlign w:val="center"/>
          </w:tcPr>
          <w:p w14:paraId="4ED17015" w14:textId="57284CD9" w:rsidR="00776A1F" w:rsidRDefault="00776A1F">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53C5C74B" w14:textId="638C6428" w:rsidR="00776A1F" w:rsidRDefault="00776A1F">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657B7723" w14:textId="6009BCC2" w:rsidR="00776A1F" w:rsidRDefault="00776A1F">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4C967353" w14:textId="5DB71238" w:rsidR="00776A1F" w:rsidRDefault="00D8574B">
            <w:pPr>
              <w:pStyle w:val="P68B1DB1-Normal8"/>
              <w:spacing w:after="0" w:line="240" w:lineRule="auto"/>
              <w:jc w:val="center"/>
              <w:rPr>
                <w:rFonts w:eastAsia="Times New Roman" w:cs="Calibri"/>
                <w:noProof/>
              </w:rPr>
            </w:pPr>
            <w:r>
              <w:rPr>
                <w:noProof/>
              </w:rPr>
              <w:t>3. CET.</w:t>
            </w:r>
          </w:p>
        </w:tc>
        <w:tc>
          <w:tcPr>
            <w:tcW w:w="682" w:type="dxa"/>
            <w:shd w:val="clear" w:color="auto" w:fill="C4EFCE"/>
            <w:noWrap/>
            <w:vAlign w:val="center"/>
          </w:tcPr>
          <w:p w14:paraId="42D3096C" w14:textId="45ACD52F" w:rsidR="00776A1F" w:rsidRDefault="00D8574B">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tcPr>
          <w:p w14:paraId="351D5F02" w14:textId="653F6769" w:rsidR="00776A1F" w:rsidRDefault="00D8574B">
            <w:pPr>
              <w:pStyle w:val="P68B1DB1-Normal8"/>
              <w:spacing w:after="0" w:line="240" w:lineRule="auto"/>
              <w:jc w:val="both"/>
              <w:rPr>
                <w:rFonts w:eastAsia="Calibri" w:cs="Calibri"/>
                <w:noProof/>
              </w:rPr>
            </w:pPr>
            <w:r>
              <w:rPr>
                <w:noProof/>
              </w:rPr>
              <w:t>Protokolu parakstīšana 31 jauna iedzīvotāju veikala (</w:t>
            </w:r>
            <w:r>
              <w:rPr>
                <w:i/>
                <w:noProof/>
              </w:rPr>
              <w:t>Lojas de Cidadão</w:t>
            </w:r>
            <w:r>
              <w:rPr>
                <w:noProof/>
              </w:rPr>
              <w:t>) un 400 jaunu iedzīvotāju telpu izveidei (</w:t>
            </w:r>
            <w:r>
              <w:rPr>
                <w:i/>
                <w:noProof/>
              </w:rPr>
              <w:t>Espaços Cidadão</w:t>
            </w:r>
            <w:r>
              <w:rPr>
                <w:noProof/>
              </w:rPr>
              <w:t>)</w:t>
            </w:r>
          </w:p>
        </w:tc>
      </w:tr>
      <w:tr w:rsidR="00776A1F" w14:paraId="408CD92E" w14:textId="77777777">
        <w:trPr>
          <w:trHeight w:val="290"/>
        </w:trPr>
        <w:tc>
          <w:tcPr>
            <w:tcW w:w="1082" w:type="dxa"/>
            <w:shd w:val="clear" w:color="auto" w:fill="C4EFCE"/>
            <w:vAlign w:val="center"/>
          </w:tcPr>
          <w:p w14:paraId="641766AF" w14:textId="4D443BCF" w:rsidR="00776A1F" w:rsidRDefault="00D8574B">
            <w:pPr>
              <w:pStyle w:val="P68B1DB1-Normal7"/>
              <w:spacing w:after="0" w:line="240" w:lineRule="auto"/>
              <w:jc w:val="center"/>
              <w:rPr>
                <w:rFonts w:eastAsia="Times New Roman" w:cs="Calibri"/>
                <w:noProof/>
              </w:rPr>
            </w:pPr>
            <w:r>
              <w:rPr>
                <w:noProof/>
              </w:rPr>
              <w:t>19.26</w:t>
            </w:r>
          </w:p>
        </w:tc>
        <w:tc>
          <w:tcPr>
            <w:tcW w:w="1211" w:type="dxa"/>
            <w:shd w:val="clear" w:color="auto" w:fill="C4EFCE"/>
            <w:noWrap/>
            <w:vAlign w:val="center"/>
          </w:tcPr>
          <w:p w14:paraId="70CB2BFA" w14:textId="4DB762B8" w:rsidR="00776A1F" w:rsidRDefault="00D8574B">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3D62FEF2" w14:textId="0F53039D"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19DB5DC3" w14:textId="2D88108E" w:rsidR="00776A1F" w:rsidRDefault="00D8574B">
            <w:pPr>
              <w:pStyle w:val="P68B1DB1-Normal8"/>
              <w:spacing w:after="0" w:line="240" w:lineRule="auto"/>
              <w:jc w:val="center"/>
              <w:rPr>
                <w:rFonts w:eastAsia="Times New Roman" w:cs="Calibri"/>
                <w:noProof/>
              </w:rPr>
            </w:pPr>
            <w:r>
              <w:rPr>
                <w:noProof/>
              </w:rPr>
              <w:t xml:space="preserve">Darbojas jauni iedzīvotāju veikali un iedzīvotāju telpas. </w:t>
            </w:r>
          </w:p>
        </w:tc>
        <w:tc>
          <w:tcPr>
            <w:tcW w:w="1343" w:type="dxa"/>
            <w:shd w:val="clear" w:color="auto" w:fill="C4EFCE"/>
            <w:noWrap/>
            <w:vAlign w:val="center"/>
          </w:tcPr>
          <w:p w14:paraId="0FA8BF22" w14:textId="77777777" w:rsidR="00776A1F" w:rsidRDefault="00776A1F">
            <w:pPr>
              <w:spacing w:after="0" w:line="240" w:lineRule="auto"/>
              <w:jc w:val="center"/>
              <w:rPr>
                <w:rFonts w:ascii="Calibri" w:eastAsia="Times New Roman" w:hAnsi="Calibri" w:cs="Calibri"/>
                <w:noProof/>
                <w:sz w:val="16"/>
              </w:rPr>
            </w:pPr>
          </w:p>
        </w:tc>
        <w:tc>
          <w:tcPr>
            <w:tcW w:w="1134" w:type="dxa"/>
            <w:shd w:val="clear" w:color="auto" w:fill="C4EFCE"/>
            <w:noWrap/>
            <w:vAlign w:val="center"/>
          </w:tcPr>
          <w:p w14:paraId="57B94528" w14:textId="683E09C2"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tcPr>
          <w:p w14:paraId="799EE625" w14:textId="2F093CB5"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tcPr>
          <w:p w14:paraId="5FF018BE" w14:textId="106AAE71" w:rsidR="00776A1F" w:rsidRDefault="00D8574B">
            <w:pPr>
              <w:pStyle w:val="P68B1DB1-Normal8"/>
              <w:spacing w:after="0" w:line="240" w:lineRule="auto"/>
              <w:jc w:val="center"/>
              <w:rPr>
                <w:rFonts w:eastAsia="Times New Roman" w:cs="Calibri"/>
                <w:noProof/>
              </w:rPr>
            </w:pPr>
            <w:r>
              <w:rPr>
                <w:noProof/>
              </w:rPr>
              <w:t>431</w:t>
            </w:r>
          </w:p>
        </w:tc>
        <w:tc>
          <w:tcPr>
            <w:tcW w:w="550" w:type="dxa"/>
            <w:shd w:val="clear" w:color="auto" w:fill="C4EFCE"/>
            <w:noWrap/>
            <w:vAlign w:val="center"/>
          </w:tcPr>
          <w:p w14:paraId="18F2223E" w14:textId="67B2F1DA" w:rsidR="00776A1F" w:rsidRDefault="00D8574B">
            <w:pPr>
              <w:pStyle w:val="P68B1DB1-Normal8"/>
              <w:spacing w:after="0" w:line="240" w:lineRule="auto"/>
              <w:jc w:val="center"/>
              <w:rPr>
                <w:rFonts w:eastAsia="Times New Roman" w:cs="Calibri"/>
                <w:noProof/>
              </w:rPr>
            </w:pPr>
            <w:r>
              <w:rPr>
                <w:noProof/>
              </w:rPr>
              <w:t>2. CET.</w:t>
            </w:r>
          </w:p>
        </w:tc>
        <w:tc>
          <w:tcPr>
            <w:tcW w:w="682" w:type="dxa"/>
            <w:shd w:val="clear" w:color="auto" w:fill="C4EFCE"/>
            <w:noWrap/>
            <w:vAlign w:val="center"/>
          </w:tcPr>
          <w:p w14:paraId="1C18699C" w14:textId="56F51900"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tcPr>
          <w:p w14:paraId="6849E419" w14:textId="44B1A1B2" w:rsidR="00776A1F" w:rsidRDefault="00D8574B">
            <w:pPr>
              <w:pStyle w:val="P68B1DB1-Normal8"/>
              <w:spacing w:line="240" w:lineRule="auto"/>
              <w:rPr>
                <w:rFonts w:eastAsia="Times New Roman" w:cs="Calibri"/>
                <w:noProof/>
              </w:rPr>
            </w:pPr>
            <w:r>
              <w:rPr>
                <w:noProof/>
              </w:rPr>
              <w:t>Darbojas 31 jauns iedzīvotāju veikals (</w:t>
            </w:r>
            <w:r>
              <w:rPr>
                <w:i/>
                <w:noProof/>
              </w:rPr>
              <w:t>Lojas de Cidadão</w:t>
            </w:r>
            <w:r>
              <w:rPr>
                <w:noProof/>
              </w:rPr>
              <w:t>) un 400 jaunas iedzīvotāju telpas (</w:t>
            </w:r>
            <w:r>
              <w:rPr>
                <w:i/>
                <w:noProof/>
              </w:rPr>
              <w:t>Espaços Cidadão</w:t>
            </w:r>
            <w:r>
              <w:rPr>
                <w:noProof/>
              </w:rPr>
              <w:t xml:space="preserve">).  </w:t>
            </w:r>
          </w:p>
          <w:p w14:paraId="6F984B47" w14:textId="3B47A9D3" w:rsidR="00776A1F" w:rsidRDefault="00D8574B">
            <w:pPr>
              <w:pStyle w:val="P68B1DB1-Normal8"/>
              <w:spacing w:line="240" w:lineRule="auto"/>
              <w:rPr>
                <w:rFonts w:eastAsia="Times New Roman" w:cs="Calibri"/>
                <w:noProof/>
              </w:rPr>
            </w:pPr>
            <w:r>
              <w:rPr>
                <w:noProof/>
              </w:rPr>
              <w:t>Jaunām ēkām primārās enerģijas vajadzības ir vismaz par 20 % zemākas nekā GNEĒ standarts.</w:t>
            </w:r>
          </w:p>
        </w:tc>
      </w:tr>
      <w:tr w:rsidR="00776A1F" w14:paraId="20304CE4" w14:textId="77777777">
        <w:trPr>
          <w:trHeight w:val="290"/>
        </w:trPr>
        <w:tc>
          <w:tcPr>
            <w:tcW w:w="1082" w:type="dxa"/>
            <w:shd w:val="clear" w:color="auto" w:fill="C4EFCE"/>
            <w:vAlign w:val="center"/>
          </w:tcPr>
          <w:p w14:paraId="3F6EF73B" w14:textId="54A6CD7F" w:rsidR="00776A1F" w:rsidRDefault="00D8574B">
            <w:pPr>
              <w:pStyle w:val="P68B1DB1-Normal7"/>
              <w:spacing w:after="0" w:line="240" w:lineRule="auto"/>
              <w:jc w:val="center"/>
              <w:rPr>
                <w:rFonts w:eastAsia="Times New Roman" w:cs="Calibri"/>
                <w:noProof/>
              </w:rPr>
            </w:pPr>
            <w:r>
              <w:rPr>
                <w:noProof/>
              </w:rPr>
              <w:t>19.27</w:t>
            </w:r>
          </w:p>
        </w:tc>
        <w:tc>
          <w:tcPr>
            <w:tcW w:w="1211" w:type="dxa"/>
            <w:shd w:val="clear" w:color="auto" w:fill="C4EFCE"/>
            <w:noWrap/>
            <w:vAlign w:val="center"/>
          </w:tcPr>
          <w:p w14:paraId="1F0F77AA" w14:textId="41ECE9F0" w:rsidR="00776A1F" w:rsidRDefault="00D8574B">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2F6E7772" w14:textId="38D77F2B"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3BE91D37" w14:textId="3B8C1000" w:rsidR="00776A1F" w:rsidRDefault="00D8574B">
            <w:pPr>
              <w:pStyle w:val="P68B1DB1-Normal8"/>
              <w:spacing w:after="0" w:line="240" w:lineRule="auto"/>
              <w:jc w:val="center"/>
              <w:rPr>
                <w:rFonts w:ascii="Arial" w:eastAsia="Arial" w:hAnsi="Arial" w:cs="Arial"/>
                <w:noProof/>
                <w:sz w:val="15"/>
              </w:rPr>
            </w:pPr>
            <w:r>
              <w:rPr>
                <w:noProof/>
              </w:rPr>
              <w:t>Pilsoņu pieteikums</w:t>
            </w:r>
          </w:p>
        </w:tc>
        <w:tc>
          <w:tcPr>
            <w:tcW w:w="1343" w:type="dxa"/>
            <w:shd w:val="clear" w:color="auto" w:fill="C4EFCE"/>
            <w:noWrap/>
            <w:vAlign w:val="center"/>
          </w:tcPr>
          <w:p w14:paraId="7912A7C9" w14:textId="336432D3" w:rsidR="00776A1F" w:rsidRDefault="00D8574B">
            <w:pPr>
              <w:pStyle w:val="P68B1DB1-Normal8"/>
              <w:spacing w:after="0" w:line="240" w:lineRule="auto"/>
              <w:jc w:val="center"/>
              <w:rPr>
                <w:rFonts w:eastAsia="Times New Roman" w:cs="Calibri"/>
                <w:noProof/>
              </w:rPr>
            </w:pPr>
            <w:r>
              <w:rPr>
                <w:noProof/>
              </w:rPr>
              <w:t>Pilsoņu pieteikuma iesniegšana</w:t>
            </w:r>
          </w:p>
        </w:tc>
        <w:tc>
          <w:tcPr>
            <w:tcW w:w="1134" w:type="dxa"/>
            <w:shd w:val="clear" w:color="auto" w:fill="C4EFCE"/>
            <w:noWrap/>
            <w:vAlign w:val="center"/>
          </w:tcPr>
          <w:p w14:paraId="5BBBBDEF" w14:textId="77777777" w:rsidR="00776A1F" w:rsidRDefault="00776A1F">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4C7253AA" w14:textId="77777777" w:rsidR="00776A1F" w:rsidRDefault="00776A1F">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5900726E" w14:textId="77777777" w:rsidR="00776A1F" w:rsidRDefault="00776A1F">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0132BF5B" w14:textId="226BA8E4"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tcPr>
          <w:p w14:paraId="12E3ADEC" w14:textId="0B99F5D6" w:rsidR="00776A1F" w:rsidRDefault="00D8574B">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4394027D" w14:textId="6D95096C" w:rsidR="00776A1F" w:rsidRDefault="00D8574B">
            <w:pPr>
              <w:pStyle w:val="P68B1DB1-Normal8"/>
              <w:spacing w:after="0" w:line="240" w:lineRule="auto"/>
              <w:rPr>
                <w:rFonts w:eastAsia="Times New Roman" w:cs="Calibri"/>
                <w:noProof/>
              </w:rPr>
            </w:pPr>
            <w:r>
              <w:rPr>
                <w:noProof/>
              </w:rPr>
              <w:t>Pilsoņu lietotne ir sākta un darbojas. Lietojumprogramma ļauj lietotājiem digitāli piekļūt populārākajiem sabiedriskajiem pakalpojumiem un citām funkcijām (piemēram, samaksai par pakalpojumiem).</w:t>
            </w:r>
          </w:p>
        </w:tc>
      </w:tr>
      <w:tr w:rsidR="00776A1F" w14:paraId="4C5FE56E" w14:textId="77777777">
        <w:trPr>
          <w:trHeight w:val="1460"/>
        </w:trPr>
        <w:tc>
          <w:tcPr>
            <w:tcW w:w="1082" w:type="dxa"/>
            <w:shd w:val="clear" w:color="auto" w:fill="C4EFCE"/>
            <w:vAlign w:val="center"/>
            <w:hideMark/>
          </w:tcPr>
          <w:p w14:paraId="056AA2D9" w14:textId="77777777" w:rsidR="00776A1F" w:rsidRDefault="00D8574B">
            <w:pPr>
              <w:pStyle w:val="P68B1DB1-Normal7"/>
              <w:spacing w:after="0" w:line="240" w:lineRule="auto"/>
              <w:jc w:val="center"/>
              <w:rPr>
                <w:rFonts w:eastAsia="Times New Roman" w:cs="Calibri"/>
                <w:noProof/>
              </w:rPr>
            </w:pPr>
            <w:r>
              <w:rPr>
                <w:noProof/>
              </w:rPr>
              <w:t>19.4</w:t>
            </w:r>
          </w:p>
        </w:tc>
        <w:tc>
          <w:tcPr>
            <w:tcW w:w="1211" w:type="dxa"/>
            <w:shd w:val="clear" w:color="auto" w:fill="C4EFCE"/>
            <w:noWrap/>
            <w:vAlign w:val="center"/>
            <w:hideMark/>
          </w:tcPr>
          <w:p w14:paraId="66F6086A" w14:textId="77777777" w:rsidR="00776A1F" w:rsidRDefault="00D8574B">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07ADC372"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302FA656" w14:textId="77777777" w:rsidR="00776A1F" w:rsidRDefault="00D8574B">
            <w:pPr>
              <w:pStyle w:val="P68B1DB1-Normal8"/>
              <w:spacing w:after="0" w:line="240" w:lineRule="auto"/>
              <w:jc w:val="center"/>
              <w:rPr>
                <w:rFonts w:eastAsia="Times New Roman" w:cs="Calibri"/>
                <w:noProof/>
              </w:rPr>
            </w:pPr>
            <w:r>
              <w:rPr>
                <w:noProof/>
              </w:rPr>
              <w:t>Publiskie pakalpojumi, kas ir droši pieejami, izmantojot elektronisko identitāti un ievērojot vienreizējas iesniegšanas principu</w:t>
            </w:r>
          </w:p>
        </w:tc>
        <w:tc>
          <w:tcPr>
            <w:tcW w:w="1343" w:type="dxa"/>
            <w:shd w:val="clear" w:color="auto" w:fill="C4EFCE"/>
            <w:noWrap/>
            <w:vAlign w:val="center"/>
            <w:hideMark/>
          </w:tcPr>
          <w:p w14:paraId="2F0CF461"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1F07FD7D"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10946C7F"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912ED93" w14:textId="77777777" w:rsidR="00776A1F" w:rsidRDefault="00D8574B">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5630E509" w14:textId="77777777" w:rsidR="00776A1F" w:rsidRDefault="00D8574B">
            <w:pPr>
              <w:pStyle w:val="P68B1DB1-Normal8"/>
              <w:spacing w:after="0" w:line="240" w:lineRule="auto"/>
              <w:jc w:val="center"/>
              <w:rPr>
                <w:rFonts w:eastAsia="Times New Roman" w:cs="Calibri"/>
                <w:noProof/>
              </w:rPr>
            </w:pPr>
            <w:r>
              <w:rPr>
                <w:noProof/>
              </w:rPr>
              <w:t>3. CET.</w:t>
            </w:r>
          </w:p>
        </w:tc>
        <w:tc>
          <w:tcPr>
            <w:tcW w:w="682" w:type="dxa"/>
            <w:shd w:val="clear" w:color="auto" w:fill="C4EFCE"/>
            <w:noWrap/>
            <w:vAlign w:val="center"/>
            <w:hideMark/>
          </w:tcPr>
          <w:p w14:paraId="2CCF72CC" w14:textId="77777777" w:rsidR="00776A1F" w:rsidRDefault="00D8574B">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2D73BE7F" w14:textId="77777777" w:rsidR="00776A1F" w:rsidRDefault="00EE722F">
            <w:pPr>
              <w:pStyle w:val="P68B1DB1-Normal8"/>
              <w:spacing w:after="0" w:line="240" w:lineRule="auto"/>
              <w:jc w:val="both"/>
              <w:rPr>
                <w:rFonts w:eastAsia="Times New Roman" w:cs="Calibri"/>
                <w:noProof/>
              </w:rPr>
            </w:pPr>
            <w:hyperlink r:id="rId348" w:history="1">
              <w:r w:rsidR="00D8574B">
                <w:rPr>
                  <w:noProof/>
                </w:rPr>
                <w:t>Iedzīvotājiem un uzņēmumiem pieejamo digitālo publisko pakalpojumu skaits, kas atkalizmanto iAP katalogā pieejamos datus (pieejams iap.gov.pt), uz kuriem attiecas elektroniskā identitāte (ja to pieprasa dienesti) un Personas datu kontroles sistēma valsts pārvaldē, un atklāto datu publicēšana tīmekļa vietnē www.dados.gov.pt.</w:t>
              </w:r>
            </w:hyperlink>
          </w:p>
        </w:tc>
      </w:tr>
      <w:tr w:rsidR="00776A1F" w14:paraId="68FF8B70" w14:textId="77777777">
        <w:trPr>
          <w:trHeight w:val="1460"/>
        </w:trPr>
        <w:tc>
          <w:tcPr>
            <w:tcW w:w="1082" w:type="dxa"/>
            <w:shd w:val="clear" w:color="auto" w:fill="C4EFCE"/>
            <w:vAlign w:val="center"/>
            <w:hideMark/>
          </w:tcPr>
          <w:p w14:paraId="15F177E4" w14:textId="77777777" w:rsidR="00776A1F" w:rsidRDefault="00D8574B">
            <w:pPr>
              <w:pStyle w:val="P68B1DB1-Normal7"/>
              <w:spacing w:after="0" w:line="240" w:lineRule="auto"/>
              <w:jc w:val="center"/>
              <w:rPr>
                <w:rFonts w:eastAsia="Times New Roman" w:cs="Calibri"/>
                <w:noProof/>
              </w:rPr>
            </w:pPr>
            <w:r>
              <w:rPr>
                <w:noProof/>
              </w:rPr>
              <w:t>19.5</w:t>
            </w:r>
          </w:p>
        </w:tc>
        <w:tc>
          <w:tcPr>
            <w:tcW w:w="1211" w:type="dxa"/>
            <w:shd w:val="clear" w:color="auto" w:fill="C4EFCE"/>
            <w:noWrap/>
            <w:vAlign w:val="center"/>
            <w:hideMark/>
          </w:tcPr>
          <w:p w14:paraId="6B9131E1" w14:textId="77777777" w:rsidR="00776A1F" w:rsidRDefault="00D8574B">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3C336C97"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1BD9AD68" w14:textId="77777777" w:rsidR="00776A1F" w:rsidRDefault="00D8574B">
            <w:pPr>
              <w:pStyle w:val="P68B1DB1-Normal8"/>
              <w:spacing w:after="0" w:line="240" w:lineRule="auto"/>
              <w:jc w:val="center"/>
              <w:rPr>
                <w:rFonts w:eastAsia="Times New Roman" w:cs="Calibri"/>
                <w:noProof/>
              </w:rPr>
            </w:pPr>
            <w:r>
              <w:rPr>
                <w:noProof/>
              </w:rPr>
              <w:t>Publiskie pakalpojumi, kas ir droši pieejami, izmantojot elektronisko identitāti un ievērojot vienreizējas iesniegšanas principu</w:t>
            </w:r>
          </w:p>
        </w:tc>
        <w:tc>
          <w:tcPr>
            <w:tcW w:w="1343" w:type="dxa"/>
            <w:shd w:val="clear" w:color="auto" w:fill="C4EFCE"/>
            <w:noWrap/>
            <w:vAlign w:val="center"/>
            <w:hideMark/>
          </w:tcPr>
          <w:p w14:paraId="08DE2C60"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4E591E30"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4BE803EF" w14:textId="77777777" w:rsidR="00776A1F" w:rsidRDefault="00D8574B">
            <w:pPr>
              <w:pStyle w:val="P68B1DB1-Normal8"/>
              <w:spacing w:after="0" w:line="240" w:lineRule="auto"/>
              <w:jc w:val="center"/>
              <w:rPr>
                <w:rFonts w:eastAsia="Times New Roman" w:cs="Calibri"/>
                <w:noProof/>
              </w:rPr>
            </w:pPr>
            <w:r>
              <w:rPr>
                <w:noProof/>
              </w:rPr>
              <w:t>5</w:t>
            </w:r>
          </w:p>
        </w:tc>
        <w:tc>
          <w:tcPr>
            <w:tcW w:w="682" w:type="dxa"/>
            <w:shd w:val="clear" w:color="auto" w:fill="C4EFCE"/>
            <w:noWrap/>
            <w:vAlign w:val="center"/>
            <w:hideMark/>
          </w:tcPr>
          <w:p w14:paraId="1EEBC244" w14:textId="77777777" w:rsidR="00776A1F" w:rsidRDefault="00D8574B">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55886765"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6CF36C79"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5195558B" w14:textId="77777777" w:rsidR="00776A1F" w:rsidRDefault="00EE722F">
            <w:pPr>
              <w:pStyle w:val="P68B1DB1-Normal8"/>
              <w:spacing w:after="0" w:line="240" w:lineRule="auto"/>
              <w:jc w:val="both"/>
              <w:rPr>
                <w:rFonts w:eastAsia="Times New Roman" w:cs="Calibri"/>
                <w:noProof/>
                <w:u w:val="single"/>
              </w:rPr>
            </w:pPr>
            <w:hyperlink r:id="rId349" w:history="1">
              <w:r w:rsidR="00D8574B">
                <w:rPr>
                  <w:noProof/>
                </w:rPr>
                <w:t>Iedzīvotājiem un uzņēmumiem pieejamo digitālo publisko pakalpojumu skaits, kas atkalizmanto iAP katalogā pieejamos datus (pieejami iap.gov.pt, uz kuriem attiecas elektroniskā identitāte (ja to pieprasa dienesti) un Personas datu kontroles sistēmā valsts pārvaldē, un atklāto datu publicēšana tīmekļa vietnē www.dados.gov.pt.</w:t>
              </w:r>
            </w:hyperlink>
          </w:p>
        </w:tc>
      </w:tr>
      <w:tr w:rsidR="00776A1F" w14:paraId="05EB17B2" w14:textId="77777777">
        <w:trPr>
          <w:trHeight w:val="2864"/>
        </w:trPr>
        <w:tc>
          <w:tcPr>
            <w:tcW w:w="1082" w:type="dxa"/>
            <w:shd w:val="clear" w:color="auto" w:fill="C4EFCE"/>
            <w:vAlign w:val="center"/>
            <w:hideMark/>
          </w:tcPr>
          <w:p w14:paraId="2E952EA4" w14:textId="77777777" w:rsidR="00776A1F" w:rsidRDefault="00D8574B">
            <w:pPr>
              <w:pStyle w:val="P68B1DB1-Normal7"/>
              <w:spacing w:after="0" w:line="240" w:lineRule="auto"/>
              <w:jc w:val="center"/>
              <w:rPr>
                <w:rFonts w:eastAsia="Times New Roman" w:cs="Calibri"/>
                <w:noProof/>
              </w:rPr>
            </w:pPr>
            <w:r>
              <w:rPr>
                <w:noProof/>
              </w:rPr>
              <w:t>19.6</w:t>
            </w:r>
          </w:p>
        </w:tc>
        <w:tc>
          <w:tcPr>
            <w:tcW w:w="1211" w:type="dxa"/>
            <w:shd w:val="clear" w:color="auto" w:fill="C4EFCE"/>
            <w:noWrap/>
            <w:vAlign w:val="center"/>
            <w:hideMark/>
          </w:tcPr>
          <w:p w14:paraId="2C2B1316" w14:textId="77777777" w:rsidR="00776A1F" w:rsidRDefault="00D8574B">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0B87EDBD"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78B82EB8" w14:textId="77777777" w:rsidR="00776A1F" w:rsidRDefault="00D8574B">
            <w:pPr>
              <w:pStyle w:val="P68B1DB1-Normal8"/>
              <w:spacing w:after="0" w:line="240" w:lineRule="auto"/>
              <w:jc w:val="center"/>
              <w:rPr>
                <w:rFonts w:eastAsia="Times New Roman" w:cs="Calibri"/>
                <w:noProof/>
              </w:rPr>
            </w:pPr>
            <w:r>
              <w:rPr>
                <w:noProof/>
              </w:rPr>
              <w:t>Teritoriālā informācijas infrastruktūra</w:t>
            </w:r>
          </w:p>
        </w:tc>
        <w:tc>
          <w:tcPr>
            <w:tcW w:w="1343" w:type="dxa"/>
            <w:shd w:val="clear" w:color="auto" w:fill="C4EFCE"/>
            <w:noWrap/>
            <w:vAlign w:val="center"/>
            <w:hideMark/>
          </w:tcPr>
          <w:p w14:paraId="4CE5387D" w14:textId="77777777" w:rsidR="00776A1F" w:rsidRDefault="00D8574B">
            <w:pPr>
              <w:pStyle w:val="P68B1DB1-Normal8"/>
              <w:spacing w:after="0" w:line="240" w:lineRule="auto"/>
              <w:rPr>
                <w:rFonts w:eastAsia="Times New Roman" w:cs="Calibri"/>
                <w:noProof/>
              </w:rPr>
            </w:pPr>
            <w:r>
              <w:rPr>
                <w:noProof/>
              </w:rPr>
              <w:t> </w:t>
            </w:r>
          </w:p>
        </w:tc>
        <w:tc>
          <w:tcPr>
            <w:tcW w:w="1134" w:type="dxa"/>
            <w:shd w:val="clear" w:color="auto" w:fill="C4EFCE"/>
            <w:noWrap/>
            <w:vAlign w:val="center"/>
            <w:hideMark/>
          </w:tcPr>
          <w:p w14:paraId="10B4DFC4" w14:textId="77777777" w:rsidR="00776A1F" w:rsidRDefault="00D8574B">
            <w:pPr>
              <w:pStyle w:val="P68B1DB1-Normal8"/>
              <w:spacing w:after="0" w:line="240" w:lineRule="auto"/>
              <w:jc w:val="center"/>
              <w:rPr>
                <w:rFonts w:eastAsia="Times New Roman" w:cs="Calibri"/>
                <w:noProof/>
              </w:rPr>
            </w:pPr>
            <w:r>
              <w:rPr>
                <w:noProof/>
              </w:rPr>
              <w:t> Skaits</w:t>
            </w:r>
          </w:p>
        </w:tc>
        <w:tc>
          <w:tcPr>
            <w:tcW w:w="947" w:type="dxa"/>
            <w:shd w:val="clear" w:color="auto" w:fill="C4EFCE"/>
            <w:noWrap/>
            <w:vAlign w:val="center"/>
            <w:hideMark/>
          </w:tcPr>
          <w:p w14:paraId="05F91934" w14:textId="77777777" w:rsidR="00776A1F" w:rsidRDefault="00D8574B">
            <w:pPr>
              <w:pStyle w:val="P68B1DB1-Normal8"/>
              <w:spacing w:after="0" w:line="240" w:lineRule="auto"/>
              <w:jc w:val="center"/>
              <w:rPr>
                <w:rFonts w:eastAsia="Times New Roman" w:cs="Calibri"/>
                <w:noProof/>
              </w:rPr>
            </w:pPr>
            <w:r>
              <w:rPr>
                <w:noProof/>
              </w:rPr>
              <w:t> 0</w:t>
            </w:r>
          </w:p>
        </w:tc>
        <w:tc>
          <w:tcPr>
            <w:tcW w:w="682" w:type="dxa"/>
            <w:shd w:val="clear" w:color="auto" w:fill="C4EFCE"/>
            <w:noWrap/>
            <w:vAlign w:val="center"/>
            <w:hideMark/>
          </w:tcPr>
          <w:p w14:paraId="40489FCE" w14:textId="77777777" w:rsidR="00776A1F" w:rsidRDefault="00D8574B">
            <w:pPr>
              <w:pStyle w:val="P68B1DB1-Normal8"/>
              <w:spacing w:after="0" w:line="240" w:lineRule="auto"/>
              <w:jc w:val="center"/>
              <w:rPr>
                <w:rFonts w:eastAsia="Times New Roman" w:cs="Calibri"/>
                <w:noProof/>
              </w:rPr>
            </w:pPr>
            <w:r>
              <w:rPr>
                <w:noProof/>
              </w:rPr>
              <w:t> 150</w:t>
            </w:r>
          </w:p>
        </w:tc>
        <w:tc>
          <w:tcPr>
            <w:tcW w:w="550" w:type="dxa"/>
            <w:shd w:val="clear" w:color="auto" w:fill="C4EFCE"/>
            <w:noWrap/>
            <w:vAlign w:val="center"/>
            <w:hideMark/>
          </w:tcPr>
          <w:p w14:paraId="3D27795A"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2E675188"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CAF8E18" w14:textId="77777777" w:rsidR="00776A1F" w:rsidRDefault="00D8574B">
            <w:pPr>
              <w:pStyle w:val="P68B1DB1-Normal8"/>
              <w:spacing w:after="0" w:line="240" w:lineRule="auto"/>
              <w:jc w:val="both"/>
              <w:rPr>
                <w:rFonts w:eastAsia="Times New Roman" w:cs="Calibri"/>
                <w:noProof/>
              </w:rPr>
            </w:pPr>
            <w:r>
              <w:rPr>
                <w:noProof/>
              </w:rPr>
              <w:t>To datu avotu skaits, kas integrēti teritoriālajā informācijas infrastruktūrā, kura aptver mājokļus, demogrāfisko un sociālo un ekonomisko informāciju. Datu avoti ietver administratīvos un apsekojumu mikrodatus (parasti privātpersonas vai organizācijas/uzņēmuma līmenī), kas tiek pakāpeniski integrēti Portugāles Statistikas sistēmā (izmantojot valsts datu infrastruktūru), sākot no sociālā nodrošinājuma, nodokļu iestādes un vairākām valsts pārvaldes struktūrām, kas ietilpst valdības izglītības, darba, veselības un tiesiskuma jomās, un pēc iespējas paplašinot aptvertos gadus (ikgadēja vai biežāka informācija). Katru datu avotu stabilizē (pārraide), apstrādā un analizē, lai būtu gatavs integrācijai un statistikas informācijas sagatavošanai visdetalizētākajā līmenī, jo īpaši reģionālajā dimensijā.</w:t>
            </w:r>
          </w:p>
        </w:tc>
      </w:tr>
      <w:tr w:rsidR="00776A1F" w14:paraId="021D13B4" w14:textId="77777777">
        <w:trPr>
          <w:trHeight w:val="1546"/>
        </w:trPr>
        <w:tc>
          <w:tcPr>
            <w:tcW w:w="1082" w:type="dxa"/>
            <w:shd w:val="clear" w:color="auto" w:fill="C4EFCE"/>
            <w:vAlign w:val="center"/>
            <w:hideMark/>
          </w:tcPr>
          <w:p w14:paraId="26F8CD80" w14:textId="77777777" w:rsidR="00776A1F" w:rsidRDefault="00D8574B">
            <w:pPr>
              <w:pStyle w:val="P68B1DB1-Normal7"/>
              <w:spacing w:after="0" w:line="240" w:lineRule="auto"/>
              <w:jc w:val="center"/>
              <w:rPr>
                <w:rFonts w:eastAsia="Times New Roman" w:cs="Calibri"/>
                <w:noProof/>
              </w:rPr>
            </w:pPr>
            <w:r>
              <w:rPr>
                <w:noProof/>
              </w:rPr>
              <w:t>19.7</w:t>
            </w:r>
          </w:p>
        </w:tc>
        <w:tc>
          <w:tcPr>
            <w:tcW w:w="1211" w:type="dxa"/>
            <w:shd w:val="clear" w:color="auto" w:fill="C4EFCE"/>
            <w:noWrap/>
            <w:vAlign w:val="center"/>
            <w:hideMark/>
          </w:tcPr>
          <w:p w14:paraId="31F06611" w14:textId="77777777" w:rsidR="00776A1F" w:rsidRDefault="00D8574B">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6E886759"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01F1C4FC" w14:textId="77777777" w:rsidR="00776A1F" w:rsidRDefault="00D8574B">
            <w:pPr>
              <w:pStyle w:val="P68B1DB1-Normal8"/>
              <w:spacing w:after="0" w:line="240" w:lineRule="auto"/>
              <w:jc w:val="center"/>
              <w:rPr>
                <w:rFonts w:eastAsia="Times New Roman" w:cs="Calibri"/>
                <w:noProof/>
              </w:rPr>
            </w:pPr>
            <w:r>
              <w:rPr>
                <w:noProof/>
              </w:rPr>
              <w:t>IT speciālistu apmācība kiberdrošības un informācijas drošības spēju stiprināšanai</w:t>
            </w:r>
          </w:p>
        </w:tc>
        <w:tc>
          <w:tcPr>
            <w:tcW w:w="1343" w:type="dxa"/>
            <w:shd w:val="clear" w:color="auto" w:fill="C4EFCE"/>
            <w:noWrap/>
            <w:vAlign w:val="center"/>
            <w:hideMark/>
          </w:tcPr>
          <w:p w14:paraId="331EB092"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3B688D49"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3500F57F"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00D6EA06" w14:textId="77777777" w:rsidR="00776A1F" w:rsidRDefault="00D8574B">
            <w:pPr>
              <w:pStyle w:val="P68B1DB1-Normal8"/>
              <w:spacing w:after="0" w:line="240" w:lineRule="auto"/>
              <w:jc w:val="center"/>
              <w:rPr>
                <w:rFonts w:eastAsia="Times New Roman" w:cs="Calibri"/>
                <w:noProof/>
              </w:rPr>
            </w:pPr>
            <w:r>
              <w:rPr>
                <w:noProof/>
              </w:rPr>
              <w:t>9 800</w:t>
            </w:r>
          </w:p>
        </w:tc>
        <w:tc>
          <w:tcPr>
            <w:tcW w:w="550" w:type="dxa"/>
            <w:shd w:val="clear" w:color="auto" w:fill="C4EFCE"/>
            <w:noWrap/>
            <w:vAlign w:val="center"/>
            <w:hideMark/>
          </w:tcPr>
          <w:p w14:paraId="4FDC9656"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5C8036E3"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DC67902" w14:textId="77777777" w:rsidR="00776A1F" w:rsidRDefault="00D8574B">
            <w:pPr>
              <w:pStyle w:val="P68B1DB1-Normal8"/>
              <w:spacing w:after="0" w:line="240" w:lineRule="auto"/>
              <w:jc w:val="both"/>
              <w:rPr>
                <w:rFonts w:eastAsia="Times New Roman" w:cs="Calibri"/>
                <w:noProof/>
              </w:rPr>
            </w:pPr>
            <w:r>
              <w:rPr>
                <w:noProof/>
              </w:rPr>
              <w:t>To IT speciālistu skaits, kas apmācīti septiņu jaunizveidotu kiberdrošības kompetenču centru tīklā. Centri nodrošina padziļinātas prasmes kiberdrošības un informācijas drošības jomā, izmantojot apmācības un prakses programmas Valsts kiberdrošības centrā (CNCS) publiskās pārvaldes IKT darbiniekiem (mācīšanās klātienē vai telemātiskā apmācība).</w:t>
            </w:r>
          </w:p>
        </w:tc>
      </w:tr>
      <w:tr w:rsidR="00776A1F" w14:paraId="6EAE2210" w14:textId="77777777">
        <w:trPr>
          <w:trHeight w:val="1690"/>
        </w:trPr>
        <w:tc>
          <w:tcPr>
            <w:tcW w:w="1082" w:type="dxa"/>
            <w:shd w:val="clear" w:color="auto" w:fill="C4EFCE"/>
            <w:vAlign w:val="center"/>
            <w:hideMark/>
          </w:tcPr>
          <w:p w14:paraId="308988EE" w14:textId="77777777" w:rsidR="00776A1F" w:rsidRDefault="00D8574B">
            <w:pPr>
              <w:pStyle w:val="P68B1DB1-Normal7"/>
              <w:spacing w:after="0" w:line="240" w:lineRule="auto"/>
              <w:jc w:val="center"/>
              <w:rPr>
                <w:rFonts w:eastAsia="Times New Roman" w:cs="Calibri"/>
                <w:noProof/>
              </w:rPr>
            </w:pPr>
            <w:r>
              <w:rPr>
                <w:noProof/>
              </w:rPr>
              <w:t>19.8</w:t>
            </w:r>
          </w:p>
        </w:tc>
        <w:tc>
          <w:tcPr>
            <w:tcW w:w="1211" w:type="dxa"/>
            <w:shd w:val="clear" w:color="auto" w:fill="C4EFCE"/>
            <w:noWrap/>
            <w:vAlign w:val="center"/>
            <w:hideMark/>
          </w:tcPr>
          <w:p w14:paraId="2756D035" w14:textId="77777777" w:rsidR="00776A1F" w:rsidRDefault="00D8574B">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487E3F25"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2E4949A1" w14:textId="77777777" w:rsidR="00776A1F" w:rsidRDefault="00D8574B">
            <w:pPr>
              <w:pStyle w:val="P68B1DB1-Normal8"/>
              <w:spacing w:after="0" w:line="240" w:lineRule="auto"/>
              <w:jc w:val="center"/>
              <w:rPr>
                <w:rFonts w:eastAsia="Times New Roman" w:cs="Calibri"/>
                <w:noProof/>
              </w:rPr>
            </w:pPr>
            <w:r>
              <w:rPr>
                <w:noProof/>
              </w:rPr>
              <w:t>Portugāles kriptogrāfijas risinājuma pieņemšana valsts iestādēs</w:t>
            </w:r>
          </w:p>
        </w:tc>
        <w:tc>
          <w:tcPr>
            <w:tcW w:w="1343" w:type="dxa"/>
            <w:shd w:val="clear" w:color="auto" w:fill="C4EFCE"/>
            <w:noWrap/>
            <w:vAlign w:val="center"/>
            <w:hideMark/>
          </w:tcPr>
          <w:p w14:paraId="4C9A8180" w14:textId="77777777" w:rsidR="00776A1F" w:rsidRDefault="00D8574B">
            <w:pPr>
              <w:pStyle w:val="P68B1DB1-Normal8"/>
              <w:spacing w:after="0" w:line="240" w:lineRule="auto"/>
              <w:rPr>
                <w:rFonts w:eastAsia="Times New Roman" w:cs="Calibri"/>
                <w:noProof/>
              </w:rPr>
            </w:pPr>
            <w:r>
              <w:rPr>
                <w:noProof/>
              </w:rPr>
              <w:t> </w:t>
            </w:r>
          </w:p>
        </w:tc>
        <w:tc>
          <w:tcPr>
            <w:tcW w:w="1134" w:type="dxa"/>
            <w:shd w:val="clear" w:color="auto" w:fill="C4EFCE"/>
            <w:noWrap/>
            <w:vAlign w:val="center"/>
            <w:hideMark/>
          </w:tcPr>
          <w:p w14:paraId="5E66E76F"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2CC988A8"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A8C6E1F" w14:textId="77777777" w:rsidR="00776A1F" w:rsidRDefault="00D8574B">
            <w:pPr>
              <w:pStyle w:val="P68B1DB1-Normal8"/>
              <w:spacing w:after="0" w:line="240" w:lineRule="auto"/>
              <w:jc w:val="center"/>
              <w:rPr>
                <w:rFonts w:eastAsia="Times New Roman" w:cs="Calibri"/>
                <w:noProof/>
              </w:rPr>
            </w:pPr>
            <w:r>
              <w:rPr>
                <w:noProof/>
              </w:rPr>
              <w:t>150</w:t>
            </w:r>
          </w:p>
        </w:tc>
        <w:tc>
          <w:tcPr>
            <w:tcW w:w="550" w:type="dxa"/>
            <w:shd w:val="clear" w:color="auto" w:fill="C4EFCE"/>
            <w:noWrap/>
            <w:vAlign w:val="center"/>
            <w:hideMark/>
          </w:tcPr>
          <w:p w14:paraId="086973FB"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50931A0E"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65B7BEE" w14:textId="77777777" w:rsidR="00776A1F" w:rsidRDefault="00D8574B">
            <w:pPr>
              <w:pStyle w:val="P68B1DB1-Normal8"/>
              <w:spacing w:after="0" w:line="240" w:lineRule="auto"/>
              <w:jc w:val="both"/>
              <w:rPr>
                <w:rFonts w:eastAsia="Times New Roman" w:cs="Calibri"/>
                <w:noProof/>
              </w:rPr>
            </w:pPr>
            <w:r>
              <w:rPr>
                <w:noProof/>
              </w:rPr>
              <w:t>To publisko iestāžu skaits, kurām ir nodrošināts kriptogrāfiskais aprīkojums, kas atbilst juridiskajām prasībām [</w:t>
            </w:r>
            <w:r>
              <w:rPr>
                <w:i/>
                <w:noProof/>
              </w:rPr>
              <w:t>Resolução do Conselho de Ministros, n.° 16/96, de 22 de março — Instruções para a Segurança Nacional, Segurança das Telecomunicações (SEGNAC 3), Capítulo 3</w:t>
            </w:r>
            <w:r>
              <w:rPr>
                <w:noProof/>
              </w:rPr>
              <w:t xml:space="preserve"> /Ministru padomes Rezolūcija, Nr. 16/96, 22. marts — Instructions for National Security, Telecommunications Security (SEGNAC 3), 3. nodaļa]. </w:t>
            </w:r>
          </w:p>
        </w:tc>
      </w:tr>
      <w:tr w:rsidR="00776A1F" w14:paraId="4FEFFAA1" w14:textId="77777777">
        <w:trPr>
          <w:trHeight w:val="1969"/>
        </w:trPr>
        <w:tc>
          <w:tcPr>
            <w:tcW w:w="1082" w:type="dxa"/>
            <w:shd w:val="clear" w:color="auto" w:fill="C4EFCE"/>
            <w:vAlign w:val="center"/>
          </w:tcPr>
          <w:p w14:paraId="3A68F726" w14:textId="59EE31D4" w:rsidR="00776A1F" w:rsidRDefault="00D8574B">
            <w:pPr>
              <w:pStyle w:val="P68B1DB1-Normal7"/>
              <w:spacing w:after="0" w:line="240" w:lineRule="auto"/>
              <w:jc w:val="center"/>
              <w:rPr>
                <w:rFonts w:eastAsia="Times New Roman" w:cs="Calibri"/>
                <w:noProof/>
              </w:rPr>
            </w:pPr>
            <w:r>
              <w:rPr>
                <w:noProof/>
              </w:rPr>
              <w:t>19.9</w:t>
            </w:r>
          </w:p>
        </w:tc>
        <w:tc>
          <w:tcPr>
            <w:tcW w:w="1211" w:type="dxa"/>
            <w:shd w:val="clear" w:color="auto" w:fill="C4EFCE"/>
            <w:noWrap/>
            <w:vAlign w:val="center"/>
          </w:tcPr>
          <w:p w14:paraId="67DE3F13" w14:textId="744B2D80" w:rsidR="00776A1F" w:rsidRDefault="00D8574B">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tcPr>
          <w:p w14:paraId="5426B223" w14:textId="1A66F3E2"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6B8CDAAE" w14:textId="05621BA1" w:rsidR="00776A1F" w:rsidRDefault="00D8574B">
            <w:pPr>
              <w:pStyle w:val="P68B1DB1-Normal8"/>
              <w:spacing w:after="0" w:line="240" w:lineRule="auto"/>
              <w:jc w:val="center"/>
              <w:rPr>
                <w:rFonts w:eastAsia="Times New Roman" w:cs="Calibri"/>
                <w:noProof/>
              </w:rPr>
            </w:pPr>
            <w:r>
              <w:rPr>
                <w:noProof/>
              </w:rPr>
              <w:t>Nacionālā kiberdrošības satvara īstenošana</w:t>
            </w:r>
          </w:p>
        </w:tc>
        <w:tc>
          <w:tcPr>
            <w:tcW w:w="1343" w:type="dxa"/>
            <w:shd w:val="clear" w:color="auto" w:fill="C4EFCE"/>
            <w:noWrap/>
            <w:vAlign w:val="center"/>
          </w:tcPr>
          <w:p w14:paraId="15AE299E" w14:textId="77777777" w:rsidR="00776A1F" w:rsidRDefault="00776A1F">
            <w:pPr>
              <w:spacing w:after="0" w:line="240" w:lineRule="auto"/>
              <w:rPr>
                <w:rFonts w:ascii="Calibri" w:eastAsia="Times New Roman" w:hAnsi="Calibri" w:cs="Calibri"/>
                <w:noProof/>
                <w:sz w:val="16"/>
              </w:rPr>
            </w:pPr>
          </w:p>
        </w:tc>
        <w:tc>
          <w:tcPr>
            <w:tcW w:w="1134" w:type="dxa"/>
            <w:shd w:val="clear" w:color="auto" w:fill="C4EFCE"/>
            <w:noWrap/>
            <w:vAlign w:val="center"/>
          </w:tcPr>
          <w:p w14:paraId="557F5529" w14:textId="47FFDC85"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tcPr>
          <w:p w14:paraId="10F2D9AB" w14:textId="31D9A02A"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tcPr>
          <w:p w14:paraId="4F952B72" w14:textId="3DF121B4" w:rsidR="00776A1F" w:rsidRDefault="00D8574B">
            <w:pPr>
              <w:pStyle w:val="P68B1DB1-Normal8"/>
              <w:spacing w:after="0" w:line="240" w:lineRule="auto"/>
              <w:jc w:val="center"/>
              <w:rPr>
                <w:rFonts w:eastAsia="Times New Roman" w:cs="Calibri"/>
                <w:noProof/>
              </w:rPr>
            </w:pPr>
            <w:r>
              <w:rPr>
                <w:noProof/>
              </w:rPr>
              <w:t>47</w:t>
            </w:r>
          </w:p>
        </w:tc>
        <w:tc>
          <w:tcPr>
            <w:tcW w:w="550" w:type="dxa"/>
            <w:shd w:val="clear" w:color="auto" w:fill="C4EFCE"/>
            <w:noWrap/>
            <w:vAlign w:val="center"/>
          </w:tcPr>
          <w:p w14:paraId="28B08257" w14:textId="1AD527DF"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tcPr>
          <w:p w14:paraId="168519DA" w14:textId="5F4A2B04"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tcPr>
          <w:p w14:paraId="0B3D764C" w14:textId="37515DD9" w:rsidR="00776A1F" w:rsidRDefault="00D8574B">
            <w:pPr>
              <w:pStyle w:val="P68B1DB1-Normal8"/>
              <w:spacing w:after="0" w:line="240" w:lineRule="auto"/>
              <w:jc w:val="both"/>
              <w:rPr>
                <w:rFonts w:eastAsia="Times New Roman" w:cs="Calibri"/>
                <w:noProof/>
              </w:rPr>
            </w:pPr>
            <w:r>
              <w:rPr>
                <w:noProof/>
              </w:rPr>
              <w:t>Jaunu valsts pārvaldes struktūru skaits, uz kurām attiecas valsts kiberdrošības satvars (sk. TD-r34 reformu). Šīm vienībām ir jāizstrādā kiberdrošības rādītāji, jāīsteno valsts un ES kiberdrošības tiesiskais regulējums, tostarp ar atbilstības novērtēšanas struktūru un jaunu revidentu starpniecību, kā arī jādefinē un jāuzrauga zināšanu un informācijas drošības sadarbības un informācijas apmaiņas pārvaldības modelis.</w:t>
            </w:r>
          </w:p>
        </w:tc>
      </w:tr>
      <w:tr w:rsidR="00776A1F" w14:paraId="2F6B4CDF" w14:textId="77777777">
        <w:trPr>
          <w:trHeight w:val="430"/>
        </w:trPr>
        <w:tc>
          <w:tcPr>
            <w:tcW w:w="1082" w:type="dxa"/>
            <w:shd w:val="clear" w:color="auto" w:fill="C4EFCE"/>
            <w:vAlign w:val="center"/>
            <w:hideMark/>
          </w:tcPr>
          <w:p w14:paraId="312AB79F" w14:textId="77777777" w:rsidR="00776A1F" w:rsidRDefault="00D8574B">
            <w:pPr>
              <w:pStyle w:val="P68B1DB1-Normal7"/>
              <w:spacing w:after="0" w:line="240" w:lineRule="auto"/>
              <w:jc w:val="center"/>
              <w:rPr>
                <w:rFonts w:eastAsia="Times New Roman" w:cs="Calibri"/>
                <w:noProof/>
              </w:rPr>
            </w:pPr>
            <w:r>
              <w:rPr>
                <w:noProof/>
              </w:rPr>
              <w:t>19.10</w:t>
            </w:r>
          </w:p>
        </w:tc>
        <w:tc>
          <w:tcPr>
            <w:tcW w:w="1211" w:type="dxa"/>
            <w:shd w:val="clear" w:color="auto" w:fill="C4EFCE"/>
            <w:noWrap/>
            <w:vAlign w:val="center"/>
            <w:hideMark/>
          </w:tcPr>
          <w:p w14:paraId="4ED32827" w14:textId="77777777" w:rsidR="00776A1F" w:rsidRDefault="00D8574B">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15B82E65"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55D8A471" w14:textId="77777777" w:rsidR="00776A1F" w:rsidRDefault="00D8574B">
            <w:pPr>
              <w:pStyle w:val="P68B1DB1-Normal8"/>
              <w:spacing w:after="0" w:line="240" w:lineRule="auto"/>
              <w:jc w:val="center"/>
              <w:rPr>
                <w:rFonts w:eastAsia="Times New Roman" w:cs="Calibri"/>
                <w:noProof/>
              </w:rPr>
            </w:pPr>
            <w:r>
              <w:rPr>
                <w:noProof/>
              </w:rPr>
              <w:t>Kiberdrošības un informācijas drošības iestāžu izveides pabeigšana</w:t>
            </w:r>
          </w:p>
        </w:tc>
        <w:tc>
          <w:tcPr>
            <w:tcW w:w="1343" w:type="dxa"/>
            <w:shd w:val="clear" w:color="auto" w:fill="C4EFCE"/>
            <w:noWrap/>
            <w:vAlign w:val="center"/>
            <w:hideMark/>
          </w:tcPr>
          <w:p w14:paraId="73297563" w14:textId="77777777" w:rsidR="00776A1F" w:rsidRDefault="00D8574B">
            <w:pPr>
              <w:pStyle w:val="P68B1DB1-Normal8"/>
              <w:spacing w:after="0" w:line="240" w:lineRule="auto"/>
              <w:jc w:val="center"/>
              <w:rPr>
                <w:rFonts w:eastAsia="Times New Roman" w:cs="Calibri"/>
                <w:noProof/>
              </w:rPr>
            </w:pPr>
            <w:r>
              <w:rPr>
                <w:noProof/>
              </w:rPr>
              <w:t xml:space="preserve">Kiberdrošības un informācijas drošības iestāžu izveides pabeigšana </w:t>
            </w:r>
          </w:p>
        </w:tc>
        <w:tc>
          <w:tcPr>
            <w:tcW w:w="1134" w:type="dxa"/>
            <w:shd w:val="clear" w:color="auto" w:fill="C4EFCE"/>
            <w:noWrap/>
            <w:vAlign w:val="center"/>
            <w:hideMark/>
          </w:tcPr>
          <w:p w14:paraId="18895E37"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947" w:type="dxa"/>
            <w:shd w:val="clear" w:color="auto" w:fill="C4EFCE"/>
            <w:noWrap/>
            <w:vAlign w:val="center"/>
            <w:hideMark/>
          </w:tcPr>
          <w:p w14:paraId="68F01236"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682" w:type="dxa"/>
            <w:shd w:val="clear" w:color="auto" w:fill="C4EFCE"/>
            <w:noWrap/>
            <w:vAlign w:val="center"/>
            <w:hideMark/>
          </w:tcPr>
          <w:p w14:paraId="5CF77E3A"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550" w:type="dxa"/>
            <w:shd w:val="clear" w:color="auto" w:fill="C4EFCE"/>
            <w:noWrap/>
            <w:vAlign w:val="center"/>
            <w:hideMark/>
          </w:tcPr>
          <w:p w14:paraId="1DB26465"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5FC22AB1"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6ECA463" w14:textId="77777777" w:rsidR="00776A1F" w:rsidRDefault="00D8574B">
            <w:pPr>
              <w:pStyle w:val="P68B1DB1-Normal8"/>
              <w:spacing w:after="0" w:line="240" w:lineRule="auto"/>
              <w:jc w:val="both"/>
              <w:rPr>
                <w:rFonts w:eastAsia="Times New Roman" w:cs="Calibri"/>
                <w:noProof/>
              </w:rPr>
            </w:pPr>
            <w:r>
              <w:rPr>
                <w:noProof/>
              </w:rPr>
              <w:t>Ēku darbu pabeigšana un aprīkojuma uzstādīšana ar atbilstošiem tehnoloģiskiem un drošības nosacījumiem triju kiberdrošības un informācijas drošības iestāžu būvniecībai.</w:t>
            </w:r>
          </w:p>
        </w:tc>
      </w:tr>
      <w:tr w:rsidR="00776A1F" w14:paraId="3DC45753" w14:textId="77777777">
        <w:trPr>
          <w:trHeight w:val="430"/>
        </w:trPr>
        <w:tc>
          <w:tcPr>
            <w:tcW w:w="1082" w:type="dxa"/>
            <w:shd w:val="clear" w:color="auto" w:fill="C4EFCE"/>
            <w:vAlign w:val="center"/>
            <w:hideMark/>
          </w:tcPr>
          <w:p w14:paraId="4270D7DC" w14:textId="77777777" w:rsidR="00776A1F" w:rsidRDefault="00D8574B">
            <w:pPr>
              <w:pStyle w:val="P68B1DB1-Normal7"/>
              <w:spacing w:after="0" w:line="240" w:lineRule="auto"/>
              <w:jc w:val="center"/>
              <w:rPr>
                <w:rFonts w:eastAsia="Times New Roman" w:cs="Calibri"/>
                <w:noProof/>
              </w:rPr>
            </w:pPr>
            <w:r>
              <w:rPr>
                <w:noProof/>
              </w:rPr>
              <w:t>19.11</w:t>
            </w:r>
          </w:p>
        </w:tc>
        <w:tc>
          <w:tcPr>
            <w:tcW w:w="1211" w:type="dxa"/>
            <w:shd w:val="clear" w:color="auto" w:fill="C4EFCE"/>
            <w:noWrap/>
            <w:vAlign w:val="center"/>
            <w:hideMark/>
          </w:tcPr>
          <w:p w14:paraId="7E15EC62" w14:textId="77777777" w:rsidR="00776A1F" w:rsidRDefault="00D8574B">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2A1A6729"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51F4579A" w14:textId="77777777" w:rsidR="00776A1F" w:rsidRDefault="00D8574B">
            <w:pPr>
              <w:pStyle w:val="P68B1DB1-Normal8"/>
              <w:spacing w:after="0" w:line="240" w:lineRule="auto"/>
              <w:jc w:val="center"/>
              <w:rPr>
                <w:rFonts w:eastAsia="Times New Roman" w:cs="Calibri"/>
                <w:noProof/>
              </w:rPr>
            </w:pPr>
            <w:r>
              <w:rPr>
                <w:noProof/>
              </w:rPr>
              <w:t>Droša mobilo sakaru sistēma valdības darbiniekiem</w:t>
            </w:r>
          </w:p>
        </w:tc>
        <w:tc>
          <w:tcPr>
            <w:tcW w:w="1343" w:type="dxa"/>
            <w:shd w:val="clear" w:color="auto" w:fill="C4EFCE"/>
            <w:noWrap/>
            <w:vAlign w:val="center"/>
            <w:hideMark/>
          </w:tcPr>
          <w:p w14:paraId="25D18244"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17F43F1" w14:textId="77777777" w:rsidR="00776A1F" w:rsidRDefault="00D8574B">
            <w:pPr>
              <w:pStyle w:val="P68B1DB1-Normal8"/>
              <w:spacing w:after="0" w:line="240" w:lineRule="auto"/>
              <w:jc w:val="center"/>
              <w:rPr>
                <w:rFonts w:eastAsia="Times New Roman" w:cs="Calibri"/>
                <w:noProof/>
              </w:rPr>
            </w:pPr>
            <w:r>
              <w:rPr>
                <w:noProof/>
              </w:rPr>
              <w:t>%</w:t>
            </w:r>
          </w:p>
        </w:tc>
        <w:tc>
          <w:tcPr>
            <w:tcW w:w="947" w:type="dxa"/>
            <w:shd w:val="clear" w:color="auto" w:fill="C4EFCE"/>
            <w:noWrap/>
            <w:vAlign w:val="center"/>
            <w:hideMark/>
          </w:tcPr>
          <w:p w14:paraId="3A5E5B34"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50DDAE09" w14:textId="77777777" w:rsidR="00776A1F" w:rsidRDefault="00D8574B">
            <w:pPr>
              <w:pStyle w:val="P68B1DB1-Normal8"/>
              <w:spacing w:after="0" w:line="240" w:lineRule="auto"/>
              <w:jc w:val="center"/>
              <w:rPr>
                <w:rFonts w:eastAsia="Times New Roman" w:cs="Calibri"/>
                <w:noProof/>
              </w:rPr>
            </w:pPr>
            <w:r>
              <w:rPr>
                <w:noProof/>
              </w:rPr>
              <w:t>95</w:t>
            </w:r>
          </w:p>
        </w:tc>
        <w:tc>
          <w:tcPr>
            <w:tcW w:w="550" w:type="dxa"/>
            <w:shd w:val="clear" w:color="auto" w:fill="C4EFCE"/>
            <w:noWrap/>
            <w:vAlign w:val="center"/>
            <w:hideMark/>
          </w:tcPr>
          <w:p w14:paraId="636A686F" w14:textId="77777777" w:rsidR="00776A1F" w:rsidRDefault="00D8574B">
            <w:pPr>
              <w:pStyle w:val="P68B1DB1-Normal8"/>
              <w:spacing w:after="0" w:line="240" w:lineRule="auto"/>
              <w:jc w:val="center"/>
              <w:rPr>
                <w:rFonts w:eastAsia="Times New Roman" w:cs="Calibri"/>
                <w:noProof/>
              </w:rPr>
            </w:pPr>
            <w:r>
              <w:rPr>
                <w:noProof/>
              </w:rPr>
              <w:t>2. CET.</w:t>
            </w:r>
          </w:p>
        </w:tc>
        <w:tc>
          <w:tcPr>
            <w:tcW w:w="682" w:type="dxa"/>
            <w:shd w:val="clear" w:color="auto" w:fill="C4EFCE"/>
            <w:noWrap/>
            <w:vAlign w:val="center"/>
            <w:hideMark/>
          </w:tcPr>
          <w:p w14:paraId="04354A03" w14:textId="77777777" w:rsidR="00776A1F" w:rsidRDefault="00D8574B">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0B6506D9" w14:textId="77777777" w:rsidR="00776A1F" w:rsidRDefault="00D8574B">
            <w:pPr>
              <w:pStyle w:val="P68B1DB1-Normal8"/>
              <w:spacing w:after="0" w:line="240" w:lineRule="auto"/>
              <w:jc w:val="both"/>
              <w:rPr>
                <w:rFonts w:eastAsia="Times New Roman" w:cs="Calibri"/>
                <w:noProof/>
              </w:rPr>
            </w:pPr>
            <w:r>
              <w:rPr>
                <w:noProof/>
              </w:rPr>
              <w:t>To valdības darbinieku procentuālā daļa, kuriem ir piekļuve drošai balss, ziņojumapmaiņas un video sakaru sistēmai.</w:t>
            </w:r>
          </w:p>
        </w:tc>
      </w:tr>
      <w:tr w:rsidR="00776A1F" w14:paraId="3CA6562D" w14:textId="77777777">
        <w:trPr>
          <w:trHeight w:val="290"/>
        </w:trPr>
        <w:tc>
          <w:tcPr>
            <w:tcW w:w="1082" w:type="dxa"/>
            <w:shd w:val="clear" w:color="auto" w:fill="C4EFCE"/>
            <w:vAlign w:val="center"/>
            <w:hideMark/>
          </w:tcPr>
          <w:p w14:paraId="3056D03D" w14:textId="77777777" w:rsidR="00776A1F" w:rsidRDefault="00D8574B">
            <w:pPr>
              <w:pStyle w:val="P68B1DB1-Normal7"/>
              <w:spacing w:after="0" w:line="240" w:lineRule="auto"/>
              <w:jc w:val="center"/>
              <w:rPr>
                <w:rFonts w:eastAsia="Times New Roman" w:cs="Calibri"/>
                <w:noProof/>
              </w:rPr>
            </w:pPr>
            <w:r>
              <w:rPr>
                <w:noProof/>
              </w:rPr>
              <w:t>19.12</w:t>
            </w:r>
          </w:p>
        </w:tc>
        <w:tc>
          <w:tcPr>
            <w:tcW w:w="1211" w:type="dxa"/>
            <w:shd w:val="clear" w:color="auto" w:fill="C4EFCE"/>
            <w:noWrap/>
            <w:vAlign w:val="center"/>
            <w:hideMark/>
          </w:tcPr>
          <w:p w14:paraId="0D7F79C6" w14:textId="77777777" w:rsidR="00776A1F" w:rsidRDefault="00D8574B">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6E6F4A96"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3E8D5C65" w14:textId="77777777" w:rsidR="00776A1F" w:rsidRDefault="00D8574B">
            <w:pPr>
              <w:pStyle w:val="P68B1DB1-Normal8"/>
              <w:spacing w:after="0" w:line="240" w:lineRule="auto"/>
              <w:jc w:val="center"/>
              <w:rPr>
                <w:rFonts w:eastAsia="Times New Roman" w:cs="Calibri"/>
                <w:noProof/>
              </w:rPr>
            </w:pPr>
            <w:r>
              <w:rPr>
                <w:noProof/>
              </w:rPr>
              <w:t xml:space="preserve">Kritisko digitālo infrastruktūru modernizācijas pabeigšana </w:t>
            </w:r>
          </w:p>
        </w:tc>
        <w:tc>
          <w:tcPr>
            <w:tcW w:w="1343" w:type="dxa"/>
            <w:shd w:val="clear" w:color="auto" w:fill="C4EFCE"/>
            <w:noWrap/>
            <w:vAlign w:val="center"/>
            <w:hideMark/>
          </w:tcPr>
          <w:p w14:paraId="501E6AED" w14:textId="77777777" w:rsidR="00776A1F" w:rsidRDefault="00D8574B">
            <w:pPr>
              <w:pStyle w:val="P68B1DB1-Normal8"/>
              <w:spacing w:after="0" w:line="240" w:lineRule="auto"/>
              <w:jc w:val="center"/>
              <w:rPr>
                <w:rFonts w:eastAsia="Times New Roman" w:cs="Calibri"/>
                <w:noProof/>
              </w:rPr>
            </w:pPr>
            <w:r>
              <w:rPr>
                <w:noProof/>
              </w:rPr>
              <w:t>Valsts iekšējās drošības tīkla un Valsts sakaru ārkārtas tīkla modernizācijas pabeigšana</w:t>
            </w:r>
          </w:p>
        </w:tc>
        <w:tc>
          <w:tcPr>
            <w:tcW w:w="1134" w:type="dxa"/>
            <w:shd w:val="clear" w:color="auto" w:fill="C4EFCE"/>
            <w:noWrap/>
            <w:vAlign w:val="center"/>
            <w:hideMark/>
          </w:tcPr>
          <w:p w14:paraId="39F8F6F1" w14:textId="77777777" w:rsidR="00776A1F" w:rsidRDefault="00D8574B">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1F264429" w14:textId="77777777" w:rsidR="00776A1F" w:rsidRDefault="00D8574B">
            <w:pPr>
              <w:pStyle w:val="P68B1DB1-Normal8"/>
              <w:spacing w:after="0" w:line="240" w:lineRule="auto"/>
              <w:rPr>
                <w:rFonts w:eastAsia="Times New Roman" w:cs="Calibri"/>
                <w:noProof/>
              </w:rPr>
            </w:pPr>
            <w:r>
              <w:rPr>
                <w:noProof/>
              </w:rPr>
              <w:t> </w:t>
            </w:r>
          </w:p>
        </w:tc>
        <w:tc>
          <w:tcPr>
            <w:tcW w:w="682" w:type="dxa"/>
            <w:shd w:val="clear" w:color="auto" w:fill="C4EFCE"/>
            <w:noWrap/>
            <w:vAlign w:val="center"/>
            <w:hideMark/>
          </w:tcPr>
          <w:p w14:paraId="1A118CBF" w14:textId="77777777" w:rsidR="00776A1F" w:rsidRDefault="00D8574B">
            <w:pPr>
              <w:pStyle w:val="P68B1DB1-Normal8"/>
              <w:spacing w:after="0" w:line="240" w:lineRule="auto"/>
              <w:rPr>
                <w:rFonts w:eastAsia="Times New Roman" w:cs="Calibri"/>
                <w:noProof/>
              </w:rPr>
            </w:pPr>
            <w:r>
              <w:rPr>
                <w:noProof/>
              </w:rPr>
              <w:t> </w:t>
            </w:r>
          </w:p>
        </w:tc>
        <w:tc>
          <w:tcPr>
            <w:tcW w:w="550" w:type="dxa"/>
            <w:shd w:val="clear" w:color="auto" w:fill="C4EFCE"/>
            <w:noWrap/>
            <w:vAlign w:val="center"/>
            <w:hideMark/>
          </w:tcPr>
          <w:p w14:paraId="2E51498A" w14:textId="09975352"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7F7EF7EA" w14:textId="0D64379A" w:rsidR="00776A1F" w:rsidRDefault="00D8574B">
            <w:pPr>
              <w:pStyle w:val="P68B1DB1-Normal8"/>
              <w:spacing w:after="0" w:line="240" w:lineRule="auto"/>
              <w:jc w:val="right"/>
              <w:rPr>
                <w:rFonts w:eastAsia="Times New Roman" w:cs="Calibri"/>
                <w:noProof/>
              </w:rPr>
            </w:pPr>
            <w:r>
              <w:rPr>
                <w:noProof/>
              </w:rPr>
              <w:t>2024</w:t>
            </w:r>
          </w:p>
        </w:tc>
        <w:tc>
          <w:tcPr>
            <w:tcW w:w="4458" w:type="dxa"/>
            <w:shd w:val="clear" w:color="auto" w:fill="C4EFCE"/>
            <w:hideMark/>
          </w:tcPr>
          <w:p w14:paraId="4312DD38" w14:textId="77777777" w:rsidR="00776A1F" w:rsidRDefault="00D8574B">
            <w:pPr>
              <w:pStyle w:val="P68B1DB1-Normal8"/>
              <w:spacing w:after="0" w:line="240" w:lineRule="auto"/>
              <w:jc w:val="both"/>
              <w:rPr>
                <w:rFonts w:eastAsia="Calibri" w:cs="Calibri"/>
                <w:noProof/>
              </w:rPr>
            </w:pPr>
            <w:r>
              <w:rPr>
                <w:noProof/>
              </w:rPr>
              <w:t xml:space="preserve">Kritisko digitālo infrastruktūru modernizācijas pabeigšana: 60 % no papildu jaudas īstenošanas valsts iekšējās drošības tīklā, tostarp augsta datu apstrādes jauda, noturība un drošība: </w:t>
            </w:r>
          </w:p>
          <w:p w14:paraId="44F9C278" w14:textId="4B066DDA" w:rsidR="00776A1F" w:rsidRDefault="00D8574B">
            <w:pPr>
              <w:pStyle w:val="P68B1DB1-Normal8"/>
              <w:spacing w:after="0" w:line="240" w:lineRule="auto"/>
              <w:jc w:val="both"/>
              <w:rPr>
                <w:rFonts w:eastAsia="Times New Roman" w:cs="Calibri"/>
                <w:noProof/>
              </w:rPr>
            </w:pPr>
            <w:r>
              <w:rPr>
                <w:noProof/>
              </w:rPr>
              <w:t>55 % no Valsts sakaru ārkārtas tīkla pilnīga teritoriālā pārklājuma, kapacitātes un atlaišanas gadījumiem</w:t>
            </w:r>
          </w:p>
        </w:tc>
      </w:tr>
      <w:tr w:rsidR="00776A1F" w14:paraId="3F8BAA6B" w14:textId="77777777">
        <w:trPr>
          <w:trHeight w:val="290"/>
        </w:trPr>
        <w:tc>
          <w:tcPr>
            <w:tcW w:w="1082" w:type="dxa"/>
            <w:shd w:val="clear" w:color="auto" w:fill="C4EFCE"/>
            <w:vAlign w:val="center"/>
            <w:hideMark/>
          </w:tcPr>
          <w:p w14:paraId="60B7CB28" w14:textId="77777777" w:rsidR="00776A1F" w:rsidRDefault="00D8574B">
            <w:pPr>
              <w:pStyle w:val="P68B1DB1-Normal7"/>
              <w:spacing w:after="0" w:line="240" w:lineRule="auto"/>
              <w:jc w:val="center"/>
              <w:rPr>
                <w:rFonts w:eastAsia="Times New Roman" w:cs="Calibri"/>
                <w:noProof/>
              </w:rPr>
            </w:pPr>
            <w:r>
              <w:rPr>
                <w:noProof/>
              </w:rPr>
              <w:t>19.13</w:t>
            </w:r>
          </w:p>
        </w:tc>
        <w:tc>
          <w:tcPr>
            <w:tcW w:w="1211" w:type="dxa"/>
            <w:shd w:val="clear" w:color="auto" w:fill="C4EFCE"/>
            <w:noWrap/>
            <w:vAlign w:val="center"/>
            <w:hideMark/>
          </w:tcPr>
          <w:p w14:paraId="05F9B74B" w14:textId="77777777" w:rsidR="00776A1F" w:rsidRDefault="00D8574B">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57F97217"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179ABEE4" w14:textId="77777777" w:rsidR="00776A1F" w:rsidRDefault="00D8574B">
            <w:pPr>
              <w:pStyle w:val="P68B1DB1-Normal8"/>
              <w:spacing w:after="0" w:line="240" w:lineRule="auto"/>
              <w:jc w:val="center"/>
              <w:rPr>
                <w:rFonts w:eastAsia="Times New Roman" w:cs="Calibri"/>
                <w:noProof/>
              </w:rPr>
            </w:pPr>
            <w:r>
              <w:rPr>
                <w:noProof/>
              </w:rPr>
              <w:t xml:space="preserve">Kritisko digitālo infrastruktūru modernizācijas pabeigšana </w:t>
            </w:r>
          </w:p>
        </w:tc>
        <w:tc>
          <w:tcPr>
            <w:tcW w:w="1343" w:type="dxa"/>
            <w:shd w:val="clear" w:color="auto" w:fill="C4EFCE"/>
            <w:noWrap/>
            <w:vAlign w:val="center"/>
            <w:hideMark/>
          </w:tcPr>
          <w:p w14:paraId="2699DED6" w14:textId="77777777" w:rsidR="00776A1F" w:rsidRDefault="00D8574B">
            <w:pPr>
              <w:pStyle w:val="P68B1DB1-Normal8"/>
              <w:spacing w:after="0" w:line="240" w:lineRule="auto"/>
              <w:jc w:val="center"/>
              <w:rPr>
                <w:rFonts w:eastAsia="Times New Roman" w:cs="Calibri"/>
                <w:noProof/>
              </w:rPr>
            </w:pPr>
            <w:r>
              <w:rPr>
                <w:noProof/>
              </w:rPr>
              <w:t>Valsts iekšējās drošības tīkla un Valsts sakaru ārkārtas tīkla modernizācijas pabeigšana</w:t>
            </w:r>
          </w:p>
        </w:tc>
        <w:tc>
          <w:tcPr>
            <w:tcW w:w="1134" w:type="dxa"/>
            <w:shd w:val="clear" w:color="auto" w:fill="C4EFCE"/>
            <w:noWrap/>
            <w:vAlign w:val="center"/>
            <w:hideMark/>
          </w:tcPr>
          <w:p w14:paraId="78067F72" w14:textId="77777777" w:rsidR="00776A1F" w:rsidRDefault="00D8574B">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2C543219" w14:textId="77777777" w:rsidR="00776A1F" w:rsidRDefault="00D8574B">
            <w:pPr>
              <w:pStyle w:val="P68B1DB1-Normal8"/>
              <w:spacing w:after="0" w:line="240" w:lineRule="auto"/>
              <w:rPr>
                <w:rFonts w:eastAsia="Times New Roman" w:cs="Calibri"/>
                <w:noProof/>
              </w:rPr>
            </w:pPr>
            <w:r>
              <w:rPr>
                <w:noProof/>
              </w:rPr>
              <w:t> </w:t>
            </w:r>
          </w:p>
        </w:tc>
        <w:tc>
          <w:tcPr>
            <w:tcW w:w="682" w:type="dxa"/>
            <w:shd w:val="clear" w:color="auto" w:fill="C4EFCE"/>
            <w:noWrap/>
            <w:vAlign w:val="center"/>
            <w:hideMark/>
          </w:tcPr>
          <w:p w14:paraId="3512C253" w14:textId="77777777" w:rsidR="00776A1F" w:rsidRDefault="00D8574B">
            <w:pPr>
              <w:pStyle w:val="P68B1DB1-Normal8"/>
              <w:spacing w:after="0" w:line="240" w:lineRule="auto"/>
              <w:rPr>
                <w:rFonts w:eastAsia="Times New Roman" w:cs="Calibri"/>
                <w:noProof/>
              </w:rPr>
            </w:pPr>
            <w:r>
              <w:rPr>
                <w:noProof/>
              </w:rPr>
              <w:t> </w:t>
            </w:r>
          </w:p>
        </w:tc>
        <w:tc>
          <w:tcPr>
            <w:tcW w:w="550" w:type="dxa"/>
            <w:shd w:val="clear" w:color="auto" w:fill="C4EFCE"/>
            <w:noWrap/>
            <w:vAlign w:val="center"/>
            <w:hideMark/>
          </w:tcPr>
          <w:p w14:paraId="2BB5AA71" w14:textId="77777777"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hideMark/>
          </w:tcPr>
          <w:p w14:paraId="7358850B" w14:textId="77777777" w:rsidR="00776A1F" w:rsidRDefault="00D8574B">
            <w:pPr>
              <w:pStyle w:val="P68B1DB1-Normal8"/>
              <w:spacing w:after="0" w:line="240" w:lineRule="auto"/>
              <w:jc w:val="right"/>
              <w:rPr>
                <w:rFonts w:eastAsia="Times New Roman" w:cs="Calibri"/>
                <w:noProof/>
              </w:rPr>
            </w:pPr>
            <w:r>
              <w:rPr>
                <w:noProof/>
              </w:rPr>
              <w:t>2025</w:t>
            </w:r>
          </w:p>
        </w:tc>
        <w:tc>
          <w:tcPr>
            <w:tcW w:w="4458" w:type="dxa"/>
            <w:shd w:val="clear" w:color="auto" w:fill="C4EFCE"/>
            <w:vAlign w:val="center"/>
            <w:hideMark/>
          </w:tcPr>
          <w:p w14:paraId="3FAC7FB6" w14:textId="77777777" w:rsidR="00776A1F" w:rsidRDefault="00D8574B">
            <w:pPr>
              <w:pStyle w:val="P68B1DB1-Normal8"/>
              <w:spacing w:after="0" w:line="240" w:lineRule="auto"/>
              <w:jc w:val="both"/>
              <w:rPr>
                <w:rFonts w:eastAsia="Calibri" w:cs="Calibri"/>
                <w:noProof/>
              </w:rPr>
            </w:pPr>
            <w:r>
              <w:rPr>
                <w:noProof/>
              </w:rPr>
              <w:t xml:space="preserve">Kritisko digitālo infrastruktūru modernizācijas pabeigšana: papildu jaudas darbības uzsākšana valsts iekšējās drošības tīklā, tostarp augsta datu apstrādes jauda, noturība un drošība: </w:t>
            </w:r>
          </w:p>
          <w:p w14:paraId="4A3AF4F0" w14:textId="77777777" w:rsidR="00776A1F" w:rsidRDefault="00D8574B">
            <w:pPr>
              <w:pStyle w:val="P68B1DB1-Normal8"/>
              <w:spacing w:after="0" w:line="240" w:lineRule="auto"/>
              <w:jc w:val="both"/>
              <w:rPr>
                <w:rFonts w:eastAsia="Calibri" w:cs="Calibri"/>
                <w:noProof/>
              </w:rPr>
            </w:pPr>
            <w:r>
              <w:rPr>
                <w:noProof/>
              </w:rPr>
              <w:t xml:space="preserve">II) Jaunu tehnoloģisko arhitektūru, sistēmu un rīku ieviešana, kas spēj nodrošināt viedu automatizāciju un sarežģītību </w:t>
            </w:r>
          </w:p>
          <w:p w14:paraId="25F4E897" w14:textId="455BEF95" w:rsidR="00776A1F" w:rsidRDefault="00D8574B">
            <w:pPr>
              <w:pStyle w:val="P68B1DB1-Normal8"/>
              <w:spacing w:after="0" w:line="240" w:lineRule="auto"/>
              <w:jc w:val="both"/>
              <w:rPr>
                <w:rFonts w:eastAsia="Times New Roman" w:cs="Calibri"/>
                <w:noProof/>
              </w:rPr>
            </w:pPr>
            <w:r>
              <w:rPr>
                <w:noProof/>
              </w:rPr>
              <w:t>III) Valsts sakaru ārkārtas tīkls: pilnīga teritoriālā pārklājuma sasniegšana un tās kapacitātes uzlabošana un darbinieku atlaišana</w:t>
            </w:r>
          </w:p>
        </w:tc>
      </w:tr>
      <w:tr w:rsidR="00776A1F" w14:paraId="0A8D9375" w14:textId="77777777">
        <w:trPr>
          <w:trHeight w:val="290"/>
        </w:trPr>
        <w:tc>
          <w:tcPr>
            <w:tcW w:w="1082" w:type="dxa"/>
            <w:shd w:val="clear" w:color="auto" w:fill="C4EFCE"/>
            <w:vAlign w:val="center"/>
            <w:hideMark/>
          </w:tcPr>
          <w:p w14:paraId="59CF7E22" w14:textId="77777777" w:rsidR="00776A1F" w:rsidRDefault="00D8574B">
            <w:pPr>
              <w:pStyle w:val="P68B1DB1-Normal7"/>
              <w:spacing w:after="0" w:line="240" w:lineRule="auto"/>
              <w:jc w:val="center"/>
              <w:rPr>
                <w:rFonts w:eastAsia="Times New Roman" w:cs="Calibri"/>
                <w:noProof/>
              </w:rPr>
            </w:pPr>
            <w:r>
              <w:rPr>
                <w:noProof/>
              </w:rPr>
              <w:t>19.14</w:t>
            </w:r>
          </w:p>
        </w:tc>
        <w:tc>
          <w:tcPr>
            <w:tcW w:w="1211" w:type="dxa"/>
            <w:shd w:val="clear" w:color="auto" w:fill="C4EFCE"/>
            <w:noWrap/>
            <w:vAlign w:val="center"/>
            <w:hideMark/>
          </w:tcPr>
          <w:p w14:paraId="0826B3A0" w14:textId="77777777" w:rsidR="00776A1F" w:rsidRDefault="00D8574B">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4FC5A95C"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6CFF1D03" w14:textId="77777777" w:rsidR="00776A1F" w:rsidRDefault="00D8574B">
            <w:pPr>
              <w:pStyle w:val="P68B1DB1-Normal8"/>
              <w:spacing w:after="0" w:line="240" w:lineRule="auto"/>
              <w:jc w:val="center"/>
              <w:rPr>
                <w:rFonts w:eastAsia="Times New Roman" w:cs="Calibri"/>
                <w:noProof/>
              </w:rPr>
            </w:pPr>
            <w:r>
              <w:rPr>
                <w:noProof/>
              </w:rPr>
              <w:t>Drošības spēku un pakalpojumu IT sistēmas modernizācija</w:t>
            </w:r>
          </w:p>
        </w:tc>
        <w:tc>
          <w:tcPr>
            <w:tcW w:w="1343" w:type="dxa"/>
            <w:shd w:val="clear" w:color="auto" w:fill="C4EFCE"/>
            <w:noWrap/>
            <w:vAlign w:val="center"/>
            <w:hideMark/>
          </w:tcPr>
          <w:p w14:paraId="12090031" w14:textId="77777777" w:rsidR="00776A1F" w:rsidRDefault="00D8574B">
            <w:pPr>
              <w:pStyle w:val="P68B1DB1-Normal8"/>
              <w:spacing w:after="0" w:line="240" w:lineRule="auto"/>
              <w:jc w:val="center"/>
              <w:rPr>
                <w:rFonts w:eastAsia="Times New Roman" w:cs="Calibri"/>
                <w:noProof/>
              </w:rPr>
            </w:pPr>
            <w:r>
              <w:rPr>
                <w:noProof/>
              </w:rPr>
              <w:t>Drošības spēku un pakalpojumu IT sistēmu modernizācija</w:t>
            </w:r>
          </w:p>
        </w:tc>
        <w:tc>
          <w:tcPr>
            <w:tcW w:w="1134" w:type="dxa"/>
            <w:shd w:val="clear" w:color="auto" w:fill="C4EFCE"/>
            <w:noWrap/>
            <w:vAlign w:val="center"/>
            <w:hideMark/>
          </w:tcPr>
          <w:p w14:paraId="7E591444" w14:textId="77777777" w:rsidR="00776A1F" w:rsidRDefault="00D8574B">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3A6B64F2" w14:textId="77777777" w:rsidR="00776A1F" w:rsidRDefault="00D8574B">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450C75A6" w14:textId="77777777" w:rsidR="00776A1F" w:rsidRDefault="00D8574B">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0A0A4410" w14:textId="77777777" w:rsidR="00776A1F" w:rsidRDefault="00D8574B">
            <w:pPr>
              <w:pStyle w:val="P68B1DB1-Normal8"/>
              <w:spacing w:after="0" w:line="240" w:lineRule="auto"/>
              <w:jc w:val="center"/>
              <w:rPr>
                <w:rFonts w:eastAsia="Times New Roman" w:cs="Calibri"/>
                <w:noProof/>
              </w:rPr>
            </w:pPr>
            <w:r>
              <w:rPr>
                <w:noProof/>
              </w:rPr>
              <w:t xml:space="preserve">4. CET. </w:t>
            </w:r>
          </w:p>
        </w:tc>
        <w:tc>
          <w:tcPr>
            <w:tcW w:w="682" w:type="dxa"/>
            <w:shd w:val="clear" w:color="auto" w:fill="C4EFCE"/>
            <w:noWrap/>
            <w:vAlign w:val="center"/>
            <w:hideMark/>
          </w:tcPr>
          <w:p w14:paraId="46E1DCB9" w14:textId="77777777" w:rsidR="00776A1F" w:rsidRDefault="00D8574B">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hideMark/>
          </w:tcPr>
          <w:p w14:paraId="73F537E7" w14:textId="77777777" w:rsidR="00776A1F" w:rsidRDefault="00D8574B">
            <w:pPr>
              <w:pStyle w:val="P68B1DB1-Normal8"/>
              <w:spacing w:after="0" w:line="240" w:lineRule="auto"/>
              <w:jc w:val="both"/>
              <w:rPr>
                <w:rFonts w:eastAsia="Times New Roman" w:cs="Calibri"/>
                <w:noProof/>
              </w:rPr>
            </w:pPr>
            <w:r>
              <w:rPr>
                <w:noProof/>
              </w:rPr>
              <w:t xml:space="preserve">Drošības spēku un pakalpojumu IT sistēmu modernizācija: </w:t>
            </w:r>
          </w:p>
          <w:p w14:paraId="61DD86E9" w14:textId="0DD5A6A7" w:rsidR="00776A1F" w:rsidRDefault="00D8574B">
            <w:pPr>
              <w:pStyle w:val="P68B1DB1-Normal8"/>
              <w:spacing w:after="0" w:line="240" w:lineRule="auto"/>
              <w:jc w:val="both"/>
              <w:rPr>
                <w:rFonts w:eastAsia="Times New Roman" w:cs="Calibri"/>
                <w:noProof/>
              </w:rPr>
            </w:pPr>
            <w:r>
              <w:rPr>
                <w:noProof/>
              </w:rPr>
              <w:t>atjaunoto SEF IT sistēmu darbības uzsākšana (robežu pārvaldība un kontrole, policijas un tiesu iestāžu sadarbība un kopējā Eiropas patvēruma sistēma); b) kopīgi IT pakalpojumi drošības spēkos un dienestos</w:t>
            </w:r>
          </w:p>
        </w:tc>
      </w:tr>
      <w:tr w:rsidR="00776A1F" w14:paraId="09BA9EDE" w14:textId="77777777">
        <w:trPr>
          <w:trHeight w:val="640"/>
        </w:trPr>
        <w:tc>
          <w:tcPr>
            <w:tcW w:w="1082" w:type="dxa"/>
            <w:shd w:val="clear" w:color="auto" w:fill="C4EFCE"/>
            <w:vAlign w:val="center"/>
            <w:hideMark/>
          </w:tcPr>
          <w:p w14:paraId="6AD2F9D4" w14:textId="77777777" w:rsidR="00776A1F" w:rsidRDefault="00D8574B">
            <w:pPr>
              <w:pStyle w:val="P68B1DB1-Normal7"/>
              <w:spacing w:after="0" w:line="240" w:lineRule="auto"/>
              <w:jc w:val="center"/>
              <w:rPr>
                <w:rFonts w:eastAsia="Times New Roman" w:cs="Calibri"/>
                <w:noProof/>
              </w:rPr>
            </w:pPr>
            <w:r>
              <w:rPr>
                <w:noProof/>
              </w:rPr>
              <w:t>19.15</w:t>
            </w:r>
          </w:p>
        </w:tc>
        <w:tc>
          <w:tcPr>
            <w:tcW w:w="1211" w:type="dxa"/>
            <w:shd w:val="clear" w:color="auto" w:fill="C4EFCE"/>
            <w:noWrap/>
            <w:vAlign w:val="center"/>
            <w:hideMark/>
          </w:tcPr>
          <w:p w14:paraId="3AC7180D" w14:textId="77777777" w:rsidR="00776A1F" w:rsidRDefault="00D8574B">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02F28311"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2C9ADC93" w14:textId="77777777" w:rsidR="00776A1F" w:rsidRDefault="00D8574B">
            <w:pPr>
              <w:pStyle w:val="P68B1DB1-Normal8"/>
              <w:spacing w:after="0" w:line="240" w:lineRule="auto"/>
              <w:jc w:val="center"/>
              <w:rPr>
                <w:rFonts w:eastAsia="Times New Roman" w:cs="Calibri"/>
                <w:noProof/>
              </w:rPr>
            </w:pPr>
            <w:r>
              <w:rPr>
                <w:noProof/>
              </w:rPr>
              <w:t>Stiprināt valdības IT tīkla pārvaldības centru (RING)</w:t>
            </w:r>
          </w:p>
        </w:tc>
        <w:tc>
          <w:tcPr>
            <w:tcW w:w="1343" w:type="dxa"/>
            <w:shd w:val="clear" w:color="auto" w:fill="C4EFCE"/>
            <w:noWrap/>
            <w:vAlign w:val="center"/>
            <w:hideMark/>
          </w:tcPr>
          <w:p w14:paraId="4C0CAC20" w14:textId="77777777" w:rsidR="00776A1F" w:rsidRDefault="00D8574B">
            <w:pPr>
              <w:pStyle w:val="P68B1DB1-Normal8"/>
              <w:spacing w:after="0" w:line="240" w:lineRule="auto"/>
              <w:jc w:val="center"/>
              <w:rPr>
                <w:rFonts w:eastAsia="Times New Roman" w:cs="Calibri"/>
                <w:noProof/>
              </w:rPr>
            </w:pPr>
            <w:r>
              <w:rPr>
                <w:noProof/>
              </w:rPr>
              <w:t xml:space="preserve"> Stiprināt valdības IT tīkla pārvaldības centru (RING) </w:t>
            </w:r>
          </w:p>
        </w:tc>
        <w:tc>
          <w:tcPr>
            <w:tcW w:w="1134" w:type="dxa"/>
            <w:shd w:val="clear" w:color="auto" w:fill="C4EFCE"/>
            <w:noWrap/>
            <w:vAlign w:val="center"/>
            <w:hideMark/>
          </w:tcPr>
          <w:p w14:paraId="1D34255D" w14:textId="77777777" w:rsidR="00776A1F" w:rsidRDefault="00D8574B">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748A1D2D" w14:textId="77777777" w:rsidR="00776A1F" w:rsidRDefault="00D8574B">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718E309F" w14:textId="77777777" w:rsidR="00776A1F" w:rsidRDefault="00D8574B">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76EC258A"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5C6920FB"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8233525" w14:textId="77777777" w:rsidR="00776A1F" w:rsidRDefault="00D8574B">
            <w:pPr>
              <w:pStyle w:val="P68B1DB1-Normal8"/>
              <w:spacing w:after="0" w:line="240" w:lineRule="auto"/>
              <w:jc w:val="both"/>
              <w:rPr>
                <w:rFonts w:eastAsia="Times New Roman" w:cs="Calibri"/>
                <w:noProof/>
              </w:rPr>
            </w:pPr>
            <w:r>
              <w:rPr>
                <w:noProof/>
              </w:rPr>
              <w:t xml:space="preserve">Mērķis ir stiprināt RING, modernizējot piecas RING kritiskās tehnoloģiskās infrastruktūras (ugunsmūra aizsardzība; skaitļošana, uzglabāšana un dublēšana; VoIP telefonija; videokonferences; un lietojumprogrammu ekosistēma) un mākoņdatošana) un galveno informācijas sistēmu attīstības uzlabošana </w:t>
            </w:r>
          </w:p>
        </w:tc>
      </w:tr>
      <w:tr w:rsidR="00776A1F" w14:paraId="0767329D" w14:textId="77777777">
        <w:trPr>
          <w:trHeight w:val="953"/>
        </w:trPr>
        <w:tc>
          <w:tcPr>
            <w:tcW w:w="1082" w:type="dxa"/>
            <w:shd w:val="clear" w:color="auto" w:fill="C4EFCE"/>
            <w:vAlign w:val="center"/>
          </w:tcPr>
          <w:p w14:paraId="18FB6E3B" w14:textId="16CADAA5" w:rsidR="00776A1F" w:rsidRDefault="00D8574B">
            <w:pPr>
              <w:pStyle w:val="P68B1DB1-Normal7"/>
              <w:spacing w:after="0" w:line="240" w:lineRule="auto"/>
              <w:jc w:val="center"/>
              <w:rPr>
                <w:rFonts w:eastAsia="Times New Roman" w:cs="Calibri"/>
                <w:noProof/>
              </w:rPr>
            </w:pPr>
            <w:r>
              <w:rPr>
                <w:noProof/>
              </w:rPr>
              <w:t>19.28</w:t>
            </w:r>
          </w:p>
        </w:tc>
        <w:tc>
          <w:tcPr>
            <w:tcW w:w="1211" w:type="dxa"/>
            <w:shd w:val="clear" w:color="auto" w:fill="C4EFCE"/>
            <w:noWrap/>
            <w:vAlign w:val="center"/>
          </w:tcPr>
          <w:p w14:paraId="00C07FA4" w14:textId="7F329DC4" w:rsidR="00776A1F" w:rsidRDefault="00D8574B">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tcPr>
          <w:p w14:paraId="73ED5E83" w14:textId="53DB6063"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744FC0AC" w14:textId="7F580C3A" w:rsidR="00776A1F" w:rsidRDefault="00D8574B">
            <w:pPr>
              <w:pStyle w:val="P68B1DB1-Normal8"/>
              <w:spacing w:after="0" w:line="240" w:lineRule="auto"/>
              <w:jc w:val="center"/>
              <w:rPr>
                <w:rFonts w:eastAsia="Times New Roman" w:cs="Calibri"/>
                <w:noProof/>
              </w:rPr>
            </w:pPr>
            <w:r>
              <w:rPr>
                <w:noProof/>
              </w:rPr>
              <w:t xml:space="preserve">Centralizētas datu pārvaldības risinājuma funkcionālais prototips </w:t>
            </w:r>
          </w:p>
        </w:tc>
        <w:tc>
          <w:tcPr>
            <w:tcW w:w="1343" w:type="dxa"/>
            <w:shd w:val="clear" w:color="auto" w:fill="C4EFCE"/>
            <w:noWrap/>
            <w:vAlign w:val="center"/>
          </w:tcPr>
          <w:p w14:paraId="329F803E" w14:textId="193C5F33" w:rsidR="00776A1F" w:rsidRDefault="00D8574B">
            <w:pPr>
              <w:pStyle w:val="P68B1DB1-Normal8"/>
              <w:spacing w:after="0" w:line="240" w:lineRule="auto"/>
              <w:jc w:val="center"/>
              <w:rPr>
                <w:rFonts w:eastAsia="Times New Roman" w:cs="Calibri"/>
                <w:noProof/>
              </w:rPr>
            </w:pPr>
            <w:r>
              <w:rPr>
                <w:noProof/>
              </w:rPr>
              <w:t>Funkcionālais prototips darbojas</w:t>
            </w:r>
          </w:p>
        </w:tc>
        <w:tc>
          <w:tcPr>
            <w:tcW w:w="1134" w:type="dxa"/>
            <w:shd w:val="clear" w:color="auto" w:fill="C4EFCE"/>
            <w:noWrap/>
            <w:vAlign w:val="center"/>
          </w:tcPr>
          <w:p w14:paraId="2C07AACF" w14:textId="77777777" w:rsidR="00776A1F" w:rsidRDefault="00776A1F">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3D308A56" w14:textId="77777777" w:rsidR="00776A1F" w:rsidRDefault="00776A1F">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0A37D57E" w14:textId="77777777" w:rsidR="00776A1F" w:rsidRDefault="00776A1F">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1B060ADB" w14:textId="3C1CE63E"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tcPr>
          <w:p w14:paraId="51DB435B" w14:textId="3BB9B3A3" w:rsidR="00776A1F" w:rsidRDefault="00D8574B">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tcPr>
          <w:p w14:paraId="5E2D4942" w14:textId="77777777" w:rsidR="00776A1F" w:rsidRDefault="00D8574B">
            <w:pPr>
              <w:pStyle w:val="P68B1DB1-Normal8"/>
              <w:tabs>
                <w:tab w:val="left" w:pos="710"/>
                <w:tab w:val="right" w:pos="1963"/>
              </w:tabs>
              <w:spacing w:after="0" w:line="240" w:lineRule="auto"/>
              <w:jc w:val="both"/>
              <w:rPr>
                <w:rFonts w:eastAsia="Times New Roman" w:cs="Calibri"/>
                <w:noProof/>
              </w:rPr>
            </w:pPr>
            <w:r>
              <w:rPr>
                <w:noProof/>
              </w:rPr>
              <w:t>Funkcionālā prototipa palaišana. Prototips spēj imitēt šādas funkcijas:</w:t>
            </w:r>
          </w:p>
          <w:p w14:paraId="0A60490A" w14:textId="77777777" w:rsidR="00776A1F" w:rsidRDefault="00D8574B">
            <w:pPr>
              <w:pStyle w:val="P68B1DB1-Normal8"/>
              <w:tabs>
                <w:tab w:val="left" w:pos="710"/>
                <w:tab w:val="right" w:pos="1963"/>
              </w:tabs>
              <w:spacing w:after="0" w:line="240" w:lineRule="auto"/>
              <w:jc w:val="both"/>
              <w:rPr>
                <w:rFonts w:eastAsia="Times New Roman" w:cs="Calibri"/>
                <w:noProof/>
              </w:rPr>
            </w:pPr>
            <w:r>
              <w:rPr>
                <w:noProof/>
              </w:rPr>
              <w:t>Izveidot rīkus, lai ar MI algoritmiem identificētu neefektivitāti, krāpšanu un citas riska jomas;</w:t>
            </w:r>
          </w:p>
          <w:p w14:paraId="2ADEB2DD" w14:textId="77777777" w:rsidR="00776A1F" w:rsidRDefault="00D8574B">
            <w:pPr>
              <w:pStyle w:val="P68B1DB1-Normal8"/>
              <w:spacing w:after="0" w:line="240" w:lineRule="auto"/>
              <w:jc w:val="both"/>
              <w:rPr>
                <w:rFonts w:eastAsia="Times New Roman" w:cs="Calibri"/>
                <w:noProof/>
              </w:rPr>
            </w:pPr>
            <w:r>
              <w:rPr>
                <w:noProof/>
              </w:rPr>
              <w:t xml:space="preserve">Darīt mākslīgā intelekta pakalpojumus pieejamus dažādām valsts pārvaldes jomām </w:t>
            </w:r>
          </w:p>
          <w:p w14:paraId="63B3E50E" w14:textId="567A0FC0" w:rsidR="00776A1F" w:rsidRDefault="00D8574B">
            <w:pPr>
              <w:pStyle w:val="P68B1DB1-Normal8"/>
              <w:spacing w:after="0" w:line="240" w:lineRule="auto"/>
              <w:jc w:val="both"/>
              <w:rPr>
                <w:rFonts w:eastAsia="Times New Roman" w:cs="Calibri"/>
                <w:noProof/>
              </w:rPr>
            </w:pPr>
            <w:r>
              <w:rPr>
                <w:noProof/>
              </w:rPr>
              <w:t>—Automatizēt lēmumu pieņemšanu dažādās valsts pārvaldes jomās.</w:t>
            </w:r>
          </w:p>
        </w:tc>
      </w:tr>
      <w:tr w:rsidR="00776A1F" w14:paraId="5CB7E1C4" w14:textId="77777777">
        <w:trPr>
          <w:trHeight w:val="953"/>
        </w:trPr>
        <w:tc>
          <w:tcPr>
            <w:tcW w:w="1082" w:type="dxa"/>
            <w:shd w:val="clear" w:color="auto" w:fill="C4EFCE"/>
            <w:vAlign w:val="center"/>
            <w:hideMark/>
          </w:tcPr>
          <w:p w14:paraId="576D56A1" w14:textId="77777777" w:rsidR="00776A1F" w:rsidRDefault="00D8574B">
            <w:pPr>
              <w:pStyle w:val="P68B1DB1-Normal7"/>
              <w:spacing w:after="0" w:line="240" w:lineRule="auto"/>
              <w:jc w:val="center"/>
              <w:rPr>
                <w:rFonts w:eastAsia="Times New Roman" w:cs="Calibri"/>
                <w:noProof/>
              </w:rPr>
            </w:pPr>
            <w:r>
              <w:rPr>
                <w:noProof/>
              </w:rPr>
              <w:t>19.16</w:t>
            </w:r>
          </w:p>
        </w:tc>
        <w:tc>
          <w:tcPr>
            <w:tcW w:w="1211" w:type="dxa"/>
            <w:shd w:val="clear" w:color="auto" w:fill="C4EFCE"/>
            <w:noWrap/>
            <w:vAlign w:val="center"/>
            <w:hideMark/>
          </w:tcPr>
          <w:p w14:paraId="18A1503B" w14:textId="77777777" w:rsidR="00776A1F" w:rsidRDefault="00D8574B">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hideMark/>
          </w:tcPr>
          <w:p w14:paraId="7F8FB6EE"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769BDF3" w14:textId="77777777" w:rsidR="00776A1F" w:rsidRDefault="00D8574B">
            <w:pPr>
              <w:pStyle w:val="P68B1DB1-Normal8"/>
              <w:spacing w:after="0" w:line="240" w:lineRule="auto"/>
              <w:jc w:val="center"/>
              <w:rPr>
                <w:rFonts w:eastAsia="Times New Roman" w:cs="Calibri"/>
                <w:noProof/>
              </w:rPr>
            </w:pPr>
            <w:r>
              <w:rPr>
                <w:noProof/>
              </w:rPr>
              <w:t>Publiskie pakalpojumi iedzīvotājiem, apmeklētājiem un uzņēmumiem AZS</w:t>
            </w:r>
          </w:p>
        </w:tc>
        <w:tc>
          <w:tcPr>
            <w:tcW w:w="1343" w:type="dxa"/>
            <w:shd w:val="clear" w:color="auto" w:fill="C4EFCE"/>
            <w:noWrap/>
            <w:vAlign w:val="center"/>
            <w:hideMark/>
          </w:tcPr>
          <w:p w14:paraId="3EA8E5EC"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08975FC"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648029EC"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3D539CC" w14:textId="77777777" w:rsidR="00776A1F" w:rsidRDefault="00D8574B">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461712A3" w14:textId="77777777" w:rsidR="00776A1F" w:rsidRDefault="00D8574B">
            <w:pPr>
              <w:pStyle w:val="P68B1DB1-Normal8"/>
              <w:spacing w:after="0" w:line="240" w:lineRule="auto"/>
              <w:jc w:val="center"/>
              <w:rPr>
                <w:rFonts w:eastAsia="Times New Roman" w:cs="Calibri"/>
                <w:noProof/>
              </w:rPr>
            </w:pPr>
            <w:r>
              <w:rPr>
                <w:noProof/>
              </w:rPr>
              <w:t>2. CET.</w:t>
            </w:r>
          </w:p>
        </w:tc>
        <w:tc>
          <w:tcPr>
            <w:tcW w:w="682" w:type="dxa"/>
            <w:shd w:val="clear" w:color="auto" w:fill="C4EFCE"/>
            <w:noWrap/>
            <w:vAlign w:val="center"/>
            <w:hideMark/>
          </w:tcPr>
          <w:p w14:paraId="7E32D4A6" w14:textId="77777777" w:rsidR="00776A1F" w:rsidRDefault="00D8574B">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hideMark/>
          </w:tcPr>
          <w:p w14:paraId="7F14D18C" w14:textId="77777777" w:rsidR="00776A1F" w:rsidRDefault="00D8574B">
            <w:pPr>
              <w:pStyle w:val="P68B1DB1-Normal8"/>
              <w:spacing w:after="0" w:line="240" w:lineRule="auto"/>
              <w:jc w:val="both"/>
              <w:rPr>
                <w:rFonts w:eastAsia="Times New Roman" w:cs="Calibri"/>
                <w:noProof/>
              </w:rPr>
            </w:pPr>
            <w:r>
              <w:rPr>
                <w:noProof/>
              </w:rPr>
              <w:t>Iedzīvotājiem un uzņēmumiem pieejamo jauno vienkāršoto digitālo publisko pakalpojumu skaits</w:t>
            </w:r>
          </w:p>
        </w:tc>
      </w:tr>
      <w:tr w:rsidR="00776A1F" w14:paraId="4DDCEA50" w14:textId="77777777">
        <w:trPr>
          <w:trHeight w:val="290"/>
        </w:trPr>
        <w:tc>
          <w:tcPr>
            <w:tcW w:w="1082" w:type="dxa"/>
            <w:shd w:val="clear" w:color="auto" w:fill="C4EFCE"/>
            <w:vAlign w:val="center"/>
            <w:hideMark/>
          </w:tcPr>
          <w:p w14:paraId="155D0A6D" w14:textId="77777777" w:rsidR="00776A1F" w:rsidRDefault="00D8574B">
            <w:pPr>
              <w:pStyle w:val="P68B1DB1-Normal7"/>
              <w:spacing w:after="0" w:line="240" w:lineRule="auto"/>
              <w:jc w:val="center"/>
              <w:rPr>
                <w:rFonts w:eastAsia="Times New Roman" w:cs="Calibri"/>
                <w:noProof/>
              </w:rPr>
            </w:pPr>
            <w:r>
              <w:rPr>
                <w:noProof/>
              </w:rPr>
              <w:t>19.17</w:t>
            </w:r>
          </w:p>
        </w:tc>
        <w:tc>
          <w:tcPr>
            <w:tcW w:w="1211" w:type="dxa"/>
            <w:shd w:val="clear" w:color="auto" w:fill="C4EFCE"/>
            <w:noWrap/>
            <w:vAlign w:val="center"/>
            <w:hideMark/>
          </w:tcPr>
          <w:p w14:paraId="2D65B27E" w14:textId="77777777" w:rsidR="00776A1F" w:rsidRDefault="00D8574B">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hideMark/>
          </w:tcPr>
          <w:p w14:paraId="317D5CC6"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315CD8F8" w14:textId="77777777" w:rsidR="00776A1F" w:rsidRDefault="00D8574B">
            <w:pPr>
              <w:pStyle w:val="P68B1DB1-Normal8"/>
              <w:spacing w:after="0" w:line="240" w:lineRule="auto"/>
              <w:jc w:val="center"/>
              <w:rPr>
                <w:rFonts w:eastAsia="Times New Roman" w:cs="Calibri"/>
                <w:noProof/>
              </w:rPr>
            </w:pPr>
            <w:r>
              <w:rPr>
                <w:noProof/>
              </w:rPr>
              <w:t>AZS kritiskās infrastruktūras un publisko pakalpojumu datorarhitektūras modernizācija</w:t>
            </w:r>
          </w:p>
        </w:tc>
        <w:tc>
          <w:tcPr>
            <w:tcW w:w="1343" w:type="dxa"/>
            <w:shd w:val="clear" w:color="auto" w:fill="C4EFCE"/>
            <w:noWrap/>
            <w:vAlign w:val="center"/>
            <w:hideMark/>
          </w:tcPr>
          <w:p w14:paraId="51FC6F0B" w14:textId="77777777" w:rsidR="00776A1F" w:rsidRDefault="00D8574B">
            <w:pPr>
              <w:pStyle w:val="P68B1DB1-Normal8"/>
              <w:spacing w:after="0" w:line="240" w:lineRule="auto"/>
              <w:jc w:val="center"/>
              <w:rPr>
                <w:rFonts w:eastAsia="Times New Roman" w:cs="Calibri"/>
                <w:noProof/>
              </w:rPr>
            </w:pPr>
            <w:r>
              <w:rPr>
                <w:noProof/>
              </w:rPr>
              <w:t>AZS kritiskās infrastruktūras un publisko pakalpojumu datorarhitektūras modernizācija</w:t>
            </w:r>
          </w:p>
        </w:tc>
        <w:tc>
          <w:tcPr>
            <w:tcW w:w="1134" w:type="dxa"/>
            <w:shd w:val="clear" w:color="auto" w:fill="C4EFCE"/>
            <w:noWrap/>
            <w:vAlign w:val="center"/>
            <w:hideMark/>
          </w:tcPr>
          <w:p w14:paraId="5C3CE7BD" w14:textId="77777777" w:rsidR="00776A1F" w:rsidRDefault="00D8574B">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27932955" w14:textId="77777777" w:rsidR="00776A1F" w:rsidRDefault="00D8574B">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53A57C64" w14:textId="77777777" w:rsidR="00776A1F" w:rsidRDefault="00D8574B">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0EA1F25B" w14:textId="77777777" w:rsidR="00776A1F" w:rsidRDefault="00D8574B">
            <w:pPr>
              <w:pStyle w:val="P68B1DB1-Normal8"/>
              <w:spacing w:after="0" w:line="240" w:lineRule="auto"/>
              <w:jc w:val="center"/>
              <w:rPr>
                <w:rFonts w:eastAsia="Times New Roman" w:cs="Calibri"/>
                <w:noProof/>
              </w:rPr>
            </w:pPr>
            <w:r>
              <w:rPr>
                <w:noProof/>
              </w:rPr>
              <w:t>2. CET.</w:t>
            </w:r>
          </w:p>
        </w:tc>
        <w:tc>
          <w:tcPr>
            <w:tcW w:w="682" w:type="dxa"/>
            <w:shd w:val="clear" w:color="auto" w:fill="C4EFCE"/>
            <w:noWrap/>
            <w:vAlign w:val="center"/>
            <w:hideMark/>
          </w:tcPr>
          <w:p w14:paraId="75DB415B" w14:textId="77777777" w:rsidR="00776A1F" w:rsidRDefault="00D8574B">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hideMark/>
          </w:tcPr>
          <w:p w14:paraId="639F5DC3" w14:textId="77777777" w:rsidR="00776A1F" w:rsidRDefault="00D8574B">
            <w:pPr>
              <w:pStyle w:val="P68B1DB1-Normal12"/>
              <w:spacing w:after="0" w:line="240" w:lineRule="auto"/>
              <w:jc w:val="both"/>
              <w:rPr>
                <w:rFonts w:ascii="Times New Roman" w:eastAsia="Times New Roman" w:hAnsi="Times New Roman" w:cs="Times New Roman"/>
                <w:noProof/>
              </w:rPr>
            </w:pPr>
            <w:r>
              <w:rPr>
                <w:rFonts w:ascii="Calibri" w:hAnsi="Calibri"/>
                <w:noProof/>
              </w:rPr>
              <w:t>Digitālās pārkārtošanās pabeigšana AZS publiskajā pārvaldē, kas ietver:</w:t>
            </w:r>
            <w:r>
              <w:rPr>
                <w:rFonts w:ascii="Times New Roman" w:hAnsi="Times New Roman"/>
                <w:noProof/>
              </w:rPr>
              <w:t xml:space="preserve"> </w:t>
            </w:r>
          </w:p>
          <w:p w14:paraId="67185D7F" w14:textId="4DEDF20E" w:rsidR="00776A1F" w:rsidRDefault="00D8574B">
            <w:pPr>
              <w:pStyle w:val="P68B1DB1-Normal8"/>
              <w:spacing w:after="0" w:line="240" w:lineRule="auto"/>
              <w:jc w:val="both"/>
              <w:rPr>
                <w:rFonts w:eastAsia="Times New Roman" w:cs="Calibri"/>
                <w:noProof/>
              </w:rPr>
            </w:pPr>
            <w:r>
              <w:rPr>
                <w:noProof/>
              </w:rPr>
              <w:t xml:space="preserve">Privātā tīkla 5G ieviešana </w:t>
            </w:r>
          </w:p>
          <w:p w14:paraId="55AFBD4F" w14:textId="77777777" w:rsidR="00776A1F" w:rsidRDefault="00D8574B">
            <w:pPr>
              <w:pStyle w:val="P68B1DB1-Normal8"/>
              <w:spacing w:after="0" w:line="240" w:lineRule="auto"/>
              <w:jc w:val="both"/>
              <w:rPr>
                <w:rFonts w:eastAsia="Times New Roman" w:cs="Calibri"/>
                <w:noProof/>
              </w:rPr>
            </w:pPr>
            <w:r>
              <w:rPr>
                <w:noProof/>
              </w:rPr>
              <w:t xml:space="preserve">Pārvietojams meža ugunsgrēku kontroles uzraudzības centrs </w:t>
            </w:r>
          </w:p>
          <w:p w14:paraId="5710C4B7" w14:textId="77777777" w:rsidR="00776A1F" w:rsidRDefault="00D8574B">
            <w:pPr>
              <w:pStyle w:val="P68B1DB1-Normal8"/>
              <w:spacing w:after="0" w:line="240" w:lineRule="auto"/>
              <w:jc w:val="both"/>
              <w:rPr>
                <w:rFonts w:eastAsia="Times New Roman" w:cs="Calibri"/>
                <w:noProof/>
              </w:rPr>
            </w:pPr>
            <w:r>
              <w:rPr>
                <w:noProof/>
              </w:rPr>
              <w:t xml:space="preserve">Reģionālo publiskās pārvaldes datu centru centralizācija un atjaunošana </w:t>
            </w:r>
          </w:p>
          <w:p w14:paraId="2D032E34" w14:textId="77777777" w:rsidR="00776A1F" w:rsidRDefault="00D8574B">
            <w:pPr>
              <w:pStyle w:val="P68B1DB1-Normal8"/>
              <w:spacing w:after="0" w:line="240" w:lineRule="auto"/>
              <w:jc w:val="both"/>
              <w:rPr>
                <w:rFonts w:eastAsia="Times New Roman" w:cs="Calibri"/>
                <w:noProof/>
              </w:rPr>
            </w:pPr>
            <w:r>
              <w:rPr>
                <w:noProof/>
              </w:rPr>
              <w:t xml:space="preserve">Kiberdrošības arhitektūras īstenošana (sk. 34. rindkopu) </w:t>
            </w:r>
          </w:p>
          <w:p w14:paraId="67CCB2DC" w14:textId="7CD81F5F" w:rsidR="00776A1F" w:rsidRDefault="00D8574B">
            <w:pPr>
              <w:pStyle w:val="P68B1DB1-Normal8"/>
              <w:spacing w:after="0" w:line="240" w:lineRule="auto"/>
              <w:jc w:val="both"/>
              <w:rPr>
                <w:rFonts w:eastAsia="Times New Roman" w:cs="Calibri"/>
                <w:noProof/>
              </w:rPr>
            </w:pPr>
            <w:r>
              <w:rPr>
                <w:noProof/>
              </w:rPr>
              <w:t xml:space="preserve">Savienojamība reģionālās publiskās pārvaldes ēkās. Digitālās mobilitātes rīki publiskā sektora darbiniekiem </w:t>
            </w:r>
          </w:p>
          <w:p w14:paraId="30F48F65" w14:textId="77777777" w:rsidR="00776A1F" w:rsidRDefault="00D8574B">
            <w:pPr>
              <w:pStyle w:val="P68B1DB1-Normal8"/>
              <w:spacing w:after="0" w:line="240" w:lineRule="auto"/>
              <w:jc w:val="both"/>
              <w:rPr>
                <w:rFonts w:eastAsia="Times New Roman" w:cs="Calibri"/>
                <w:noProof/>
              </w:rPr>
            </w:pPr>
            <w:r>
              <w:rPr>
                <w:noProof/>
              </w:rPr>
              <w:t xml:space="preserve">Publiskā sektora darbinieku digitālā apmācība </w:t>
            </w:r>
          </w:p>
          <w:p w14:paraId="03CB00E5" w14:textId="77777777" w:rsidR="00776A1F" w:rsidRDefault="00D8574B">
            <w:pPr>
              <w:pStyle w:val="P68B1DB1-Normal8"/>
              <w:spacing w:after="0" w:line="240" w:lineRule="auto"/>
              <w:jc w:val="both"/>
              <w:rPr>
                <w:rFonts w:eastAsia="Times New Roman" w:cs="Calibri"/>
                <w:noProof/>
              </w:rPr>
            </w:pPr>
            <w:r>
              <w:rPr>
                <w:noProof/>
              </w:rPr>
              <w:t xml:space="preserve">Publisko finanšu pārvaldības IT sistēmas izveide </w:t>
            </w:r>
          </w:p>
          <w:p w14:paraId="596B0D1F" w14:textId="77777777" w:rsidR="00776A1F" w:rsidRDefault="00D8574B">
            <w:pPr>
              <w:pStyle w:val="P68B1DB1-Normal8"/>
              <w:spacing w:after="0" w:line="240" w:lineRule="auto"/>
              <w:jc w:val="both"/>
              <w:rPr>
                <w:rFonts w:eastAsia="Times New Roman" w:cs="Calibri"/>
                <w:noProof/>
              </w:rPr>
            </w:pPr>
            <w:r>
              <w:rPr>
                <w:noProof/>
              </w:rPr>
              <w:t>Publiskā īpašuma pārvaldības sistēmas nodrošināšana</w:t>
            </w:r>
          </w:p>
          <w:p w14:paraId="5268118F" w14:textId="77777777" w:rsidR="00776A1F" w:rsidRDefault="00D8574B">
            <w:pPr>
              <w:pStyle w:val="P68B1DB1-Normal8"/>
              <w:spacing w:after="0" w:line="240" w:lineRule="auto"/>
              <w:jc w:val="both"/>
              <w:rPr>
                <w:rFonts w:eastAsia="Times New Roman" w:cs="Calibri"/>
                <w:noProof/>
              </w:rPr>
            </w:pPr>
            <w:r>
              <w:rPr>
                <w:noProof/>
              </w:rPr>
              <w:t>AZM tiesu sistēmas sadarbspēja ar valstu IT sistēmām</w:t>
            </w:r>
          </w:p>
          <w:p w14:paraId="77673804" w14:textId="63E13982" w:rsidR="00776A1F" w:rsidRDefault="00D8574B">
            <w:pPr>
              <w:pStyle w:val="P68B1DB1-Normal8"/>
              <w:spacing w:after="0" w:line="240" w:lineRule="auto"/>
              <w:jc w:val="both"/>
              <w:rPr>
                <w:rFonts w:eastAsia="Times New Roman" w:cs="Calibri"/>
                <w:noProof/>
              </w:rPr>
            </w:pPr>
            <w:r>
              <w:rPr>
                <w:noProof/>
              </w:rPr>
              <w:t>Viedās piekļuves savienošanas projekts</w:t>
            </w:r>
          </w:p>
        </w:tc>
      </w:tr>
      <w:tr w:rsidR="00776A1F" w14:paraId="2A157D90" w14:textId="77777777">
        <w:trPr>
          <w:trHeight w:val="290"/>
        </w:trPr>
        <w:tc>
          <w:tcPr>
            <w:tcW w:w="1082" w:type="dxa"/>
            <w:shd w:val="clear" w:color="auto" w:fill="C4EFCE"/>
            <w:vAlign w:val="center"/>
          </w:tcPr>
          <w:p w14:paraId="1C82B8D6" w14:textId="5B16A76A" w:rsidR="00776A1F" w:rsidRDefault="00D8574B">
            <w:pPr>
              <w:pStyle w:val="P68B1DB1-Normal7"/>
              <w:spacing w:after="0" w:line="240" w:lineRule="auto"/>
              <w:jc w:val="center"/>
              <w:rPr>
                <w:rFonts w:eastAsia="Times New Roman" w:cs="Calibri"/>
                <w:noProof/>
              </w:rPr>
            </w:pPr>
            <w:r>
              <w:rPr>
                <w:noProof/>
              </w:rPr>
              <w:t>19.29</w:t>
            </w:r>
          </w:p>
        </w:tc>
        <w:tc>
          <w:tcPr>
            <w:tcW w:w="1211" w:type="dxa"/>
            <w:shd w:val="clear" w:color="auto" w:fill="C4EFCE"/>
            <w:noWrap/>
            <w:vAlign w:val="center"/>
          </w:tcPr>
          <w:p w14:paraId="5DF9BA4A" w14:textId="0F2186BF" w:rsidR="00776A1F" w:rsidRDefault="00D8574B">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tcPr>
          <w:p w14:paraId="506C8CD6" w14:textId="143AFCD2"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6F63D36B" w14:textId="3601B6F1" w:rsidR="00776A1F" w:rsidRDefault="00D8574B">
            <w:pPr>
              <w:pStyle w:val="P68B1DB1-Normal8"/>
              <w:spacing w:before="120" w:after="0" w:line="240" w:lineRule="auto"/>
              <w:jc w:val="both"/>
              <w:rPr>
                <w:rFonts w:eastAsia="Calibri" w:cs="Calibri"/>
                <w:noProof/>
              </w:rPr>
            </w:pPr>
            <w:r>
              <w:rPr>
                <w:noProof/>
              </w:rPr>
              <w:t>Centralizētas datu pārvaldības risinājums</w:t>
            </w:r>
          </w:p>
        </w:tc>
        <w:tc>
          <w:tcPr>
            <w:tcW w:w="1343" w:type="dxa"/>
            <w:shd w:val="clear" w:color="auto" w:fill="C4EFCE"/>
            <w:noWrap/>
            <w:vAlign w:val="center"/>
          </w:tcPr>
          <w:p w14:paraId="63B29C5E" w14:textId="7AD40D4B" w:rsidR="00776A1F" w:rsidRDefault="00D8574B">
            <w:pPr>
              <w:pStyle w:val="P68B1DB1-Normal8"/>
              <w:spacing w:after="0" w:line="240" w:lineRule="auto"/>
              <w:jc w:val="center"/>
              <w:rPr>
                <w:rFonts w:eastAsia="Calibri" w:cs="Calibri"/>
                <w:noProof/>
              </w:rPr>
            </w:pPr>
            <w:r>
              <w:rPr>
                <w:noProof/>
              </w:rPr>
              <w:t>Darbojas centralizētas datu pārvaldības risinājums</w:t>
            </w:r>
          </w:p>
        </w:tc>
        <w:tc>
          <w:tcPr>
            <w:tcW w:w="1134" w:type="dxa"/>
            <w:shd w:val="clear" w:color="auto" w:fill="C4EFCE"/>
            <w:noWrap/>
            <w:vAlign w:val="center"/>
          </w:tcPr>
          <w:p w14:paraId="56259C96" w14:textId="77777777" w:rsidR="00776A1F" w:rsidRDefault="00776A1F">
            <w:pPr>
              <w:spacing w:after="0" w:line="240" w:lineRule="auto"/>
              <w:rPr>
                <w:rFonts w:ascii="Calibri" w:eastAsia="Times New Roman" w:hAnsi="Calibri" w:cs="Calibri"/>
                <w:noProof/>
                <w:sz w:val="16"/>
              </w:rPr>
            </w:pPr>
          </w:p>
        </w:tc>
        <w:tc>
          <w:tcPr>
            <w:tcW w:w="947" w:type="dxa"/>
            <w:shd w:val="clear" w:color="auto" w:fill="C4EFCE"/>
            <w:noWrap/>
            <w:vAlign w:val="center"/>
          </w:tcPr>
          <w:p w14:paraId="7BF5098B" w14:textId="77777777" w:rsidR="00776A1F" w:rsidRDefault="00776A1F">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027C1EA6" w14:textId="77777777" w:rsidR="00776A1F" w:rsidRDefault="00776A1F">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6EB0713C" w14:textId="340EFCF8"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tcPr>
          <w:p w14:paraId="01F50E14" w14:textId="3E0B8059" w:rsidR="00776A1F" w:rsidRDefault="00D8574B">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5A47B065" w14:textId="77777777" w:rsidR="00776A1F" w:rsidRDefault="00D8574B">
            <w:pPr>
              <w:pStyle w:val="P68B1DB1-Normal8"/>
              <w:spacing w:after="0" w:line="240" w:lineRule="auto"/>
              <w:jc w:val="both"/>
              <w:rPr>
                <w:rFonts w:eastAsia="Calibri" w:cs="Calibri"/>
                <w:noProof/>
              </w:rPr>
            </w:pPr>
            <w:r>
              <w:rPr>
                <w:noProof/>
              </w:rPr>
              <w:t>Centralizētas datu pārvaldības risinājuma ieviešana. Tajā:</w:t>
            </w:r>
          </w:p>
          <w:p w14:paraId="0B46F946" w14:textId="77777777" w:rsidR="00776A1F" w:rsidRDefault="00D8574B">
            <w:pPr>
              <w:pStyle w:val="P68B1DB1-Normal8"/>
              <w:tabs>
                <w:tab w:val="left" w:pos="710"/>
                <w:tab w:val="right" w:pos="1963"/>
              </w:tabs>
              <w:spacing w:after="0" w:line="240" w:lineRule="auto"/>
              <w:jc w:val="both"/>
              <w:rPr>
                <w:rFonts w:eastAsia="Times New Roman" w:cs="Calibri"/>
                <w:noProof/>
              </w:rPr>
            </w:pPr>
            <w:r>
              <w:rPr>
                <w:noProof/>
              </w:rPr>
              <w:t>Izveidot rīkus, lai ar MI algoritmiem identificētu neefektivitāti, krāpšanu un citas riska jomas;</w:t>
            </w:r>
          </w:p>
          <w:p w14:paraId="3CD59918" w14:textId="548FE233" w:rsidR="00776A1F" w:rsidRDefault="00D8574B">
            <w:pPr>
              <w:pStyle w:val="P68B1DB1-Normal8"/>
              <w:spacing w:after="0" w:line="240" w:lineRule="auto"/>
              <w:jc w:val="both"/>
              <w:rPr>
                <w:rFonts w:eastAsia="Times New Roman" w:cs="Calibri"/>
                <w:noProof/>
              </w:rPr>
            </w:pPr>
            <w:r>
              <w:rPr>
                <w:noProof/>
              </w:rPr>
              <w:t xml:space="preserve">Darīt mākslīgā intelekta pakalpojumus pieejamus dažādām valsts pārvaldes jomām </w:t>
            </w:r>
          </w:p>
          <w:p w14:paraId="3129C273" w14:textId="27DC1D7B" w:rsidR="00776A1F" w:rsidRDefault="00D8574B">
            <w:pPr>
              <w:pStyle w:val="P68B1DB1-Normal8"/>
              <w:spacing w:after="0" w:line="240" w:lineRule="auto"/>
              <w:jc w:val="both"/>
              <w:rPr>
                <w:rFonts w:eastAsia="Times New Roman" w:cs="Calibri"/>
                <w:noProof/>
              </w:rPr>
            </w:pPr>
            <w:r>
              <w:rPr>
                <w:noProof/>
              </w:rPr>
              <w:t>—Automatizēt lēmumu pieņemšanu dažādās valsts pārvaldes jomās.</w:t>
            </w:r>
          </w:p>
        </w:tc>
      </w:tr>
      <w:tr w:rsidR="00776A1F" w14:paraId="466B5AF3" w14:textId="77777777">
        <w:trPr>
          <w:trHeight w:val="290"/>
        </w:trPr>
        <w:tc>
          <w:tcPr>
            <w:tcW w:w="1082" w:type="dxa"/>
            <w:shd w:val="clear" w:color="auto" w:fill="C4EFCE"/>
            <w:vAlign w:val="center"/>
          </w:tcPr>
          <w:p w14:paraId="7C2288AD" w14:textId="6CE5E3E0" w:rsidR="00776A1F" w:rsidRDefault="00D8574B">
            <w:pPr>
              <w:pStyle w:val="P68B1DB1-Normal7"/>
              <w:spacing w:after="0" w:line="240" w:lineRule="auto"/>
              <w:jc w:val="center"/>
              <w:rPr>
                <w:rFonts w:eastAsia="Times New Roman" w:cs="Calibri"/>
                <w:noProof/>
              </w:rPr>
            </w:pPr>
            <w:r>
              <w:rPr>
                <w:noProof/>
              </w:rPr>
              <w:t>19.18</w:t>
            </w:r>
          </w:p>
        </w:tc>
        <w:tc>
          <w:tcPr>
            <w:tcW w:w="1211" w:type="dxa"/>
            <w:shd w:val="clear" w:color="auto" w:fill="C4EFCE"/>
            <w:noWrap/>
            <w:vAlign w:val="center"/>
          </w:tcPr>
          <w:p w14:paraId="53E2405E" w14:textId="254C07E6" w:rsidR="00776A1F" w:rsidRDefault="00D8574B">
            <w:pPr>
              <w:pStyle w:val="P68B1DB1-Normal8"/>
              <w:spacing w:after="0" w:line="240" w:lineRule="auto"/>
              <w:jc w:val="center"/>
              <w:rPr>
                <w:rFonts w:eastAsia="Times New Roman" w:cs="Calibri"/>
                <w:noProof/>
              </w:rPr>
            </w:pPr>
            <w:r>
              <w:rPr>
                <w:noProof/>
              </w:rPr>
              <w:t>TD-C19-i06-RAA</w:t>
            </w:r>
          </w:p>
        </w:tc>
        <w:tc>
          <w:tcPr>
            <w:tcW w:w="1080" w:type="dxa"/>
            <w:shd w:val="clear" w:color="auto" w:fill="C4EFCE"/>
            <w:noWrap/>
            <w:vAlign w:val="center"/>
          </w:tcPr>
          <w:p w14:paraId="29CC492A" w14:textId="79FE0E99"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1D1FA322" w14:textId="428C6462" w:rsidR="00776A1F" w:rsidRDefault="00D8574B">
            <w:pPr>
              <w:pStyle w:val="P68B1DB1-Normal8"/>
              <w:spacing w:before="120" w:after="0" w:line="240" w:lineRule="auto"/>
              <w:jc w:val="both"/>
              <w:rPr>
                <w:rFonts w:eastAsia="Calibri" w:cs="Calibri"/>
                <w:noProof/>
                <w:highlight w:val="cyan"/>
              </w:rPr>
            </w:pPr>
            <w:r>
              <w:rPr>
                <w:noProof/>
              </w:rPr>
              <w:t>ARA reģionālās publiskās pārvaldes digitalizācija</w:t>
            </w:r>
          </w:p>
        </w:tc>
        <w:tc>
          <w:tcPr>
            <w:tcW w:w="1343" w:type="dxa"/>
            <w:shd w:val="clear" w:color="auto" w:fill="C4EFCE"/>
            <w:noWrap/>
            <w:vAlign w:val="center"/>
          </w:tcPr>
          <w:p w14:paraId="61C1FEC8" w14:textId="112CCC73" w:rsidR="00776A1F" w:rsidRDefault="00D8574B">
            <w:pPr>
              <w:pStyle w:val="P68B1DB1-Normal8"/>
              <w:spacing w:after="0" w:line="240" w:lineRule="auto"/>
              <w:jc w:val="center"/>
              <w:rPr>
                <w:rFonts w:eastAsia="Times New Roman" w:cs="Calibri"/>
                <w:noProof/>
              </w:rPr>
            </w:pPr>
            <w:r>
              <w:rPr>
                <w:noProof/>
              </w:rPr>
              <w:t>ARA reģionālās publiskās pārvaldes digitalizācija</w:t>
            </w:r>
          </w:p>
        </w:tc>
        <w:tc>
          <w:tcPr>
            <w:tcW w:w="1134" w:type="dxa"/>
            <w:shd w:val="clear" w:color="auto" w:fill="C4EFCE"/>
            <w:noWrap/>
            <w:vAlign w:val="center"/>
          </w:tcPr>
          <w:p w14:paraId="6A5817AB" w14:textId="77777777" w:rsidR="00776A1F" w:rsidRDefault="00776A1F">
            <w:pPr>
              <w:spacing w:after="0" w:line="240" w:lineRule="auto"/>
              <w:rPr>
                <w:rFonts w:ascii="Calibri" w:eastAsia="Times New Roman" w:hAnsi="Calibri" w:cs="Calibri"/>
                <w:noProof/>
                <w:sz w:val="16"/>
              </w:rPr>
            </w:pPr>
          </w:p>
        </w:tc>
        <w:tc>
          <w:tcPr>
            <w:tcW w:w="947" w:type="dxa"/>
            <w:shd w:val="clear" w:color="auto" w:fill="C4EFCE"/>
            <w:noWrap/>
            <w:vAlign w:val="center"/>
          </w:tcPr>
          <w:p w14:paraId="5090F33B" w14:textId="77777777" w:rsidR="00776A1F" w:rsidRDefault="00776A1F">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63CFFECA" w14:textId="77777777" w:rsidR="00776A1F" w:rsidRDefault="00776A1F">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3D6E7BDA" w14:textId="5384AC54"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tcPr>
          <w:p w14:paraId="52922652" w14:textId="077714E2" w:rsidR="00776A1F" w:rsidRDefault="00D8574B">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3D491425" w14:textId="77777777" w:rsidR="00776A1F" w:rsidRDefault="00D8574B">
            <w:pPr>
              <w:pStyle w:val="P68B1DB1-Normal8"/>
              <w:tabs>
                <w:tab w:val="left" w:pos="710"/>
                <w:tab w:val="right" w:pos="1963"/>
              </w:tabs>
              <w:spacing w:after="0" w:line="288" w:lineRule="auto"/>
              <w:jc w:val="both"/>
              <w:rPr>
                <w:rFonts w:eastAsia="Times New Roman" w:cs="Calibri"/>
                <w:noProof/>
              </w:rPr>
            </w:pPr>
            <w:r>
              <w:rPr>
                <w:noProof/>
              </w:rPr>
              <w:t xml:space="preserve">Piecu projektu pabeigšana: </w:t>
            </w:r>
          </w:p>
          <w:p w14:paraId="5A78D913" w14:textId="77777777" w:rsidR="00776A1F" w:rsidRDefault="00D8574B">
            <w:pPr>
              <w:pStyle w:val="P68B1DB1-Normal8"/>
              <w:tabs>
                <w:tab w:val="left" w:pos="710"/>
                <w:tab w:val="right" w:pos="1963"/>
              </w:tabs>
              <w:spacing w:after="0" w:line="288" w:lineRule="auto"/>
              <w:jc w:val="both"/>
              <w:rPr>
                <w:rFonts w:eastAsia="Times New Roman" w:cs="Calibri"/>
                <w:noProof/>
              </w:rPr>
            </w:pPr>
            <w:r>
              <w:rPr>
                <w:noProof/>
              </w:rPr>
              <w:t xml:space="preserve">APR+ pieejama, iekļaujoša un atvērta publiskā pārvalde </w:t>
            </w:r>
          </w:p>
          <w:p w14:paraId="3074EF7C" w14:textId="77777777" w:rsidR="00776A1F" w:rsidRDefault="00D8574B">
            <w:pPr>
              <w:pStyle w:val="P68B1DB1-Normal8"/>
              <w:tabs>
                <w:tab w:val="left" w:pos="710"/>
                <w:tab w:val="right" w:pos="1963"/>
              </w:tabs>
              <w:spacing w:after="0" w:line="288" w:lineRule="auto"/>
              <w:jc w:val="both"/>
              <w:rPr>
                <w:rFonts w:eastAsia="Times New Roman" w:cs="Calibri"/>
                <w:noProof/>
              </w:rPr>
            </w:pPr>
            <w:r>
              <w:rPr>
                <w:noProof/>
              </w:rPr>
              <w:t>APR + dinamiskāki sabiedriskie pakalpojumi un publisko finanšu kontroles un pārvaldības sistēma.</w:t>
            </w:r>
          </w:p>
          <w:p w14:paraId="18AA1A5C" w14:textId="351449F8" w:rsidR="00776A1F" w:rsidRDefault="00D8574B">
            <w:pPr>
              <w:pStyle w:val="P68B1DB1-Normal8"/>
              <w:tabs>
                <w:tab w:val="left" w:pos="710"/>
                <w:tab w:val="right" w:pos="1963"/>
              </w:tabs>
              <w:spacing w:after="0" w:line="288" w:lineRule="auto"/>
              <w:jc w:val="both"/>
              <w:rPr>
                <w:rFonts w:eastAsia="Times New Roman" w:cs="Calibri"/>
                <w:noProof/>
              </w:rPr>
            </w:pPr>
            <w:r>
              <w:rPr>
                <w:noProof/>
              </w:rPr>
              <w:t xml:space="preserve">APR+ Proactiva </w:t>
            </w:r>
          </w:p>
          <w:p w14:paraId="4BD5069C" w14:textId="6355AD50" w:rsidR="00776A1F" w:rsidRDefault="00D8574B">
            <w:pPr>
              <w:pStyle w:val="P68B1DB1-Normal8"/>
              <w:tabs>
                <w:tab w:val="left" w:pos="710"/>
                <w:tab w:val="right" w:pos="1963"/>
              </w:tabs>
              <w:spacing w:after="0" w:line="288" w:lineRule="auto"/>
              <w:jc w:val="both"/>
              <w:rPr>
                <w:rFonts w:ascii="Arial" w:eastAsia="Arial" w:hAnsi="Arial" w:cs="Arial"/>
                <w:noProof/>
                <w:sz w:val="15"/>
              </w:rPr>
            </w:pPr>
            <w:r>
              <w:rPr>
                <w:noProof/>
              </w:rPr>
              <w:t>Nākotnē piemērots reģionālās publiskās pārvaldes mobilais portāls — APR+</w:t>
            </w:r>
          </w:p>
        </w:tc>
      </w:tr>
      <w:tr w:rsidR="00776A1F" w14:paraId="700CCFFC" w14:textId="77777777">
        <w:trPr>
          <w:trHeight w:val="430"/>
        </w:trPr>
        <w:tc>
          <w:tcPr>
            <w:tcW w:w="1082" w:type="dxa"/>
            <w:shd w:val="clear" w:color="auto" w:fill="C4EFCE"/>
            <w:vAlign w:val="center"/>
            <w:hideMark/>
          </w:tcPr>
          <w:p w14:paraId="6F89E376" w14:textId="77777777" w:rsidR="00776A1F" w:rsidRDefault="00D8574B">
            <w:pPr>
              <w:pStyle w:val="P68B1DB1-Normal7"/>
              <w:spacing w:after="0" w:line="240" w:lineRule="auto"/>
              <w:jc w:val="center"/>
              <w:rPr>
                <w:rFonts w:eastAsia="Times New Roman" w:cs="Calibri"/>
                <w:noProof/>
              </w:rPr>
            </w:pPr>
            <w:r>
              <w:rPr>
                <w:noProof/>
              </w:rPr>
              <w:t>19.19</w:t>
            </w:r>
          </w:p>
        </w:tc>
        <w:tc>
          <w:tcPr>
            <w:tcW w:w="1211" w:type="dxa"/>
            <w:shd w:val="clear" w:color="auto" w:fill="C4EFCE"/>
            <w:noWrap/>
            <w:vAlign w:val="center"/>
            <w:hideMark/>
          </w:tcPr>
          <w:p w14:paraId="17E815D0" w14:textId="77777777" w:rsidR="00776A1F" w:rsidRDefault="00D8574B">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3D998E6D"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6F9B879" w14:textId="77777777" w:rsidR="00776A1F" w:rsidRDefault="00D8574B">
            <w:pPr>
              <w:pStyle w:val="P68B1DB1-Normal8"/>
              <w:spacing w:after="0" w:line="240" w:lineRule="auto"/>
              <w:jc w:val="center"/>
              <w:rPr>
                <w:rFonts w:eastAsia="Times New Roman" w:cs="Calibri"/>
                <w:noProof/>
              </w:rPr>
            </w:pPr>
            <w:r>
              <w:rPr>
                <w:noProof/>
              </w:rPr>
              <w:t>Stažēšanās programma absolventiem</w:t>
            </w:r>
          </w:p>
        </w:tc>
        <w:tc>
          <w:tcPr>
            <w:tcW w:w="1343" w:type="dxa"/>
            <w:shd w:val="clear" w:color="auto" w:fill="C4EFCE"/>
            <w:noWrap/>
            <w:vAlign w:val="center"/>
            <w:hideMark/>
          </w:tcPr>
          <w:p w14:paraId="7526E1BB"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6FAEB2B9"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1C0B63B6"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7BFD045F" w14:textId="77777777" w:rsidR="00776A1F" w:rsidRDefault="00D8574B">
            <w:pPr>
              <w:pStyle w:val="P68B1DB1-Normal8"/>
              <w:spacing w:after="0" w:line="240" w:lineRule="auto"/>
              <w:jc w:val="center"/>
              <w:rPr>
                <w:rFonts w:eastAsia="Times New Roman" w:cs="Calibri"/>
                <w:noProof/>
              </w:rPr>
            </w:pPr>
            <w:r>
              <w:rPr>
                <w:noProof/>
              </w:rPr>
              <w:t>1 500</w:t>
            </w:r>
          </w:p>
        </w:tc>
        <w:tc>
          <w:tcPr>
            <w:tcW w:w="550" w:type="dxa"/>
            <w:shd w:val="clear" w:color="auto" w:fill="C4EFCE"/>
            <w:noWrap/>
            <w:vAlign w:val="center"/>
            <w:hideMark/>
          </w:tcPr>
          <w:p w14:paraId="349DA6C0" w14:textId="77777777"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hideMark/>
          </w:tcPr>
          <w:p w14:paraId="1F12DF81" w14:textId="77777777" w:rsidR="00776A1F" w:rsidRDefault="00D8574B">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321523D7" w14:textId="77777777" w:rsidR="00776A1F" w:rsidRDefault="00D8574B">
            <w:pPr>
              <w:pStyle w:val="P68B1DB1-Normal8"/>
              <w:spacing w:after="0" w:line="240" w:lineRule="auto"/>
              <w:jc w:val="both"/>
              <w:rPr>
                <w:rFonts w:eastAsia="Times New Roman" w:cs="Calibri"/>
                <w:noProof/>
              </w:rPr>
            </w:pPr>
            <w:r>
              <w:rPr>
                <w:noProof/>
              </w:rPr>
              <w:t xml:space="preserve">Absolventu skaits, kuri ir apmeklējuši valsts pārvaldes prakses programmu, kas izveidota saskaņā ar </w:t>
            </w:r>
            <w:r>
              <w:rPr>
                <w:i/>
                <w:noProof/>
              </w:rPr>
              <w:t>Resolução do Conselho de Ministros n.° 11/2021</w:t>
            </w:r>
            <w:r>
              <w:rPr>
                <w:noProof/>
              </w:rPr>
              <w:t xml:space="preserve">  </w:t>
            </w:r>
          </w:p>
        </w:tc>
      </w:tr>
      <w:tr w:rsidR="00776A1F" w14:paraId="7C101E4F" w14:textId="77777777">
        <w:trPr>
          <w:trHeight w:val="845"/>
        </w:trPr>
        <w:tc>
          <w:tcPr>
            <w:tcW w:w="1082" w:type="dxa"/>
            <w:shd w:val="clear" w:color="auto" w:fill="C4EFCE"/>
            <w:vAlign w:val="center"/>
            <w:hideMark/>
          </w:tcPr>
          <w:p w14:paraId="3693F16E" w14:textId="77777777" w:rsidR="00776A1F" w:rsidRDefault="00D8574B">
            <w:pPr>
              <w:pStyle w:val="P68B1DB1-Normal7"/>
              <w:spacing w:after="0" w:line="240" w:lineRule="auto"/>
              <w:jc w:val="center"/>
              <w:rPr>
                <w:rFonts w:eastAsia="Times New Roman" w:cs="Calibri"/>
                <w:noProof/>
              </w:rPr>
            </w:pPr>
            <w:r>
              <w:rPr>
                <w:noProof/>
              </w:rPr>
              <w:t>19.20</w:t>
            </w:r>
          </w:p>
        </w:tc>
        <w:tc>
          <w:tcPr>
            <w:tcW w:w="1211" w:type="dxa"/>
            <w:shd w:val="clear" w:color="auto" w:fill="C4EFCE"/>
            <w:noWrap/>
            <w:vAlign w:val="center"/>
            <w:hideMark/>
          </w:tcPr>
          <w:p w14:paraId="64A1DE9A" w14:textId="77777777" w:rsidR="00776A1F" w:rsidRDefault="00D8574B">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30E5AB63"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75ECCEF3" w14:textId="77777777" w:rsidR="00776A1F" w:rsidRDefault="00D8574B">
            <w:pPr>
              <w:pStyle w:val="P68B1DB1-Normal8"/>
              <w:spacing w:after="0" w:line="240" w:lineRule="auto"/>
              <w:jc w:val="center"/>
              <w:rPr>
                <w:rFonts w:eastAsia="Times New Roman" w:cs="Calibri"/>
                <w:noProof/>
              </w:rPr>
            </w:pPr>
            <w:r>
              <w:rPr>
                <w:noProof/>
              </w:rPr>
              <w:t xml:space="preserve">Tāldarbā iesaistītie sabiedrisko pakalpojumu darbinieki </w:t>
            </w:r>
          </w:p>
        </w:tc>
        <w:tc>
          <w:tcPr>
            <w:tcW w:w="1343" w:type="dxa"/>
            <w:shd w:val="clear" w:color="auto" w:fill="C4EFCE"/>
            <w:noWrap/>
            <w:vAlign w:val="center"/>
            <w:hideMark/>
          </w:tcPr>
          <w:p w14:paraId="18CC4640"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6FAFD665" w14:textId="77777777" w:rsidR="00776A1F" w:rsidRDefault="00D8574B">
            <w:pPr>
              <w:pStyle w:val="P68B1DB1-Normal8"/>
              <w:spacing w:after="0" w:line="240" w:lineRule="auto"/>
              <w:jc w:val="center"/>
              <w:rPr>
                <w:rFonts w:eastAsia="Times New Roman" w:cs="Calibri"/>
                <w:noProof/>
              </w:rPr>
            </w:pPr>
            <w:r>
              <w:rPr>
                <w:noProof/>
              </w:rPr>
              <w:t>%</w:t>
            </w:r>
          </w:p>
        </w:tc>
        <w:tc>
          <w:tcPr>
            <w:tcW w:w="947" w:type="dxa"/>
            <w:shd w:val="clear" w:color="auto" w:fill="C4EFCE"/>
            <w:noWrap/>
            <w:vAlign w:val="center"/>
            <w:hideMark/>
          </w:tcPr>
          <w:p w14:paraId="47C0D607"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BDFB5C4" w14:textId="77777777" w:rsidR="00776A1F" w:rsidRDefault="00D8574B">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604CF745" w14:textId="77777777"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hideMark/>
          </w:tcPr>
          <w:p w14:paraId="03B6EE75" w14:textId="77777777" w:rsidR="00776A1F" w:rsidRDefault="00D8574B">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1BE6B08F" w14:textId="77777777" w:rsidR="00776A1F" w:rsidRDefault="00D8574B">
            <w:pPr>
              <w:pStyle w:val="P68B1DB1-Normal8"/>
              <w:spacing w:after="0" w:line="240" w:lineRule="auto"/>
              <w:jc w:val="both"/>
              <w:rPr>
                <w:rFonts w:eastAsia="Times New Roman" w:cs="Calibri"/>
                <w:noProof/>
              </w:rPr>
            </w:pPr>
            <w:r>
              <w:rPr>
                <w:noProof/>
              </w:rPr>
              <w:t>To darba ņēmēju procentuālā daļa, kuriem ir ar tāldarbu saderīgas funkcijas un kuri efektīvi strādā tāldarbā</w:t>
            </w:r>
          </w:p>
        </w:tc>
      </w:tr>
      <w:tr w:rsidR="00776A1F" w14:paraId="257C5019" w14:textId="77777777">
        <w:trPr>
          <w:trHeight w:val="290"/>
        </w:trPr>
        <w:tc>
          <w:tcPr>
            <w:tcW w:w="1082" w:type="dxa"/>
            <w:shd w:val="clear" w:color="auto" w:fill="C4EFCE"/>
            <w:vAlign w:val="center"/>
            <w:hideMark/>
          </w:tcPr>
          <w:p w14:paraId="1167BE07" w14:textId="77777777" w:rsidR="00776A1F" w:rsidRDefault="00D8574B">
            <w:pPr>
              <w:pStyle w:val="P68B1DB1-Normal7"/>
              <w:spacing w:after="0" w:line="240" w:lineRule="auto"/>
              <w:jc w:val="center"/>
              <w:rPr>
                <w:rFonts w:eastAsia="Times New Roman" w:cs="Calibri"/>
                <w:noProof/>
              </w:rPr>
            </w:pPr>
            <w:r>
              <w:rPr>
                <w:noProof/>
              </w:rPr>
              <w:t>19.21</w:t>
            </w:r>
          </w:p>
        </w:tc>
        <w:tc>
          <w:tcPr>
            <w:tcW w:w="1211" w:type="dxa"/>
            <w:shd w:val="clear" w:color="auto" w:fill="C4EFCE"/>
            <w:noWrap/>
            <w:vAlign w:val="center"/>
            <w:hideMark/>
          </w:tcPr>
          <w:p w14:paraId="53F1D9CD" w14:textId="77777777" w:rsidR="00776A1F" w:rsidRDefault="00D8574B">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003D5D5A" w14:textId="77777777" w:rsidR="00776A1F" w:rsidRDefault="00D8574B">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D32EAEF" w14:textId="77777777" w:rsidR="00776A1F" w:rsidRDefault="00D8574B">
            <w:pPr>
              <w:pStyle w:val="P68B1DB1-Normal8"/>
              <w:spacing w:after="0" w:line="240" w:lineRule="auto"/>
              <w:jc w:val="center"/>
              <w:rPr>
                <w:rFonts w:eastAsia="Times New Roman" w:cs="Calibri"/>
                <w:noProof/>
              </w:rPr>
            </w:pPr>
            <w:r>
              <w:rPr>
                <w:noProof/>
              </w:rPr>
              <w:t>Valsts pārvaldes darbinieku apmācība</w:t>
            </w:r>
          </w:p>
        </w:tc>
        <w:tc>
          <w:tcPr>
            <w:tcW w:w="1343" w:type="dxa"/>
            <w:shd w:val="clear" w:color="auto" w:fill="C4EFCE"/>
            <w:noWrap/>
            <w:vAlign w:val="center"/>
            <w:hideMark/>
          </w:tcPr>
          <w:p w14:paraId="356BB73B" w14:textId="77777777" w:rsidR="00776A1F" w:rsidRDefault="00D8574B">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00612396" w14:textId="77777777" w:rsidR="00776A1F" w:rsidRDefault="00D8574B">
            <w:pPr>
              <w:pStyle w:val="P68B1DB1-Normal8"/>
              <w:spacing w:after="0" w:line="240" w:lineRule="auto"/>
              <w:jc w:val="center"/>
              <w:rPr>
                <w:rFonts w:eastAsia="Times New Roman" w:cs="Calibri"/>
                <w:noProof/>
              </w:rPr>
            </w:pPr>
            <w:r>
              <w:rPr>
                <w:noProof/>
              </w:rPr>
              <w:t>Skaits</w:t>
            </w:r>
          </w:p>
        </w:tc>
        <w:tc>
          <w:tcPr>
            <w:tcW w:w="947" w:type="dxa"/>
            <w:shd w:val="clear" w:color="auto" w:fill="C4EFCE"/>
            <w:noWrap/>
            <w:vAlign w:val="center"/>
            <w:hideMark/>
          </w:tcPr>
          <w:p w14:paraId="299EDA1B" w14:textId="77777777" w:rsidR="00776A1F" w:rsidRDefault="00D8574B">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E220285" w14:textId="3C6BE53E" w:rsidR="00776A1F" w:rsidRDefault="00D8574B">
            <w:pPr>
              <w:pStyle w:val="P68B1DB1-Normal8"/>
              <w:spacing w:after="0" w:line="240" w:lineRule="auto"/>
              <w:jc w:val="center"/>
              <w:rPr>
                <w:rFonts w:eastAsia="Times New Roman" w:cs="Calibri"/>
                <w:noProof/>
              </w:rPr>
            </w:pPr>
            <w:r>
              <w:rPr>
                <w:noProof/>
              </w:rPr>
              <w:t>96 400</w:t>
            </w:r>
          </w:p>
        </w:tc>
        <w:tc>
          <w:tcPr>
            <w:tcW w:w="550" w:type="dxa"/>
            <w:shd w:val="clear" w:color="auto" w:fill="C4EFCE"/>
            <w:noWrap/>
            <w:vAlign w:val="center"/>
            <w:hideMark/>
          </w:tcPr>
          <w:p w14:paraId="09C77FD6" w14:textId="77777777" w:rsidR="00776A1F" w:rsidRDefault="00D8574B">
            <w:pPr>
              <w:pStyle w:val="P68B1DB1-Normal8"/>
              <w:spacing w:after="0" w:line="240" w:lineRule="auto"/>
              <w:jc w:val="center"/>
              <w:rPr>
                <w:rFonts w:eastAsia="Times New Roman" w:cs="Calibri"/>
                <w:noProof/>
              </w:rPr>
            </w:pPr>
            <w:r>
              <w:rPr>
                <w:noProof/>
              </w:rPr>
              <w:t>1. CET.</w:t>
            </w:r>
          </w:p>
        </w:tc>
        <w:tc>
          <w:tcPr>
            <w:tcW w:w="682" w:type="dxa"/>
            <w:shd w:val="clear" w:color="auto" w:fill="C4EFCE"/>
            <w:noWrap/>
            <w:vAlign w:val="center"/>
            <w:hideMark/>
          </w:tcPr>
          <w:p w14:paraId="457FEE36" w14:textId="77777777" w:rsidR="00776A1F" w:rsidRDefault="00D8574B">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5E2A4ED8" w14:textId="77777777" w:rsidR="00776A1F" w:rsidRDefault="00D8574B">
            <w:pPr>
              <w:pStyle w:val="P68B1DB1-Normal8"/>
              <w:spacing w:after="0" w:line="240" w:lineRule="auto"/>
              <w:jc w:val="both"/>
              <w:rPr>
                <w:rFonts w:eastAsia="Times New Roman" w:cs="Calibri"/>
                <w:noProof/>
              </w:rPr>
            </w:pPr>
            <w:r>
              <w:rPr>
                <w:noProof/>
              </w:rPr>
              <w:t>Apmācības dalībnieku skaits šādās spēju veidošanas programmās:</w:t>
            </w:r>
          </w:p>
          <w:p w14:paraId="3545F647" w14:textId="77777777" w:rsidR="00776A1F" w:rsidRDefault="00D8574B">
            <w:pPr>
              <w:pStyle w:val="P68B1DB1-Normal8"/>
              <w:spacing w:after="0" w:line="240" w:lineRule="auto"/>
              <w:jc w:val="both"/>
              <w:rPr>
                <w:rFonts w:eastAsia="Times New Roman" w:cs="Calibri"/>
                <w:noProof/>
              </w:rPr>
            </w:pPr>
            <w:r>
              <w:rPr>
                <w:i/>
                <w:noProof/>
              </w:rPr>
              <w:t>Programa de capacitação digital</w:t>
            </w:r>
            <w:r>
              <w:rPr>
                <w:noProof/>
              </w:rPr>
              <w:t xml:space="preserve"> </w:t>
            </w:r>
          </w:p>
          <w:p w14:paraId="4161D919" w14:textId="77777777" w:rsidR="00776A1F" w:rsidRDefault="00D8574B">
            <w:pPr>
              <w:pStyle w:val="P68B1DB1-Normal8"/>
              <w:spacing w:after="0" w:line="240" w:lineRule="auto"/>
              <w:jc w:val="both"/>
              <w:rPr>
                <w:rFonts w:eastAsia="Times New Roman" w:cs="Calibri"/>
                <w:noProof/>
              </w:rPr>
            </w:pPr>
            <w:r>
              <w:rPr>
                <w:noProof/>
              </w:rPr>
              <w:t xml:space="preserve">Augstākā un augstākā izglītība vadības jomā </w:t>
            </w:r>
          </w:p>
          <w:p w14:paraId="6D3A99C1" w14:textId="77777777" w:rsidR="00776A1F" w:rsidRDefault="00D8574B">
            <w:pPr>
              <w:pStyle w:val="P68B1DB1-Normal8"/>
              <w:spacing w:after="0" w:line="240" w:lineRule="auto"/>
              <w:jc w:val="both"/>
              <w:rPr>
                <w:rFonts w:eastAsia="Times New Roman" w:cs="Calibri"/>
                <w:i/>
                <w:noProof/>
              </w:rPr>
            </w:pPr>
            <w:r>
              <w:rPr>
                <w:i/>
                <w:noProof/>
              </w:rPr>
              <w:t xml:space="preserve">Lojas do Cidadão/Espaços Cidadão </w:t>
            </w:r>
            <w:r>
              <w:rPr>
                <w:noProof/>
              </w:rPr>
              <w:t>apmācība</w:t>
            </w:r>
          </w:p>
          <w:p w14:paraId="0F98079D" w14:textId="77777777" w:rsidR="00776A1F" w:rsidRDefault="00D8574B">
            <w:pPr>
              <w:pStyle w:val="P68B1DB1-Normal8"/>
              <w:spacing w:after="0" w:line="240" w:lineRule="auto"/>
              <w:jc w:val="both"/>
              <w:rPr>
                <w:rFonts w:eastAsia="Times New Roman" w:cs="Calibri"/>
                <w:noProof/>
              </w:rPr>
            </w:pPr>
            <w:r>
              <w:rPr>
                <w:i/>
                <w:noProof/>
              </w:rPr>
              <w:t>Qualifica AP</w:t>
            </w:r>
            <w:r>
              <w:rPr>
                <w:noProof/>
              </w:rPr>
              <w:t xml:space="preserve"> programma </w:t>
            </w:r>
          </w:p>
          <w:p w14:paraId="6471EAAE" w14:textId="77777777" w:rsidR="00776A1F" w:rsidRDefault="00D8574B">
            <w:pPr>
              <w:pStyle w:val="P68B1DB1-Normal8"/>
              <w:spacing w:after="0" w:line="240" w:lineRule="auto"/>
              <w:jc w:val="both"/>
              <w:rPr>
                <w:rFonts w:eastAsia="Times New Roman" w:cs="Calibri"/>
                <w:noProof/>
              </w:rPr>
            </w:pPr>
            <w:r>
              <w:rPr>
                <w:noProof/>
              </w:rPr>
              <w:t>PlanAPP — plānošanas un prognozēšanas prasmju projekts</w:t>
            </w:r>
          </w:p>
          <w:p w14:paraId="57E273AB" w14:textId="2AC231AE" w:rsidR="00776A1F" w:rsidRDefault="00D8574B">
            <w:pPr>
              <w:pStyle w:val="P68B1DB1-Normal8"/>
              <w:spacing w:after="0" w:line="240" w:lineRule="auto"/>
              <w:jc w:val="both"/>
              <w:rPr>
                <w:rFonts w:eastAsia="Times New Roman" w:cs="Calibri"/>
                <w:noProof/>
              </w:rPr>
            </w:pPr>
            <w:r>
              <w:rPr>
                <w:noProof/>
              </w:rPr>
              <w:t>SIADAP</w:t>
            </w:r>
          </w:p>
        </w:tc>
      </w:tr>
      <w:tr w:rsidR="00776A1F" w14:paraId="7FBC13AB" w14:textId="77777777">
        <w:trPr>
          <w:trHeight w:val="290"/>
        </w:trPr>
        <w:tc>
          <w:tcPr>
            <w:tcW w:w="1082" w:type="dxa"/>
            <w:shd w:val="clear" w:color="auto" w:fill="C4EFCE"/>
            <w:vAlign w:val="center"/>
          </w:tcPr>
          <w:p w14:paraId="58D022BD" w14:textId="64345F0E" w:rsidR="00776A1F" w:rsidRDefault="00D8574B">
            <w:pPr>
              <w:pStyle w:val="P68B1DB1-Normal7"/>
              <w:spacing w:after="0" w:line="240" w:lineRule="auto"/>
              <w:jc w:val="center"/>
              <w:rPr>
                <w:rFonts w:eastAsia="Times New Roman" w:cs="Calibri"/>
                <w:noProof/>
              </w:rPr>
            </w:pPr>
            <w:r>
              <w:rPr>
                <w:noProof/>
              </w:rPr>
              <w:t>19.22</w:t>
            </w:r>
          </w:p>
        </w:tc>
        <w:tc>
          <w:tcPr>
            <w:tcW w:w="1211" w:type="dxa"/>
            <w:shd w:val="clear" w:color="auto" w:fill="C4EFCE"/>
            <w:noWrap/>
            <w:vAlign w:val="center"/>
          </w:tcPr>
          <w:p w14:paraId="43D1A15C" w14:textId="13068CEA" w:rsidR="00776A1F" w:rsidRDefault="00D8574B">
            <w:pPr>
              <w:pStyle w:val="P68B1DB1-Normal8"/>
              <w:spacing w:after="0" w:line="240" w:lineRule="auto"/>
              <w:jc w:val="center"/>
              <w:rPr>
                <w:rFonts w:eastAsia="Times New Roman" w:cs="Calibri"/>
                <w:noProof/>
              </w:rPr>
            </w:pPr>
            <w:r>
              <w:rPr>
                <w:noProof/>
              </w:rPr>
              <w:t>TD-C19-r34</w:t>
            </w:r>
          </w:p>
        </w:tc>
        <w:tc>
          <w:tcPr>
            <w:tcW w:w="1080" w:type="dxa"/>
            <w:shd w:val="clear" w:color="auto" w:fill="C4EFCE"/>
            <w:noWrap/>
            <w:vAlign w:val="center"/>
          </w:tcPr>
          <w:p w14:paraId="5C282FC5" w14:textId="21349B74"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0CBD813F" w14:textId="660102B3" w:rsidR="00776A1F" w:rsidRDefault="00D8574B">
            <w:pPr>
              <w:pStyle w:val="P68B1DB1-Normal8"/>
              <w:spacing w:after="0" w:line="240" w:lineRule="auto"/>
              <w:jc w:val="center"/>
              <w:rPr>
                <w:rFonts w:eastAsia="Times New Roman" w:cs="Calibri"/>
                <w:noProof/>
              </w:rPr>
            </w:pPr>
            <w:r>
              <w:rPr>
                <w:noProof/>
              </w:rPr>
              <w:t>Valsts pārvaldes digitālās pārveides tiesiskā regulējuma stāšanās spēkā</w:t>
            </w:r>
          </w:p>
        </w:tc>
        <w:tc>
          <w:tcPr>
            <w:tcW w:w="1343" w:type="dxa"/>
            <w:shd w:val="clear" w:color="auto" w:fill="C4EFCE"/>
            <w:noWrap/>
            <w:vAlign w:val="center"/>
          </w:tcPr>
          <w:p w14:paraId="5D13F7D8" w14:textId="7CE7177C" w:rsidR="00776A1F" w:rsidRDefault="00D8574B">
            <w:pPr>
              <w:pStyle w:val="P68B1DB1-Normal8"/>
              <w:spacing w:after="0" w:line="240" w:lineRule="auto"/>
              <w:jc w:val="center"/>
              <w:rPr>
                <w:rFonts w:eastAsia="Times New Roman" w:cs="Calibri"/>
                <w:noProof/>
              </w:rPr>
            </w:pPr>
            <w:r>
              <w:rPr>
                <w:noProof/>
              </w:rPr>
              <w:t>Valsts pārvaldes digitālās pārveides tiesiskā regulējuma stāšanās spēkā</w:t>
            </w:r>
          </w:p>
        </w:tc>
        <w:tc>
          <w:tcPr>
            <w:tcW w:w="1134" w:type="dxa"/>
            <w:shd w:val="clear" w:color="auto" w:fill="C4EFCE"/>
            <w:noWrap/>
            <w:vAlign w:val="center"/>
          </w:tcPr>
          <w:p w14:paraId="62180EE1" w14:textId="77777777" w:rsidR="00776A1F" w:rsidRDefault="00776A1F">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4FFFBFC7" w14:textId="77777777" w:rsidR="00776A1F" w:rsidRDefault="00776A1F">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216D20AB" w14:textId="77777777" w:rsidR="00776A1F" w:rsidRDefault="00776A1F">
            <w:pPr>
              <w:spacing w:after="0" w:line="240" w:lineRule="auto"/>
              <w:jc w:val="center"/>
              <w:rPr>
                <w:rFonts w:ascii="Calibri" w:eastAsia="Times New Roman" w:hAnsi="Calibri" w:cs="Calibri"/>
                <w:noProof/>
                <w:sz w:val="16"/>
                <w:highlight w:val="yellow"/>
              </w:rPr>
            </w:pPr>
          </w:p>
        </w:tc>
        <w:tc>
          <w:tcPr>
            <w:tcW w:w="550" w:type="dxa"/>
            <w:shd w:val="clear" w:color="auto" w:fill="C4EFCE"/>
            <w:noWrap/>
            <w:vAlign w:val="center"/>
          </w:tcPr>
          <w:p w14:paraId="728AFEC2" w14:textId="63AE4ED8" w:rsidR="00776A1F" w:rsidRDefault="00D8574B">
            <w:pPr>
              <w:pStyle w:val="P68B1DB1-Normal8"/>
              <w:spacing w:after="0" w:line="240" w:lineRule="auto"/>
              <w:jc w:val="center"/>
              <w:rPr>
                <w:rFonts w:eastAsia="Times New Roman" w:cs="Calibri"/>
                <w:noProof/>
              </w:rPr>
            </w:pPr>
            <w:r>
              <w:rPr>
                <w:noProof/>
              </w:rPr>
              <w:t>3. CET.</w:t>
            </w:r>
          </w:p>
        </w:tc>
        <w:tc>
          <w:tcPr>
            <w:tcW w:w="682" w:type="dxa"/>
            <w:shd w:val="clear" w:color="auto" w:fill="C4EFCE"/>
            <w:noWrap/>
            <w:vAlign w:val="center"/>
          </w:tcPr>
          <w:p w14:paraId="595C52FC" w14:textId="2C811559" w:rsidR="00776A1F" w:rsidRDefault="00D8574B">
            <w:pPr>
              <w:pStyle w:val="P68B1DB1-Normal8"/>
              <w:spacing w:after="0" w:line="240" w:lineRule="auto"/>
              <w:jc w:val="center"/>
              <w:rPr>
                <w:rFonts w:eastAsia="Times New Roman" w:cs="Calibri"/>
                <w:noProof/>
              </w:rPr>
            </w:pPr>
            <w:r>
              <w:rPr>
                <w:noProof/>
              </w:rPr>
              <w:t>2021</w:t>
            </w:r>
          </w:p>
        </w:tc>
        <w:tc>
          <w:tcPr>
            <w:tcW w:w="4458" w:type="dxa"/>
            <w:shd w:val="clear" w:color="auto" w:fill="C4EFCE"/>
            <w:vAlign w:val="center"/>
          </w:tcPr>
          <w:p w14:paraId="1CD11544" w14:textId="77777777" w:rsidR="00776A1F" w:rsidRDefault="00D8574B">
            <w:pPr>
              <w:pStyle w:val="P68B1DB1-Normal8"/>
              <w:spacing w:after="0" w:line="240" w:lineRule="auto"/>
              <w:jc w:val="both"/>
              <w:rPr>
                <w:rFonts w:eastAsia="Times New Roman" w:cs="Calibri"/>
                <w:noProof/>
              </w:rPr>
            </w:pPr>
            <w:r>
              <w:rPr>
                <w:noProof/>
              </w:rPr>
              <w:t xml:space="preserve">Valsts pārvaldes digitālās pārveides tiesiskā regulējuma stāšanās spēkā: </w:t>
            </w:r>
          </w:p>
          <w:p w14:paraId="42F64203" w14:textId="77777777" w:rsidR="00776A1F" w:rsidRDefault="00D8574B">
            <w:pPr>
              <w:pStyle w:val="P68B1DB1-Normal8"/>
              <w:spacing w:after="0" w:line="240" w:lineRule="auto"/>
              <w:jc w:val="both"/>
              <w:rPr>
                <w:rFonts w:eastAsia="Times New Roman" w:cs="Calibri"/>
                <w:noProof/>
              </w:rPr>
            </w:pPr>
            <w:r>
              <w:rPr>
                <w:noProof/>
              </w:rPr>
              <w:t xml:space="preserve">stratēģija un transversālais rīcības plāns valsts pārvaldes digitālajai pārveidei un </w:t>
            </w:r>
          </w:p>
          <w:p w14:paraId="45E866C9" w14:textId="2B06E7C5" w:rsidR="00776A1F" w:rsidRDefault="00D8574B">
            <w:pPr>
              <w:pStyle w:val="P68B1DB1-Normal8"/>
              <w:spacing w:after="0" w:line="240" w:lineRule="auto"/>
              <w:jc w:val="both"/>
              <w:rPr>
                <w:rFonts w:eastAsia="Times New Roman" w:cs="Calibri"/>
                <w:noProof/>
              </w:rPr>
            </w:pPr>
            <w:r>
              <w:rPr>
                <w:noProof/>
              </w:rPr>
              <w:t xml:space="preserve">tiesību aktu kopums (tostarp regula par CNCS) par valsts kiberdrošības satvaru, pamatojoties uz Likumu Nr. 46/2018  </w:t>
            </w:r>
          </w:p>
        </w:tc>
      </w:tr>
      <w:tr w:rsidR="00776A1F" w14:paraId="6ACE826A" w14:textId="77777777">
        <w:trPr>
          <w:trHeight w:val="640"/>
        </w:trPr>
        <w:tc>
          <w:tcPr>
            <w:tcW w:w="1082" w:type="dxa"/>
            <w:shd w:val="clear" w:color="auto" w:fill="C4EFCE"/>
            <w:vAlign w:val="center"/>
            <w:hideMark/>
          </w:tcPr>
          <w:p w14:paraId="5C1ED785" w14:textId="77777777" w:rsidR="00776A1F" w:rsidRDefault="00D8574B">
            <w:pPr>
              <w:pStyle w:val="P68B1DB1-Normal7"/>
              <w:spacing w:after="0" w:line="240" w:lineRule="auto"/>
              <w:jc w:val="center"/>
              <w:rPr>
                <w:rFonts w:eastAsia="Times New Roman" w:cs="Calibri"/>
                <w:noProof/>
              </w:rPr>
            </w:pPr>
            <w:r>
              <w:rPr>
                <w:noProof/>
              </w:rPr>
              <w:t>19.23</w:t>
            </w:r>
          </w:p>
        </w:tc>
        <w:tc>
          <w:tcPr>
            <w:tcW w:w="1211" w:type="dxa"/>
            <w:shd w:val="clear" w:color="auto" w:fill="C4EFCE"/>
            <w:noWrap/>
            <w:vAlign w:val="center"/>
            <w:hideMark/>
          </w:tcPr>
          <w:p w14:paraId="263EFDAF" w14:textId="77777777" w:rsidR="00776A1F" w:rsidRDefault="00D8574B">
            <w:pPr>
              <w:pStyle w:val="P68B1DB1-Normal8"/>
              <w:spacing w:after="0" w:line="240" w:lineRule="auto"/>
              <w:jc w:val="center"/>
              <w:rPr>
                <w:rFonts w:eastAsia="Times New Roman" w:cs="Calibri"/>
                <w:noProof/>
              </w:rPr>
            </w:pPr>
            <w:r>
              <w:rPr>
                <w:noProof/>
              </w:rPr>
              <w:t>TD-C19-r35</w:t>
            </w:r>
          </w:p>
        </w:tc>
        <w:tc>
          <w:tcPr>
            <w:tcW w:w="1080" w:type="dxa"/>
            <w:shd w:val="clear" w:color="auto" w:fill="C4EFCE"/>
            <w:noWrap/>
            <w:vAlign w:val="center"/>
            <w:hideMark/>
          </w:tcPr>
          <w:p w14:paraId="5996D96C"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0B1FDC94" w14:textId="77777777" w:rsidR="00776A1F" w:rsidRDefault="00D8574B">
            <w:pPr>
              <w:pStyle w:val="P68B1DB1-Normal8"/>
              <w:spacing w:after="0" w:line="240" w:lineRule="auto"/>
              <w:jc w:val="center"/>
              <w:rPr>
                <w:rFonts w:eastAsia="Times New Roman" w:cs="Calibri"/>
                <w:noProof/>
              </w:rPr>
            </w:pPr>
            <w:r>
              <w:rPr>
                <w:noProof/>
              </w:rPr>
              <w:t>Valsts pārvaldes reorganizācijas tiesību aktu kopuma stāšanās spēkā</w:t>
            </w:r>
          </w:p>
        </w:tc>
        <w:tc>
          <w:tcPr>
            <w:tcW w:w="1343" w:type="dxa"/>
            <w:shd w:val="clear" w:color="auto" w:fill="C4EFCE"/>
            <w:noWrap/>
            <w:vAlign w:val="center"/>
            <w:hideMark/>
          </w:tcPr>
          <w:p w14:paraId="605DD329" w14:textId="77777777" w:rsidR="00776A1F" w:rsidRDefault="00D8574B">
            <w:pPr>
              <w:pStyle w:val="P68B1DB1-Normal8"/>
              <w:spacing w:after="0" w:line="240" w:lineRule="auto"/>
              <w:jc w:val="center"/>
              <w:rPr>
                <w:rFonts w:eastAsia="Times New Roman" w:cs="Calibri"/>
                <w:noProof/>
              </w:rPr>
            </w:pPr>
            <w:r>
              <w:rPr>
                <w:noProof/>
              </w:rPr>
              <w:t>Valsts pārvaldes reorganizācijas tiesību aktu kopuma stāšanās spēkā</w:t>
            </w:r>
          </w:p>
        </w:tc>
        <w:tc>
          <w:tcPr>
            <w:tcW w:w="1134" w:type="dxa"/>
            <w:shd w:val="clear" w:color="auto" w:fill="C4EFCE"/>
            <w:noWrap/>
            <w:vAlign w:val="center"/>
            <w:hideMark/>
          </w:tcPr>
          <w:p w14:paraId="0A7AAAFB" w14:textId="77777777" w:rsidR="00776A1F" w:rsidRDefault="00D8574B">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1EFE25EB" w14:textId="77777777" w:rsidR="00776A1F" w:rsidRDefault="00D8574B">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17016DD5" w14:textId="77777777" w:rsidR="00776A1F" w:rsidRDefault="00D8574B">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2CDF4678" w14:textId="77777777" w:rsidR="00776A1F" w:rsidRDefault="00D8574B">
            <w:pPr>
              <w:pStyle w:val="P68B1DB1-Normal8"/>
              <w:spacing w:after="0" w:line="240" w:lineRule="auto"/>
              <w:jc w:val="center"/>
              <w:rPr>
                <w:rFonts w:eastAsia="Times New Roman" w:cs="Calibri"/>
                <w:noProof/>
              </w:rPr>
            </w:pPr>
            <w:r>
              <w:rPr>
                <w:noProof/>
              </w:rPr>
              <w:t>4. CET.</w:t>
            </w:r>
          </w:p>
        </w:tc>
        <w:tc>
          <w:tcPr>
            <w:tcW w:w="682" w:type="dxa"/>
            <w:shd w:val="clear" w:color="auto" w:fill="C4EFCE"/>
            <w:noWrap/>
            <w:vAlign w:val="center"/>
            <w:hideMark/>
          </w:tcPr>
          <w:p w14:paraId="0C9F2504" w14:textId="77777777" w:rsidR="00776A1F" w:rsidRDefault="00D8574B">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505BBF80" w14:textId="77777777" w:rsidR="00776A1F" w:rsidRDefault="00D8574B">
            <w:pPr>
              <w:pStyle w:val="P68B1DB1-Normal8"/>
              <w:spacing w:after="0" w:line="240" w:lineRule="auto"/>
              <w:jc w:val="both"/>
              <w:rPr>
                <w:rFonts w:eastAsia="Times New Roman" w:cs="Calibri"/>
                <w:noProof/>
              </w:rPr>
            </w:pPr>
            <w:r>
              <w:rPr>
                <w:noProof/>
              </w:rPr>
              <w:t xml:space="preserve">Tādu tiesību aktu stāšanās spēkā, kas vajadzīgi, lai īstenotu centrālās valsts pārvaldes funkcionālās un organizatoriskās izmaiņas, pamatojoties uz ziņojumu, ko </w:t>
            </w:r>
            <w:r>
              <w:rPr>
                <w:i/>
                <w:noProof/>
              </w:rPr>
              <w:t>sniedza ar Ministru padomes rezolūciju izveidotā Estrutura de</w:t>
            </w:r>
            <w:r>
              <w:rPr>
                <w:noProof/>
              </w:rPr>
              <w:t xml:space="preserve"> missão </w:t>
            </w:r>
          </w:p>
        </w:tc>
      </w:tr>
      <w:tr w:rsidR="00776A1F" w14:paraId="3BEC967D" w14:textId="77777777">
        <w:trPr>
          <w:trHeight w:val="430"/>
        </w:trPr>
        <w:tc>
          <w:tcPr>
            <w:tcW w:w="1082" w:type="dxa"/>
            <w:shd w:val="clear" w:color="auto" w:fill="C4EFCE"/>
            <w:vAlign w:val="center"/>
            <w:hideMark/>
          </w:tcPr>
          <w:p w14:paraId="0F6E1273" w14:textId="77777777" w:rsidR="00776A1F" w:rsidRDefault="00D8574B">
            <w:pPr>
              <w:pStyle w:val="P68B1DB1-Normal7"/>
              <w:spacing w:after="0" w:line="240" w:lineRule="auto"/>
              <w:jc w:val="center"/>
              <w:rPr>
                <w:rFonts w:eastAsia="Times New Roman" w:cs="Calibri"/>
                <w:noProof/>
              </w:rPr>
            </w:pPr>
            <w:r>
              <w:rPr>
                <w:noProof/>
              </w:rPr>
              <w:t>19.24</w:t>
            </w:r>
          </w:p>
        </w:tc>
        <w:tc>
          <w:tcPr>
            <w:tcW w:w="1211" w:type="dxa"/>
            <w:shd w:val="clear" w:color="auto" w:fill="C4EFCE"/>
            <w:noWrap/>
            <w:vAlign w:val="center"/>
            <w:hideMark/>
          </w:tcPr>
          <w:p w14:paraId="0CC675A9" w14:textId="77777777" w:rsidR="00776A1F" w:rsidRDefault="00D8574B">
            <w:pPr>
              <w:pStyle w:val="P68B1DB1-Normal8"/>
              <w:spacing w:after="0" w:line="240" w:lineRule="auto"/>
              <w:jc w:val="center"/>
              <w:rPr>
                <w:rFonts w:eastAsia="Times New Roman" w:cs="Calibri"/>
                <w:noProof/>
              </w:rPr>
            </w:pPr>
            <w:r>
              <w:rPr>
                <w:noProof/>
              </w:rPr>
              <w:t>TD-C19-r36</w:t>
            </w:r>
          </w:p>
        </w:tc>
        <w:tc>
          <w:tcPr>
            <w:tcW w:w="1080" w:type="dxa"/>
            <w:shd w:val="clear" w:color="auto" w:fill="C4EFCE"/>
            <w:noWrap/>
            <w:vAlign w:val="center"/>
            <w:hideMark/>
          </w:tcPr>
          <w:p w14:paraId="349C8A7E" w14:textId="77777777" w:rsidR="00776A1F" w:rsidRDefault="00D8574B">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7479E327" w14:textId="77777777" w:rsidR="00776A1F" w:rsidRDefault="00D8574B">
            <w:pPr>
              <w:pStyle w:val="P68B1DB1-Normal8"/>
              <w:spacing w:after="0" w:line="240" w:lineRule="auto"/>
              <w:jc w:val="center"/>
              <w:rPr>
                <w:rFonts w:eastAsia="Times New Roman" w:cs="Calibri"/>
                <w:noProof/>
              </w:rPr>
            </w:pPr>
            <w:r>
              <w:rPr>
                <w:noProof/>
              </w:rPr>
              <w:t xml:space="preserve"> Valsts pārvaldes institūta izveide, I.P.</w:t>
            </w:r>
          </w:p>
        </w:tc>
        <w:tc>
          <w:tcPr>
            <w:tcW w:w="1343" w:type="dxa"/>
            <w:shd w:val="clear" w:color="auto" w:fill="C4EFCE"/>
            <w:noWrap/>
            <w:vAlign w:val="center"/>
            <w:hideMark/>
          </w:tcPr>
          <w:p w14:paraId="030C5824" w14:textId="77777777" w:rsidR="00776A1F" w:rsidRDefault="00D8574B">
            <w:pPr>
              <w:pStyle w:val="P68B1DB1-Normal8"/>
              <w:spacing w:after="0" w:line="240" w:lineRule="auto"/>
              <w:jc w:val="center"/>
              <w:rPr>
                <w:rFonts w:eastAsia="Times New Roman" w:cs="Calibri"/>
                <w:noProof/>
              </w:rPr>
            </w:pPr>
            <w:r>
              <w:rPr>
                <w:noProof/>
              </w:rPr>
              <w:t>Valsts pārvaldes institūta I.P. izveide ar tiesību aktu</w:t>
            </w:r>
          </w:p>
        </w:tc>
        <w:tc>
          <w:tcPr>
            <w:tcW w:w="1134" w:type="dxa"/>
            <w:shd w:val="clear" w:color="auto" w:fill="C4EFCE"/>
            <w:noWrap/>
            <w:vAlign w:val="center"/>
            <w:hideMark/>
          </w:tcPr>
          <w:p w14:paraId="0B9E120E" w14:textId="77777777" w:rsidR="00776A1F" w:rsidRDefault="00D8574B">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4A2766AC" w14:textId="77777777" w:rsidR="00776A1F" w:rsidRDefault="00D8574B">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649ABF2C" w14:textId="77777777" w:rsidR="00776A1F" w:rsidRDefault="00D8574B">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1FA4DEB7" w14:textId="77777777" w:rsidR="00776A1F" w:rsidRDefault="00D8574B">
            <w:pPr>
              <w:pStyle w:val="P68B1DB1-Normal8"/>
              <w:spacing w:after="0" w:line="240" w:lineRule="auto"/>
              <w:jc w:val="center"/>
              <w:rPr>
                <w:rFonts w:eastAsia="Times New Roman" w:cs="Calibri"/>
                <w:noProof/>
              </w:rPr>
            </w:pPr>
            <w:r>
              <w:rPr>
                <w:noProof/>
              </w:rPr>
              <w:t>2. CET.</w:t>
            </w:r>
          </w:p>
        </w:tc>
        <w:tc>
          <w:tcPr>
            <w:tcW w:w="682" w:type="dxa"/>
            <w:shd w:val="clear" w:color="auto" w:fill="C4EFCE"/>
            <w:noWrap/>
            <w:vAlign w:val="center"/>
            <w:hideMark/>
          </w:tcPr>
          <w:p w14:paraId="1300E342" w14:textId="77777777" w:rsidR="00776A1F" w:rsidRDefault="00D8574B">
            <w:pPr>
              <w:pStyle w:val="P68B1DB1-Normal8"/>
              <w:spacing w:after="0" w:line="240" w:lineRule="auto"/>
              <w:jc w:val="center"/>
              <w:rPr>
                <w:rFonts w:eastAsia="Times New Roman" w:cs="Calibri"/>
                <w:noProof/>
              </w:rPr>
            </w:pPr>
            <w:r>
              <w:rPr>
                <w:noProof/>
              </w:rPr>
              <w:t>2021</w:t>
            </w:r>
          </w:p>
        </w:tc>
        <w:tc>
          <w:tcPr>
            <w:tcW w:w="4458" w:type="dxa"/>
            <w:shd w:val="clear" w:color="auto" w:fill="C4EFCE"/>
            <w:vAlign w:val="center"/>
            <w:hideMark/>
          </w:tcPr>
          <w:p w14:paraId="241B071D" w14:textId="77777777" w:rsidR="00776A1F" w:rsidRDefault="00D8574B">
            <w:pPr>
              <w:pStyle w:val="P68B1DB1-Normal8"/>
              <w:spacing w:after="0" w:line="240" w:lineRule="auto"/>
              <w:jc w:val="both"/>
              <w:rPr>
                <w:rFonts w:eastAsia="Times New Roman" w:cs="Calibri"/>
                <w:noProof/>
              </w:rPr>
            </w:pPr>
            <w:r>
              <w:rPr>
                <w:i/>
                <w:noProof/>
              </w:rPr>
              <w:t>Instituto Nacional de Administração, IĪ tiesību akts,</w:t>
            </w:r>
            <w:r>
              <w:rPr>
                <w:noProof/>
              </w:rPr>
              <w:t xml:space="preserve"> kas ļauj veikt valsts pārvaldes apmācības pasākumus</w:t>
            </w:r>
          </w:p>
        </w:tc>
      </w:tr>
      <w:tr w:rsidR="00776A1F" w14:paraId="7E83CB0B" w14:textId="77777777">
        <w:trPr>
          <w:trHeight w:val="430"/>
        </w:trPr>
        <w:tc>
          <w:tcPr>
            <w:tcW w:w="1082" w:type="dxa"/>
            <w:shd w:val="clear" w:color="auto" w:fill="C4EFCE"/>
            <w:vAlign w:val="center"/>
          </w:tcPr>
          <w:p w14:paraId="18E9975D" w14:textId="11D15DFC" w:rsidR="00776A1F" w:rsidRDefault="00D8574B">
            <w:pPr>
              <w:pStyle w:val="P68B1DB1-Normal11"/>
              <w:spacing w:after="0" w:line="240" w:lineRule="auto"/>
              <w:jc w:val="center"/>
              <w:rPr>
                <w:rFonts w:eastAsia="Times New Roman" w:cstheme="minorHAnsi"/>
                <w:noProof/>
              </w:rPr>
            </w:pPr>
            <w:r>
              <w:rPr>
                <w:noProof/>
              </w:rPr>
              <w:t>19.30</w:t>
            </w:r>
          </w:p>
        </w:tc>
        <w:tc>
          <w:tcPr>
            <w:tcW w:w="1211" w:type="dxa"/>
            <w:shd w:val="clear" w:color="auto" w:fill="C4EFCE"/>
            <w:noWrap/>
            <w:vAlign w:val="center"/>
          </w:tcPr>
          <w:p w14:paraId="5460871A" w14:textId="02F65AC9" w:rsidR="00776A1F" w:rsidRDefault="00D8574B">
            <w:pPr>
              <w:pStyle w:val="P68B1DB1-Normal12"/>
              <w:spacing w:after="0" w:line="240" w:lineRule="auto"/>
              <w:jc w:val="center"/>
              <w:rPr>
                <w:rFonts w:eastAsia="Times New Roman" w:cstheme="minorHAnsi"/>
                <w:noProof/>
              </w:rPr>
            </w:pPr>
            <w:r>
              <w:rPr>
                <w:noProof/>
              </w:rPr>
              <w:t>TD-C19-r41</w:t>
            </w:r>
          </w:p>
        </w:tc>
        <w:tc>
          <w:tcPr>
            <w:tcW w:w="1080" w:type="dxa"/>
            <w:shd w:val="clear" w:color="auto" w:fill="C4EFCE"/>
            <w:noWrap/>
            <w:vAlign w:val="center"/>
          </w:tcPr>
          <w:p w14:paraId="162BD2C1" w14:textId="67F68A48" w:rsidR="00776A1F" w:rsidRDefault="00D8574B">
            <w:pPr>
              <w:pStyle w:val="P68B1DB1-Normal12"/>
              <w:spacing w:after="0" w:line="240" w:lineRule="auto"/>
              <w:jc w:val="center"/>
              <w:rPr>
                <w:rFonts w:eastAsia="Times New Roman" w:cstheme="minorHAnsi"/>
                <w:noProof/>
              </w:rPr>
            </w:pPr>
            <w:r>
              <w:rPr>
                <w:noProof/>
              </w:rPr>
              <w:t>M</w:t>
            </w:r>
          </w:p>
        </w:tc>
        <w:tc>
          <w:tcPr>
            <w:tcW w:w="1609" w:type="dxa"/>
            <w:shd w:val="clear" w:color="auto" w:fill="C4EFCE"/>
            <w:noWrap/>
            <w:vAlign w:val="center"/>
          </w:tcPr>
          <w:p w14:paraId="2A40F594" w14:textId="7823E16A" w:rsidR="00776A1F" w:rsidRDefault="00D8574B">
            <w:pPr>
              <w:pStyle w:val="P68B1DB1-Normal12"/>
              <w:spacing w:after="0" w:line="240" w:lineRule="auto"/>
              <w:jc w:val="center"/>
              <w:rPr>
                <w:rFonts w:eastAsia="Times New Roman" w:cstheme="minorHAnsi"/>
                <w:noProof/>
              </w:rPr>
            </w:pPr>
            <w:r>
              <w:rPr>
                <w:noProof/>
              </w:rPr>
              <w:t>Tiesību akta par piekļuvi sabiedriskajiem pakalpojumiem stāšanās spēkā</w:t>
            </w:r>
          </w:p>
        </w:tc>
        <w:tc>
          <w:tcPr>
            <w:tcW w:w="1343" w:type="dxa"/>
            <w:shd w:val="clear" w:color="auto" w:fill="C4EFCE"/>
            <w:noWrap/>
            <w:vAlign w:val="center"/>
          </w:tcPr>
          <w:p w14:paraId="191A02D6" w14:textId="280F4306" w:rsidR="00776A1F" w:rsidRDefault="00D8574B">
            <w:pPr>
              <w:pStyle w:val="P68B1DB1-Normal12"/>
              <w:spacing w:after="0" w:line="240" w:lineRule="auto"/>
              <w:jc w:val="center"/>
              <w:rPr>
                <w:rFonts w:eastAsia="Times New Roman" w:cstheme="minorHAnsi"/>
                <w:noProof/>
              </w:rPr>
            </w:pPr>
            <w:r>
              <w:rPr>
                <w:noProof/>
              </w:rPr>
              <w:t xml:space="preserve">Tiesību akta noteikums, kas norāda uz tiesību akta stāšanos spēkā </w:t>
            </w:r>
          </w:p>
        </w:tc>
        <w:tc>
          <w:tcPr>
            <w:tcW w:w="1134" w:type="dxa"/>
            <w:shd w:val="clear" w:color="auto" w:fill="C4EFCE"/>
            <w:noWrap/>
            <w:vAlign w:val="center"/>
          </w:tcPr>
          <w:p w14:paraId="15EB9DF1" w14:textId="77777777" w:rsidR="00776A1F" w:rsidRDefault="00776A1F">
            <w:pPr>
              <w:spacing w:after="0" w:line="240" w:lineRule="auto"/>
              <w:jc w:val="center"/>
              <w:rPr>
                <w:rFonts w:eastAsia="Times New Roman" w:cstheme="minorHAnsi"/>
                <w:noProof/>
                <w:sz w:val="16"/>
              </w:rPr>
            </w:pPr>
          </w:p>
        </w:tc>
        <w:tc>
          <w:tcPr>
            <w:tcW w:w="947" w:type="dxa"/>
            <w:shd w:val="clear" w:color="auto" w:fill="C4EFCE"/>
            <w:noWrap/>
            <w:vAlign w:val="center"/>
          </w:tcPr>
          <w:p w14:paraId="0B16E3FF" w14:textId="77777777" w:rsidR="00776A1F" w:rsidRDefault="00776A1F">
            <w:pPr>
              <w:spacing w:after="0" w:line="240" w:lineRule="auto"/>
              <w:jc w:val="center"/>
              <w:rPr>
                <w:rFonts w:eastAsia="Times New Roman" w:cstheme="minorHAnsi"/>
                <w:noProof/>
                <w:sz w:val="16"/>
              </w:rPr>
            </w:pPr>
          </w:p>
        </w:tc>
        <w:tc>
          <w:tcPr>
            <w:tcW w:w="682" w:type="dxa"/>
            <w:shd w:val="clear" w:color="auto" w:fill="C4EFCE"/>
            <w:noWrap/>
            <w:vAlign w:val="center"/>
          </w:tcPr>
          <w:p w14:paraId="08355F05" w14:textId="77777777" w:rsidR="00776A1F" w:rsidRDefault="00776A1F">
            <w:pPr>
              <w:spacing w:after="0" w:line="240" w:lineRule="auto"/>
              <w:jc w:val="center"/>
              <w:rPr>
                <w:rFonts w:eastAsia="Times New Roman" w:cstheme="minorHAnsi"/>
                <w:noProof/>
                <w:sz w:val="16"/>
              </w:rPr>
            </w:pPr>
          </w:p>
        </w:tc>
        <w:tc>
          <w:tcPr>
            <w:tcW w:w="550" w:type="dxa"/>
            <w:shd w:val="clear" w:color="auto" w:fill="C4EFCE"/>
            <w:noWrap/>
            <w:vAlign w:val="center"/>
          </w:tcPr>
          <w:p w14:paraId="028AEAD5" w14:textId="7004A912" w:rsidR="00776A1F" w:rsidRDefault="00D8574B">
            <w:pPr>
              <w:pStyle w:val="P68B1DB1-Normal12"/>
              <w:spacing w:after="0" w:line="240" w:lineRule="auto"/>
              <w:jc w:val="center"/>
              <w:rPr>
                <w:rFonts w:eastAsia="Times New Roman" w:cstheme="minorHAnsi"/>
                <w:noProof/>
              </w:rPr>
            </w:pPr>
            <w:r>
              <w:rPr>
                <w:noProof/>
              </w:rPr>
              <w:t>3. CET.</w:t>
            </w:r>
          </w:p>
        </w:tc>
        <w:tc>
          <w:tcPr>
            <w:tcW w:w="682" w:type="dxa"/>
            <w:shd w:val="clear" w:color="auto" w:fill="C4EFCE"/>
            <w:noWrap/>
            <w:vAlign w:val="center"/>
          </w:tcPr>
          <w:p w14:paraId="265FA0B5" w14:textId="7DD6FBCA" w:rsidR="00776A1F" w:rsidRDefault="00D8574B">
            <w:pPr>
              <w:pStyle w:val="P68B1DB1-Normal12"/>
              <w:spacing w:after="0" w:line="240" w:lineRule="auto"/>
              <w:jc w:val="center"/>
              <w:rPr>
                <w:rFonts w:eastAsia="Times New Roman" w:cstheme="minorHAnsi"/>
                <w:noProof/>
              </w:rPr>
            </w:pPr>
            <w:r>
              <w:rPr>
                <w:noProof/>
              </w:rPr>
              <w:t>2025</w:t>
            </w:r>
          </w:p>
        </w:tc>
        <w:tc>
          <w:tcPr>
            <w:tcW w:w="4458" w:type="dxa"/>
            <w:shd w:val="clear" w:color="auto" w:fill="C4EFCE"/>
            <w:vAlign w:val="center"/>
          </w:tcPr>
          <w:p w14:paraId="3DA5037E" w14:textId="298CCB37" w:rsidR="00776A1F" w:rsidRDefault="00D8574B">
            <w:pPr>
              <w:pStyle w:val="P68B1DB1-Normal12"/>
              <w:spacing w:after="0" w:line="240" w:lineRule="auto"/>
              <w:jc w:val="both"/>
              <w:rPr>
                <w:rFonts w:eastAsia="Times New Roman" w:cstheme="minorHAnsi"/>
                <w:noProof/>
              </w:rPr>
            </w:pPr>
            <w:r>
              <w:rPr>
                <w:noProof/>
              </w:rPr>
              <w:t xml:space="preserve">Stājas spēkā tiesību akts, ar ko saskaņo un konsolidē personisku un tiešsaistes piekļuvi sabiedriskajiem pakalpojumiem, kā arī paplašina publisko pakalpojumu vienotajā portālā pieejamo pakalpojumu skaitu.   </w:t>
            </w:r>
          </w:p>
        </w:tc>
      </w:tr>
      <w:tr w:rsidR="00776A1F" w14:paraId="70FA8B5F" w14:textId="77777777">
        <w:trPr>
          <w:trHeight w:val="430"/>
        </w:trPr>
        <w:tc>
          <w:tcPr>
            <w:tcW w:w="1082" w:type="dxa"/>
            <w:shd w:val="clear" w:color="auto" w:fill="C4EFCE"/>
            <w:vAlign w:val="center"/>
          </w:tcPr>
          <w:p w14:paraId="5D5EB9E9" w14:textId="2177C7F7" w:rsidR="00776A1F" w:rsidRDefault="00D8574B">
            <w:pPr>
              <w:pStyle w:val="P68B1DB1-Normal11"/>
              <w:spacing w:after="0" w:line="240" w:lineRule="auto"/>
              <w:jc w:val="center"/>
              <w:rPr>
                <w:rFonts w:eastAsia="Times New Roman" w:cstheme="minorHAnsi"/>
                <w:noProof/>
              </w:rPr>
            </w:pPr>
            <w:r>
              <w:rPr>
                <w:noProof/>
              </w:rPr>
              <w:t>19.31</w:t>
            </w:r>
          </w:p>
        </w:tc>
        <w:tc>
          <w:tcPr>
            <w:tcW w:w="1211" w:type="dxa"/>
            <w:shd w:val="clear" w:color="auto" w:fill="C4EFCE"/>
            <w:noWrap/>
            <w:vAlign w:val="center"/>
          </w:tcPr>
          <w:p w14:paraId="160F0E2B" w14:textId="668FB811" w:rsidR="00776A1F" w:rsidRDefault="00D8574B">
            <w:pPr>
              <w:pStyle w:val="P68B1DB1-Bodytext1013"/>
              <w:spacing w:after="0"/>
              <w:jc w:val="center"/>
              <w:rPr>
                <w:rFonts w:cstheme="minorHAnsi"/>
                <w:noProof/>
              </w:rPr>
            </w:pPr>
            <w:r>
              <w:rPr>
                <w:noProof/>
              </w:rPr>
              <w:t>TD-C19-r42</w:t>
            </w:r>
          </w:p>
        </w:tc>
        <w:tc>
          <w:tcPr>
            <w:tcW w:w="1080" w:type="dxa"/>
            <w:shd w:val="clear" w:color="auto" w:fill="C4EFCE"/>
            <w:noWrap/>
            <w:vAlign w:val="center"/>
          </w:tcPr>
          <w:p w14:paraId="5A9F3806" w14:textId="793E38CA" w:rsidR="00776A1F" w:rsidRDefault="00D8574B">
            <w:pPr>
              <w:pStyle w:val="P68B1DB1-Normal12"/>
              <w:spacing w:after="0" w:line="240" w:lineRule="auto"/>
              <w:jc w:val="center"/>
              <w:rPr>
                <w:rFonts w:eastAsia="Times New Roman" w:cstheme="minorHAnsi"/>
                <w:noProof/>
              </w:rPr>
            </w:pPr>
            <w:r>
              <w:rPr>
                <w:noProof/>
              </w:rPr>
              <w:t xml:space="preserve"> M</w:t>
            </w:r>
          </w:p>
        </w:tc>
        <w:tc>
          <w:tcPr>
            <w:tcW w:w="1609" w:type="dxa"/>
            <w:shd w:val="clear" w:color="auto" w:fill="C4EFCE"/>
            <w:noWrap/>
            <w:vAlign w:val="center"/>
          </w:tcPr>
          <w:p w14:paraId="2935250F" w14:textId="2D44B127" w:rsidR="00776A1F" w:rsidRDefault="00D8574B">
            <w:pPr>
              <w:pStyle w:val="P68B1DB1-Bodytext1013"/>
              <w:jc w:val="center"/>
              <w:rPr>
                <w:rFonts w:cstheme="minorHAnsi"/>
                <w:noProof/>
              </w:rPr>
            </w:pPr>
            <w:r>
              <w:rPr>
                <w:noProof/>
              </w:rPr>
              <w:t>Leģislatīvā akta, ar kuru tiek pārskatīts SIADAP, stāšanās spēkā</w:t>
            </w:r>
          </w:p>
        </w:tc>
        <w:tc>
          <w:tcPr>
            <w:tcW w:w="1343" w:type="dxa"/>
            <w:shd w:val="clear" w:color="auto" w:fill="C4EFCE"/>
            <w:noWrap/>
            <w:vAlign w:val="center"/>
          </w:tcPr>
          <w:p w14:paraId="76DB72FC" w14:textId="202A9E7E" w:rsidR="00776A1F" w:rsidRDefault="00D8574B">
            <w:pPr>
              <w:pStyle w:val="P68B1DB1-Normal12"/>
              <w:spacing w:after="0" w:line="240" w:lineRule="auto"/>
              <w:jc w:val="center"/>
              <w:rPr>
                <w:rFonts w:eastAsia="Times New Roman" w:cstheme="minorHAnsi"/>
                <w:noProof/>
              </w:rPr>
            </w:pPr>
            <w:r>
              <w:rPr>
                <w:noProof/>
              </w:rPr>
              <w:t xml:space="preserve">Tiesību akta noteikums, kas norāda uz leģislatīvā akta stāšanos spēkā </w:t>
            </w:r>
          </w:p>
        </w:tc>
        <w:tc>
          <w:tcPr>
            <w:tcW w:w="1134" w:type="dxa"/>
            <w:shd w:val="clear" w:color="auto" w:fill="C4EFCE"/>
            <w:noWrap/>
            <w:vAlign w:val="center"/>
          </w:tcPr>
          <w:p w14:paraId="5BD712C6" w14:textId="68D529B9" w:rsidR="00776A1F" w:rsidRDefault="00D8574B">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64F81F0D" w14:textId="54AE8BAD" w:rsidR="00776A1F" w:rsidRDefault="00D8574B">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1DCC2FDC" w14:textId="47315426" w:rsidR="00776A1F" w:rsidRDefault="00D8574B">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3D54C13F" w14:textId="4A7609A6" w:rsidR="00776A1F" w:rsidRDefault="00D8574B">
            <w:pPr>
              <w:pStyle w:val="P68B1DB1-Normal12"/>
              <w:spacing w:after="0" w:line="240" w:lineRule="auto"/>
              <w:jc w:val="center"/>
              <w:rPr>
                <w:rFonts w:eastAsia="Times New Roman" w:cstheme="minorHAnsi"/>
                <w:noProof/>
              </w:rPr>
            </w:pPr>
            <w:r>
              <w:rPr>
                <w:noProof/>
              </w:rPr>
              <w:t xml:space="preserve">1. CET. </w:t>
            </w:r>
          </w:p>
        </w:tc>
        <w:tc>
          <w:tcPr>
            <w:tcW w:w="682" w:type="dxa"/>
            <w:shd w:val="clear" w:color="auto" w:fill="C4EFCE"/>
            <w:noWrap/>
            <w:vAlign w:val="center"/>
          </w:tcPr>
          <w:p w14:paraId="77865BCF" w14:textId="2D5D08F6" w:rsidR="00776A1F" w:rsidRDefault="00D8574B">
            <w:pPr>
              <w:pStyle w:val="P68B1DB1-Normal12"/>
              <w:spacing w:after="0" w:line="240" w:lineRule="auto"/>
              <w:jc w:val="center"/>
              <w:rPr>
                <w:rFonts w:eastAsia="Times New Roman" w:cstheme="minorHAnsi"/>
                <w:noProof/>
              </w:rPr>
            </w:pPr>
            <w:r>
              <w:rPr>
                <w:noProof/>
              </w:rPr>
              <w:t xml:space="preserve"> 2024</w:t>
            </w:r>
          </w:p>
        </w:tc>
        <w:tc>
          <w:tcPr>
            <w:tcW w:w="4458" w:type="dxa"/>
            <w:shd w:val="clear" w:color="auto" w:fill="C4EFCE"/>
            <w:vAlign w:val="center"/>
          </w:tcPr>
          <w:p w14:paraId="787D10CD" w14:textId="30D960C1" w:rsidR="00776A1F" w:rsidRDefault="00D8574B">
            <w:pPr>
              <w:pStyle w:val="P68B1DB1-Normal12"/>
              <w:spacing w:after="0" w:line="240" w:lineRule="auto"/>
              <w:jc w:val="both"/>
              <w:rPr>
                <w:rFonts w:eastAsia="Times New Roman" w:cstheme="minorHAnsi"/>
                <w:noProof/>
              </w:rPr>
            </w:pPr>
            <w:r>
              <w:rPr>
                <w:noProof/>
              </w:rPr>
              <w:t xml:space="preserve">Stājas spēkā tiesību akts, ar kuru tiek pārskatīta integrētā sistēma, lai pārvaldītu un novērtētu veiktspēju valsts pārvaldē (SIADAP) saskaņā ar pasākuma aprakstā aprakstītajiem raksturlielumiem. </w:t>
            </w:r>
          </w:p>
        </w:tc>
      </w:tr>
      <w:tr w:rsidR="00776A1F" w14:paraId="595052CD" w14:textId="77777777">
        <w:trPr>
          <w:trHeight w:val="430"/>
        </w:trPr>
        <w:tc>
          <w:tcPr>
            <w:tcW w:w="1082" w:type="dxa"/>
            <w:shd w:val="clear" w:color="auto" w:fill="C4EFCE"/>
            <w:vAlign w:val="center"/>
          </w:tcPr>
          <w:p w14:paraId="6673DA96" w14:textId="12B6BD26" w:rsidR="00776A1F" w:rsidRDefault="00D8574B">
            <w:pPr>
              <w:pStyle w:val="P68B1DB1-Normal11"/>
              <w:spacing w:after="0" w:line="240" w:lineRule="auto"/>
              <w:jc w:val="center"/>
              <w:rPr>
                <w:rFonts w:eastAsia="Times New Roman" w:cstheme="minorHAnsi"/>
                <w:noProof/>
              </w:rPr>
            </w:pPr>
            <w:r>
              <w:rPr>
                <w:noProof/>
              </w:rPr>
              <w:t>19.32</w:t>
            </w:r>
          </w:p>
        </w:tc>
        <w:tc>
          <w:tcPr>
            <w:tcW w:w="1211" w:type="dxa"/>
            <w:shd w:val="clear" w:color="auto" w:fill="C4EFCE"/>
            <w:noWrap/>
            <w:vAlign w:val="center"/>
          </w:tcPr>
          <w:p w14:paraId="0595A2A8" w14:textId="3B184232" w:rsidR="00776A1F" w:rsidRDefault="00D8574B">
            <w:pPr>
              <w:pStyle w:val="P68B1DB1-Normal12"/>
              <w:spacing w:after="0" w:line="240" w:lineRule="auto"/>
              <w:jc w:val="center"/>
              <w:rPr>
                <w:rFonts w:eastAsia="Times New Roman" w:cstheme="minorHAnsi"/>
                <w:noProof/>
              </w:rPr>
            </w:pPr>
            <w:r>
              <w:rPr>
                <w:noProof/>
              </w:rPr>
              <w:t>TD-C19-r42</w:t>
            </w:r>
          </w:p>
        </w:tc>
        <w:tc>
          <w:tcPr>
            <w:tcW w:w="1080" w:type="dxa"/>
            <w:shd w:val="clear" w:color="auto" w:fill="C4EFCE"/>
            <w:noWrap/>
            <w:vAlign w:val="center"/>
          </w:tcPr>
          <w:p w14:paraId="588DCBAA" w14:textId="2DD3035E" w:rsidR="00776A1F" w:rsidRDefault="00D8574B">
            <w:pPr>
              <w:pStyle w:val="P68B1DB1-Normal12"/>
              <w:spacing w:after="0" w:line="240" w:lineRule="auto"/>
              <w:jc w:val="center"/>
              <w:rPr>
                <w:rFonts w:eastAsia="Times New Roman" w:cstheme="minorHAnsi"/>
                <w:noProof/>
              </w:rPr>
            </w:pPr>
            <w:r>
              <w:rPr>
                <w:noProof/>
              </w:rPr>
              <w:t>M</w:t>
            </w:r>
          </w:p>
        </w:tc>
        <w:tc>
          <w:tcPr>
            <w:tcW w:w="1609" w:type="dxa"/>
            <w:shd w:val="clear" w:color="auto" w:fill="C4EFCE"/>
            <w:noWrap/>
            <w:vAlign w:val="center"/>
          </w:tcPr>
          <w:p w14:paraId="52CB2148" w14:textId="13350A36" w:rsidR="00776A1F" w:rsidRDefault="00D8574B">
            <w:pPr>
              <w:pStyle w:val="P68B1DB1-Normal12"/>
              <w:spacing w:after="0" w:line="240" w:lineRule="auto"/>
              <w:jc w:val="center"/>
              <w:rPr>
                <w:rFonts w:eastAsia="Times New Roman" w:cstheme="minorHAnsi"/>
                <w:noProof/>
              </w:rPr>
            </w:pPr>
            <w:r>
              <w:rPr>
                <w:noProof/>
              </w:rPr>
              <w:t>Leģislatīvā akta, ar ko tiek pārskatīts valsts pārvaldes kompetenču profils, stāšanās spēkā</w:t>
            </w:r>
          </w:p>
        </w:tc>
        <w:tc>
          <w:tcPr>
            <w:tcW w:w="1343" w:type="dxa"/>
            <w:shd w:val="clear" w:color="auto" w:fill="C4EFCE"/>
            <w:noWrap/>
            <w:vAlign w:val="center"/>
          </w:tcPr>
          <w:p w14:paraId="55C8AFE8" w14:textId="078306F1" w:rsidR="00776A1F" w:rsidRDefault="00D8574B">
            <w:pPr>
              <w:pStyle w:val="P68B1DB1-Normal12"/>
              <w:spacing w:after="0" w:line="240" w:lineRule="auto"/>
              <w:jc w:val="center"/>
              <w:rPr>
                <w:rFonts w:eastAsia="Times New Roman" w:cstheme="minorHAnsi"/>
                <w:noProof/>
              </w:rPr>
            </w:pPr>
            <w:r>
              <w:rPr>
                <w:noProof/>
              </w:rPr>
              <w:t xml:space="preserve">Tiesību akta noteikums, kas norāda uz leģislatīvā akta stāšanos spēkā </w:t>
            </w:r>
          </w:p>
        </w:tc>
        <w:tc>
          <w:tcPr>
            <w:tcW w:w="1134" w:type="dxa"/>
            <w:shd w:val="clear" w:color="auto" w:fill="C4EFCE"/>
            <w:noWrap/>
            <w:vAlign w:val="center"/>
          </w:tcPr>
          <w:p w14:paraId="0F112E93" w14:textId="3E369BD1" w:rsidR="00776A1F" w:rsidRDefault="00D8574B">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21348855" w14:textId="50047F43" w:rsidR="00776A1F" w:rsidRDefault="00D8574B">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775EF0EE" w14:textId="5792FB1D" w:rsidR="00776A1F" w:rsidRDefault="00D8574B">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104DC251" w14:textId="3CB87634" w:rsidR="00776A1F" w:rsidRDefault="00D8574B">
            <w:pPr>
              <w:pStyle w:val="P68B1DB1-Normal12"/>
              <w:spacing w:after="0" w:line="240" w:lineRule="auto"/>
              <w:jc w:val="center"/>
              <w:rPr>
                <w:rFonts w:eastAsia="Times New Roman" w:cstheme="minorHAnsi"/>
                <w:noProof/>
              </w:rPr>
            </w:pPr>
            <w:r>
              <w:rPr>
                <w:noProof/>
              </w:rPr>
              <w:t>1. CET.</w:t>
            </w:r>
          </w:p>
        </w:tc>
        <w:tc>
          <w:tcPr>
            <w:tcW w:w="682" w:type="dxa"/>
            <w:shd w:val="clear" w:color="auto" w:fill="C4EFCE"/>
            <w:noWrap/>
            <w:vAlign w:val="center"/>
          </w:tcPr>
          <w:p w14:paraId="1224479D" w14:textId="0B9B8D99" w:rsidR="00776A1F" w:rsidRDefault="00D8574B">
            <w:pPr>
              <w:pStyle w:val="P68B1DB1-Normal12"/>
              <w:spacing w:after="0" w:line="240" w:lineRule="auto"/>
              <w:jc w:val="center"/>
              <w:rPr>
                <w:rFonts w:eastAsia="Times New Roman" w:cstheme="minorHAnsi"/>
                <w:noProof/>
              </w:rPr>
            </w:pPr>
            <w:r>
              <w:rPr>
                <w:noProof/>
              </w:rPr>
              <w:t>2024</w:t>
            </w:r>
          </w:p>
        </w:tc>
        <w:tc>
          <w:tcPr>
            <w:tcW w:w="4458" w:type="dxa"/>
            <w:shd w:val="clear" w:color="auto" w:fill="C4EFCE"/>
            <w:vAlign w:val="center"/>
          </w:tcPr>
          <w:p w14:paraId="14DC0FA1" w14:textId="48ADFE80" w:rsidR="00776A1F" w:rsidRDefault="00D8574B">
            <w:pPr>
              <w:pStyle w:val="P68B1DB1-Normal12"/>
              <w:spacing w:after="0" w:line="240" w:lineRule="auto"/>
              <w:jc w:val="both"/>
              <w:rPr>
                <w:rFonts w:eastAsia="Times New Roman" w:cstheme="minorHAnsi"/>
                <w:noProof/>
              </w:rPr>
            </w:pPr>
            <w:r>
              <w:rPr>
                <w:noProof/>
              </w:rPr>
              <w:t xml:space="preserve">Stājas spēkā pārskatītais valsts pārvaldes kompetenču profils. </w:t>
            </w:r>
          </w:p>
        </w:tc>
      </w:tr>
      <w:tr w:rsidR="00776A1F" w14:paraId="68DA236C" w14:textId="77777777">
        <w:trPr>
          <w:trHeight w:val="430"/>
        </w:trPr>
        <w:tc>
          <w:tcPr>
            <w:tcW w:w="1082" w:type="dxa"/>
            <w:shd w:val="clear" w:color="auto" w:fill="C4EFCE"/>
            <w:vAlign w:val="center"/>
          </w:tcPr>
          <w:p w14:paraId="21E8FF8C" w14:textId="4DFC5787" w:rsidR="00776A1F" w:rsidRDefault="00D8574B">
            <w:pPr>
              <w:pStyle w:val="P68B1DB1-Normal11"/>
              <w:spacing w:after="0" w:line="240" w:lineRule="auto"/>
              <w:jc w:val="center"/>
              <w:rPr>
                <w:rFonts w:eastAsia="Times New Roman" w:cstheme="minorHAnsi"/>
                <w:noProof/>
              </w:rPr>
            </w:pPr>
            <w:r>
              <w:rPr>
                <w:noProof/>
              </w:rPr>
              <w:t>19.33</w:t>
            </w:r>
          </w:p>
        </w:tc>
        <w:tc>
          <w:tcPr>
            <w:tcW w:w="1211" w:type="dxa"/>
            <w:shd w:val="clear" w:color="auto" w:fill="C4EFCE"/>
            <w:noWrap/>
            <w:vAlign w:val="center"/>
          </w:tcPr>
          <w:p w14:paraId="02A0505D" w14:textId="6C5C6A0A" w:rsidR="00776A1F" w:rsidRDefault="00D8574B">
            <w:pPr>
              <w:pStyle w:val="P68B1DB1-Normal12"/>
              <w:spacing w:after="0" w:line="240" w:lineRule="auto"/>
              <w:jc w:val="center"/>
              <w:rPr>
                <w:rFonts w:eastAsia="Times New Roman" w:cstheme="minorHAnsi"/>
                <w:noProof/>
              </w:rPr>
            </w:pPr>
            <w:r>
              <w:rPr>
                <w:noProof/>
              </w:rPr>
              <w:t>TD-C19-r42</w:t>
            </w:r>
          </w:p>
        </w:tc>
        <w:tc>
          <w:tcPr>
            <w:tcW w:w="1080" w:type="dxa"/>
            <w:shd w:val="clear" w:color="auto" w:fill="C4EFCE"/>
            <w:noWrap/>
            <w:vAlign w:val="center"/>
          </w:tcPr>
          <w:p w14:paraId="5B37C398" w14:textId="29DD42DF" w:rsidR="00776A1F" w:rsidRDefault="00D8574B">
            <w:pPr>
              <w:pStyle w:val="P68B1DB1-Normal12"/>
              <w:spacing w:after="0" w:line="240" w:lineRule="auto"/>
              <w:jc w:val="center"/>
              <w:rPr>
                <w:rFonts w:eastAsia="Times New Roman" w:cstheme="minorHAnsi"/>
                <w:noProof/>
              </w:rPr>
            </w:pPr>
            <w:r>
              <w:rPr>
                <w:noProof/>
              </w:rPr>
              <w:t>T</w:t>
            </w:r>
          </w:p>
        </w:tc>
        <w:tc>
          <w:tcPr>
            <w:tcW w:w="1609" w:type="dxa"/>
            <w:shd w:val="clear" w:color="auto" w:fill="C4EFCE"/>
            <w:noWrap/>
            <w:vAlign w:val="center"/>
          </w:tcPr>
          <w:p w14:paraId="055786D3" w14:textId="285B3590" w:rsidR="00776A1F" w:rsidRDefault="00D8574B">
            <w:pPr>
              <w:pStyle w:val="P68B1DB1-Normal12"/>
              <w:spacing w:after="0" w:line="240" w:lineRule="auto"/>
              <w:jc w:val="center"/>
              <w:rPr>
                <w:rFonts w:eastAsia="Times New Roman" w:cstheme="minorHAnsi"/>
                <w:noProof/>
              </w:rPr>
            </w:pPr>
            <w:r>
              <w:rPr>
                <w:noProof/>
              </w:rPr>
              <w:t>Jaunās SIADAP sistēmas darbības uzsākšana</w:t>
            </w:r>
          </w:p>
        </w:tc>
        <w:tc>
          <w:tcPr>
            <w:tcW w:w="1343" w:type="dxa"/>
            <w:shd w:val="clear" w:color="auto" w:fill="C4EFCE"/>
            <w:noWrap/>
            <w:vAlign w:val="center"/>
          </w:tcPr>
          <w:p w14:paraId="09DC06A7" w14:textId="64B6C469" w:rsidR="00776A1F" w:rsidRDefault="00D8574B">
            <w:pPr>
              <w:pStyle w:val="P68B1DB1-Normal12"/>
              <w:spacing w:after="0" w:line="240" w:lineRule="auto"/>
              <w:jc w:val="center"/>
              <w:rPr>
                <w:rFonts w:eastAsia="Times New Roman" w:cstheme="minorHAnsi"/>
                <w:noProof/>
              </w:rPr>
            </w:pPr>
            <w:r>
              <w:rPr>
                <w:noProof/>
              </w:rPr>
              <w:t xml:space="preserve">Jaunās SIADAP sistēmas darbības uzsākšana </w:t>
            </w:r>
          </w:p>
        </w:tc>
        <w:tc>
          <w:tcPr>
            <w:tcW w:w="1134" w:type="dxa"/>
            <w:shd w:val="clear" w:color="auto" w:fill="C4EFCE"/>
            <w:noWrap/>
            <w:vAlign w:val="center"/>
          </w:tcPr>
          <w:p w14:paraId="58F7D868" w14:textId="1F6A8D99" w:rsidR="00776A1F" w:rsidRDefault="00D8574B">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37360046" w14:textId="55C6ECB7" w:rsidR="00776A1F" w:rsidRDefault="00D8574B">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2DB545E3" w14:textId="4B7402EB" w:rsidR="00776A1F" w:rsidRDefault="00D8574B">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1E46E1BF" w14:textId="3CA0D46D" w:rsidR="00776A1F" w:rsidRDefault="00D8574B">
            <w:pPr>
              <w:pStyle w:val="P68B1DB1-Normal12"/>
              <w:spacing w:after="0" w:line="240" w:lineRule="auto"/>
              <w:jc w:val="center"/>
              <w:rPr>
                <w:rFonts w:eastAsia="Times New Roman" w:cstheme="minorHAnsi"/>
                <w:noProof/>
              </w:rPr>
            </w:pPr>
            <w:r>
              <w:rPr>
                <w:noProof/>
              </w:rPr>
              <w:t>1. CET.</w:t>
            </w:r>
          </w:p>
        </w:tc>
        <w:tc>
          <w:tcPr>
            <w:tcW w:w="682" w:type="dxa"/>
            <w:shd w:val="clear" w:color="auto" w:fill="C4EFCE"/>
            <w:noWrap/>
            <w:vAlign w:val="center"/>
          </w:tcPr>
          <w:p w14:paraId="204F0C6B" w14:textId="01023863" w:rsidR="00776A1F" w:rsidRDefault="00D8574B">
            <w:pPr>
              <w:pStyle w:val="P68B1DB1-Normal12"/>
              <w:spacing w:after="0" w:line="240" w:lineRule="auto"/>
              <w:jc w:val="center"/>
              <w:rPr>
                <w:rFonts w:eastAsia="Times New Roman" w:cstheme="minorHAnsi"/>
                <w:noProof/>
              </w:rPr>
            </w:pPr>
            <w:r>
              <w:rPr>
                <w:noProof/>
              </w:rPr>
              <w:t>2025</w:t>
            </w:r>
          </w:p>
        </w:tc>
        <w:tc>
          <w:tcPr>
            <w:tcW w:w="4458" w:type="dxa"/>
            <w:shd w:val="clear" w:color="auto" w:fill="C4EFCE"/>
            <w:vAlign w:val="center"/>
          </w:tcPr>
          <w:p w14:paraId="139C28E9" w14:textId="7E6818C1" w:rsidR="00776A1F" w:rsidRDefault="00D8574B">
            <w:pPr>
              <w:pStyle w:val="P68B1DB1-Bodytext1013"/>
              <w:spacing w:line="240" w:lineRule="auto"/>
              <w:jc w:val="both"/>
              <w:rPr>
                <w:rFonts w:eastAsia="MS Mincho" w:cstheme="minorHAnsi"/>
                <w:noProof/>
              </w:rPr>
            </w:pPr>
            <w:r>
              <w:rPr>
                <w:noProof/>
              </w:rPr>
              <w:t>Jaunās SIADAP sistēmas, tostarp attiecīgās IT platformas, darbības uzsākšana. SIADAP sistēmas lietotājiem ir pieejama īpaša apmācība, lai mācītos par IT platformas izmantošanu.</w:t>
            </w:r>
          </w:p>
        </w:tc>
      </w:tr>
      <w:tr w:rsidR="00776A1F" w14:paraId="3BD666CA" w14:textId="77777777">
        <w:trPr>
          <w:trHeight w:val="430"/>
        </w:trPr>
        <w:tc>
          <w:tcPr>
            <w:tcW w:w="1082" w:type="dxa"/>
            <w:shd w:val="clear" w:color="auto" w:fill="C4EFCE"/>
            <w:vAlign w:val="center"/>
          </w:tcPr>
          <w:p w14:paraId="1A621731" w14:textId="4130020B" w:rsidR="00776A1F" w:rsidRDefault="00D8574B">
            <w:pPr>
              <w:pStyle w:val="P68B1DB1-Normal11"/>
              <w:spacing w:after="0" w:line="240" w:lineRule="auto"/>
              <w:jc w:val="center"/>
              <w:rPr>
                <w:rFonts w:cstheme="minorHAnsi"/>
                <w:noProof/>
              </w:rPr>
            </w:pPr>
            <w:r>
              <w:rPr>
                <w:noProof/>
              </w:rPr>
              <w:t>19.34</w:t>
            </w:r>
          </w:p>
        </w:tc>
        <w:tc>
          <w:tcPr>
            <w:tcW w:w="1211" w:type="dxa"/>
            <w:shd w:val="clear" w:color="auto" w:fill="C4EFCE"/>
            <w:noWrap/>
            <w:vAlign w:val="center"/>
          </w:tcPr>
          <w:p w14:paraId="40206F7E" w14:textId="2D382AD0" w:rsidR="00776A1F" w:rsidRDefault="00D8574B">
            <w:pPr>
              <w:pStyle w:val="P68B1DB1-Normal12"/>
              <w:spacing w:after="0" w:line="240" w:lineRule="auto"/>
              <w:jc w:val="center"/>
              <w:rPr>
                <w:rFonts w:cstheme="minorHAnsi"/>
                <w:noProof/>
              </w:rPr>
            </w:pPr>
            <w:r>
              <w:rPr>
                <w:noProof/>
              </w:rPr>
              <w:t>TD-C19-i08</w:t>
            </w:r>
          </w:p>
        </w:tc>
        <w:tc>
          <w:tcPr>
            <w:tcW w:w="1080" w:type="dxa"/>
            <w:shd w:val="clear" w:color="auto" w:fill="C4EFCE"/>
            <w:noWrap/>
            <w:vAlign w:val="center"/>
          </w:tcPr>
          <w:p w14:paraId="3762138F" w14:textId="70675931" w:rsidR="00776A1F" w:rsidRDefault="00D8574B">
            <w:pPr>
              <w:pStyle w:val="P68B1DB1-Normal12"/>
              <w:spacing w:after="0" w:line="240" w:lineRule="auto"/>
              <w:jc w:val="center"/>
              <w:rPr>
                <w:rFonts w:cstheme="minorHAnsi"/>
                <w:noProof/>
              </w:rPr>
            </w:pPr>
            <w:r>
              <w:rPr>
                <w:noProof/>
              </w:rPr>
              <w:t xml:space="preserve"> M</w:t>
            </w:r>
          </w:p>
        </w:tc>
        <w:tc>
          <w:tcPr>
            <w:tcW w:w="1609" w:type="dxa"/>
            <w:shd w:val="clear" w:color="auto" w:fill="C4EFCE"/>
            <w:noWrap/>
            <w:vAlign w:val="center"/>
          </w:tcPr>
          <w:p w14:paraId="4895262C" w14:textId="47D5ADE7" w:rsidR="00776A1F" w:rsidRDefault="00D8574B">
            <w:pPr>
              <w:pStyle w:val="P68B1DB1-Normal12"/>
              <w:spacing w:after="0" w:line="240" w:lineRule="auto"/>
              <w:jc w:val="center"/>
              <w:rPr>
                <w:rFonts w:cstheme="minorHAnsi"/>
                <w:noProof/>
              </w:rPr>
            </w:pPr>
            <w:r>
              <w:rPr>
                <w:noProof/>
              </w:rPr>
              <w:t>Viedo teritoriju portāla atklāšana</w:t>
            </w:r>
          </w:p>
        </w:tc>
        <w:tc>
          <w:tcPr>
            <w:tcW w:w="1343" w:type="dxa"/>
            <w:shd w:val="clear" w:color="auto" w:fill="C4EFCE"/>
            <w:noWrap/>
            <w:vAlign w:val="center"/>
          </w:tcPr>
          <w:p w14:paraId="1CE63BEE" w14:textId="6B7D4F8E" w:rsidR="00776A1F" w:rsidRDefault="00D8574B">
            <w:pPr>
              <w:pStyle w:val="P68B1DB1-Normal12"/>
              <w:spacing w:after="0" w:line="240" w:lineRule="auto"/>
              <w:jc w:val="center"/>
              <w:rPr>
                <w:rFonts w:cstheme="minorHAnsi"/>
                <w:noProof/>
              </w:rPr>
            </w:pPr>
            <w:r>
              <w:rPr>
                <w:noProof/>
              </w:rPr>
              <w:t xml:space="preserve">Viedo teritoriju portāla atklāšana  </w:t>
            </w:r>
          </w:p>
        </w:tc>
        <w:tc>
          <w:tcPr>
            <w:tcW w:w="1134" w:type="dxa"/>
            <w:shd w:val="clear" w:color="auto" w:fill="C4EFCE"/>
            <w:noWrap/>
            <w:vAlign w:val="center"/>
          </w:tcPr>
          <w:p w14:paraId="4795DA0D" w14:textId="4161F638" w:rsidR="00776A1F" w:rsidRDefault="00D8574B">
            <w:pPr>
              <w:pStyle w:val="P68B1DB1-Normal12"/>
              <w:spacing w:after="0" w:line="240" w:lineRule="auto"/>
              <w:jc w:val="center"/>
              <w:rPr>
                <w:rFonts w:cstheme="minorHAnsi"/>
                <w:noProof/>
              </w:rPr>
            </w:pPr>
            <w:r>
              <w:rPr>
                <w:noProof/>
              </w:rPr>
              <w:t xml:space="preserve"> </w:t>
            </w:r>
          </w:p>
        </w:tc>
        <w:tc>
          <w:tcPr>
            <w:tcW w:w="947" w:type="dxa"/>
            <w:shd w:val="clear" w:color="auto" w:fill="C4EFCE"/>
            <w:noWrap/>
            <w:vAlign w:val="center"/>
          </w:tcPr>
          <w:p w14:paraId="5ADAEE3A" w14:textId="662F9117" w:rsidR="00776A1F" w:rsidRDefault="00D8574B">
            <w:pPr>
              <w:pStyle w:val="P68B1DB1-Normal12"/>
              <w:spacing w:after="0" w:line="240" w:lineRule="auto"/>
              <w:jc w:val="center"/>
              <w:rPr>
                <w:rFonts w:cstheme="minorHAnsi"/>
                <w:noProof/>
              </w:rPr>
            </w:pPr>
            <w:r>
              <w:rPr>
                <w:noProof/>
              </w:rPr>
              <w:t xml:space="preserve"> </w:t>
            </w:r>
          </w:p>
        </w:tc>
        <w:tc>
          <w:tcPr>
            <w:tcW w:w="682" w:type="dxa"/>
            <w:shd w:val="clear" w:color="auto" w:fill="C4EFCE"/>
            <w:noWrap/>
            <w:vAlign w:val="center"/>
          </w:tcPr>
          <w:p w14:paraId="1BF2082E" w14:textId="49DE1BE3" w:rsidR="00776A1F" w:rsidRDefault="00D8574B">
            <w:pPr>
              <w:pStyle w:val="P68B1DB1-Normal12"/>
              <w:spacing w:after="0" w:line="240" w:lineRule="auto"/>
              <w:jc w:val="center"/>
              <w:rPr>
                <w:rFonts w:cstheme="minorHAnsi"/>
                <w:noProof/>
              </w:rPr>
            </w:pPr>
            <w:r>
              <w:rPr>
                <w:noProof/>
              </w:rPr>
              <w:t xml:space="preserve"> </w:t>
            </w:r>
          </w:p>
        </w:tc>
        <w:tc>
          <w:tcPr>
            <w:tcW w:w="550" w:type="dxa"/>
            <w:shd w:val="clear" w:color="auto" w:fill="C4EFCE"/>
            <w:noWrap/>
            <w:vAlign w:val="center"/>
          </w:tcPr>
          <w:p w14:paraId="2F308FC6" w14:textId="68E0A8F5" w:rsidR="00776A1F" w:rsidRDefault="00D8574B">
            <w:pPr>
              <w:pStyle w:val="P68B1DB1-Normal12"/>
              <w:spacing w:after="0" w:line="240" w:lineRule="auto"/>
              <w:jc w:val="center"/>
              <w:rPr>
                <w:rFonts w:cstheme="minorHAnsi"/>
                <w:noProof/>
              </w:rPr>
            </w:pPr>
            <w:r>
              <w:rPr>
                <w:noProof/>
              </w:rPr>
              <w:t>1. CET.</w:t>
            </w:r>
          </w:p>
        </w:tc>
        <w:tc>
          <w:tcPr>
            <w:tcW w:w="682" w:type="dxa"/>
            <w:shd w:val="clear" w:color="auto" w:fill="C4EFCE"/>
            <w:noWrap/>
            <w:vAlign w:val="center"/>
          </w:tcPr>
          <w:p w14:paraId="75086835" w14:textId="0DBEA283" w:rsidR="00776A1F" w:rsidRDefault="00D8574B">
            <w:pPr>
              <w:pStyle w:val="P68B1DB1-Normal12"/>
              <w:spacing w:after="0" w:line="240" w:lineRule="auto"/>
              <w:jc w:val="center"/>
              <w:rPr>
                <w:rFonts w:cstheme="minorHAnsi"/>
                <w:noProof/>
              </w:rPr>
            </w:pPr>
            <w:r>
              <w:rPr>
                <w:noProof/>
              </w:rPr>
              <w:t>2025</w:t>
            </w:r>
          </w:p>
        </w:tc>
        <w:tc>
          <w:tcPr>
            <w:tcW w:w="4458" w:type="dxa"/>
            <w:shd w:val="clear" w:color="auto" w:fill="C4EFCE"/>
            <w:vAlign w:val="center"/>
          </w:tcPr>
          <w:p w14:paraId="5E92ABD1" w14:textId="47D500D2" w:rsidR="00776A1F" w:rsidRDefault="00D8574B">
            <w:pPr>
              <w:pStyle w:val="P68B1DB1-Bodytext1013"/>
              <w:spacing w:after="0" w:line="240" w:lineRule="auto"/>
              <w:jc w:val="both"/>
              <w:rPr>
                <w:rFonts w:cstheme="minorHAnsi"/>
                <w:noProof/>
              </w:rPr>
            </w:pPr>
            <w:r>
              <w:rPr>
                <w:noProof/>
              </w:rPr>
              <w:t xml:space="preserve">Tiešsaistes tīmekļa vietnes (t. i., portāla) izveide, kas nodrošina tiešsaistes informācijas repozitoriju vietējā, reģionālā un valsts līmenī.  </w:t>
            </w:r>
          </w:p>
        </w:tc>
      </w:tr>
      <w:tr w:rsidR="00776A1F" w14:paraId="561E4208" w14:textId="77777777">
        <w:trPr>
          <w:trHeight w:val="430"/>
        </w:trPr>
        <w:tc>
          <w:tcPr>
            <w:tcW w:w="1082" w:type="dxa"/>
            <w:shd w:val="clear" w:color="auto" w:fill="C4EFCE"/>
            <w:vAlign w:val="center"/>
          </w:tcPr>
          <w:p w14:paraId="1C29C0D2" w14:textId="68CA64B4" w:rsidR="00776A1F" w:rsidRDefault="00D8574B">
            <w:pPr>
              <w:pStyle w:val="P68B1DB1-Normal11"/>
              <w:spacing w:after="0" w:line="240" w:lineRule="auto"/>
              <w:jc w:val="center"/>
              <w:rPr>
                <w:rFonts w:cstheme="minorHAnsi"/>
                <w:noProof/>
              </w:rPr>
            </w:pPr>
            <w:r>
              <w:rPr>
                <w:noProof/>
              </w:rPr>
              <w:t>19.35</w:t>
            </w:r>
          </w:p>
        </w:tc>
        <w:tc>
          <w:tcPr>
            <w:tcW w:w="1211" w:type="dxa"/>
            <w:shd w:val="clear" w:color="auto" w:fill="C4EFCE"/>
            <w:noWrap/>
            <w:vAlign w:val="center"/>
          </w:tcPr>
          <w:p w14:paraId="08D6F6EF" w14:textId="5FBF4181" w:rsidR="00776A1F" w:rsidRDefault="00D8574B">
            <w:pPr>
              <w:pStyle w:val="P68B1DB1-Bodytext1013"/>
              <w:spacing w:after="0"/>
              <w:jc w:val="center"/>
              <w:rPr>
                <w:rFonts w:cstheme="minorHAnsi"/>
                <w:noProof/>
              </w:rPr>
            </w:pPr>
            <w:r>
              <w:rPr>
                <w:noProof/>
              </w:rPr>
              <w:t>TD-C19-i08</w:t>
            </w:r>
          </w:p>
        </w:tc>
        <w:tc>
          <w:tcPr>
            <w:tcW w:w="1080" w:type="dxa"/>
            <w:shd w:val="clear" w:color="auto" w:fill="C4EFCE"/>
            <w:noWrap/>
            <w:vAlign w:val="center"/>
          </w:tcPr>
          <w:p w14:paraId="39CBDC9B" w14:textId="028DD878" w:rsidR="00776A1F" w:rsidRDefault="00D8574B">
            <w:pPr>
              <w:pStyle w:val="P68B1DB1-Normal12"/>
              <w:spacing w:after="0" w:line="240" w:lineRule="auto"/>
              <w:jc w:val="center"/>
              <w:rPr>
                <w:noProof/>
              </w:rPr>
            </w:pPr>
            <w:r>
              <w:rPr>
                <w:noProof/>
              </w:rPr>
              <w:t>M</w:t>
            </w:r>
          </w:p>
        </w:tc>
        <w:tc>
          <w:tcPr>
            <w:tcW w:w="1609" w:type="dxa"/>
            <w:shd w:val="clear" w:color="auto" w:fill="C4EFCE"/>
            <w:noWrap/>
            <w:vAlign w:val="center"/>
          </w:tcPr>
          <w:p w14:paraId="5CDAFF79" w14:textId="16B612FE" w:rsidR="00776A1F" w:rsidRDefault="00D8574B">
            <w:pPr>
              <w:pStyle w:val="P68B1DB1-Normal12"/>
              <w:spacing w:after="0" w:line="240" w:lineRule="auto"/>
              <w:jc w:val="center"/>
              <w:rPr>
                <w:noProof/>
              </w:rPr>
            </w:pPr>
            <w:r>
              <w:rPr>
                <w:noProof/>
              </w:rPr>
              <w:t>Viedās teritorijas: Pilsētu pārvaldības platformas, digitālie dvīņi un publiskās politikas infopanelis</w:t>
            </w:r>
          </w:p>
        </w:tc>
        <w:tc>
          <w:tcPr>
            <w:tcW w:w="1343" w:type="dxa"/>
            <w:shd w:val="clear" w:color="auto" w:fill="C4EFCE"/>
            <w:noWrap/>
            <w:vAlign w:val="center"/>
          </w:tcPr>
          <w:p w14:paraId="5887A4A4" w14:textId="04AD0981" w:rsidR="00776A1F" w:rsidRDefault="00D8574B">
            <w:pPr>
              <w:pStyle w:val="P68B1DB1-Normal8"/>
              <w:spacing w:after="0" w:line="240" w:lineRule="auto"/>
              <w:jc w:val="center"/>
              <w:rPr>
                <w:rFonts w:eastAsia="Calibri" w:cs="Calibri"/>
                <w:noProof/>
              </w:rPr>
            </w:pPr>
            <w:r>
              <w:rPr>
                <w:noProof/>
              </w:rPr>
              <w:t>Pašvaldības ar pilsētu pārvaldības platformām, digitālo dvīņu izveidi un publiskās politikas infopaneļa izveidi</w:t>
            </w:r>
          </w:p>
        </w:tc>
        <w:tc>
          <w:tcPr>
            <w:tcW w:w="1134" w:type="dxa"/>
            <w:shd w:val="clear" w:color="auto" w:fill="C4EFCE"/>
            <w:noWrap/>
            <w:vAlign w:val="center"/>
          </w:tcPr>
          <w:p w14:paraId="66C3FFB1" w14:textId="620351DF" w:rsidR="00776A1F" w:rsidRDefault="00776A1F">
            <w:pPr>
              <w:spacing w:after="0" w:line="240" w:lineRule="auto"/>
              <w:jc w:val="center"/>
              <w:rPr>
                <w:rFonts w:cstheme="minorHAnsi"/>
                <w:noProof/>
                <w:sz w:val="16"/>
              </w:rPr>
            </w:pPr>
          </w:p>
        </w:tc>
        <w:tc>
          <w:tcPr>
            <w:tcW w:w="947" w:type="dxa"/>
            <w:shd w:val="clear" w:color="auto" w:fill="C4EFCE"/>
            <w:noWrap/>
            <w:vAlign w:val="center"/>
          </w:tcPr>
          <w:p w14:paraId="08351A85" w14:textId="3468C050" w:rsidR="00776A1F" w:rsidRDefault="00776A1F">
            <w:pPr>
              <w:spacing w:after="0" w:line="240" w:lineRule="auto"/>
              <w:jc w:val="center"/>
              <w:rPr>
                <w:noProof/>
                <w:sz w:val="16"/>
              </w:rPr>
            </w:pPr>
          </w:p>
        </w:tc>
        <w:tc>
          <w:tcPr>
            <w:tcW w:w="682" w:type="dxa"/>
            <w:shd w:val="clear" w:color="auto" w:fill="C4EFCE"/>
            <w:noWrap/>
            <w:vAlign w:val="center"/>
          </w:tcPr>
          <w:p w14:paraId="78472566" w14:textId="31A690E9" w:rsidR="00776A1F" w:rsidRDefault="00776A1F">
            <w:pPr>
              <w:spacing w:after="0" w:line="240" w:lineRule="auto"/>
              <w:jc w:val="center"/>
              <w:rPr>
                <w:noProof/>
                <w:sz w:val="16"/>
              </w:rPr>
            </w:pPr>
          </w:p>
        </w:tc>
        <w:tc>
          <w:tcPr>
            <w:tcW w:w="550" w:type="dxa"/>
            <w:shd w:val="clear" w:color="auto" w:fill="C4EFCE"/>
            <w:noWrap/>
            <w:vAlign w:val="center"/>
          </w:tcPr>
          <w:p w14:paraId="5C72A606" w14:textId="5E11F7EF" w:rsidR="00776A1F" w:rsidRDefault="00D8574B">
            <w:pPr>
              <w:pStyle w:val="P68B1DB1-Normal12"/>
              <w:spacing w:after="0" w:line="240" w:lineRule="auto"/>
              <w:jc w:val="center"/>
              <w:rPr>
                <w:noProof/>
              </w:rPr>
            </w:pPr>
            <w:r>
              <w:rPr>
                <w:noProof/>
              </w:rPr>
              <w:t>1. CET.</w:t>
            </w:r>
          </w:p>
        </w:tc>
        <w:tc>
          <w:tcPr>
            <w:tcW w:w="682" w:type="dxa"/>
            <w:shd w:val="clear" w:color="auto" w:fill="C4EFCE"/>
            <w:noWrap/>
            <w:vAlign w:val="center"/>
          </w:tcPr>
          <w:p w14:paraId="35582AA4" w14:textId="7E5EFB41" w:rsidR="00776A1F" w:rsidRDefault="00D8574B">
            <w:pPr>
              <w:pStyle w:val="P68B1DB1-Normal12"/>
              <w:spacing w:after="0" w:line="240" w:lineRule="auto"/>
              <w:jc w:val="center"/>
              <w:rPr>
                <w:rFonts w:cstheme="minorHAnsi"/>
                <w:noProof/>
              </w:rPr>
            </w:pPr>
            <w:r>
              <w:rPr>
                <w:noProof/>
              </w:rPr>
              <w:t>2026</w:t>
            </w:r>
          </w:p>
        </w:tc>
        <w:tc>
          <w:tcPr>
            <w:tcW w:w="4458" w:type="dxa"/>
            <w:shd w:val="clear" w:color="auto" w:fill="C4EFCE"/>
            <w:vAlign w:val="center"/>
          </w:tcPr>
          <w:p w14:paraId="1A3A289D" w14:textId="7D525C8C" w:rsidR="00776A1F" w:rsidRDefault="00D8574B">
            <w:pPr>
              <w:pStyle w:val="P68B1DB1-Bodytext1013"/>
              <w:spacing w:after="0" w:line="240" w:lineRule="auto"/>
              <w:jc w:val="both"/>
              <w:rPr>
                <w:rFonts w:cstheme="minorBidi"/>
                <w:noProof/>
              </w:rPr>
            </w:pPr>
            <w:r>
              <w:rPr>
                <w:noProof/>
              </w:rPr>
              <w:t>75 pašvaldībās un Comunidades Intermunicipais/Areas Metropolitanas ierīko vai modernizē pilsētu pārvaldības platformu.</w:t>
            </w:r>
          </w:p>
          <w:p w14:paraId="5DF67326" w14:textId="15FAAA70" w:rsidR="00776A1F" w:rsidRDefault="00776A1F">
            <w:pPr>
              <w:pStyle w:val="Bodytext10"/>
              <w:spacing w:after="0" w:line="240" w:lineRule="auto"/>
              <w:jc w:val="both"/>
              <w:rPr>
                <w:rFonts w:asciiTheme="minorHAnsi" w:hAnsiTheme="minorHAnsi" w:cstheme="minorBidi"/>
                <w:noProof/>
                <w:sz w:val="16"/>
              </w:rPr>
            </w:pPr>
          </w:p>
          <w:p w14:paraId="0EC040A8" w14:textId="2E07BB19" w:rsidR="00776A1F" w:rsidRDefault="00D8574B">
            <w:pPr>
              <w:pStyle w:val="P68B1DB1-Bodytext1013"/>
              <w:spacing w:after="0" w:line="240" w:lineRule="auto"/>
              <w:jc w:val="both"/>
              <w:rPr>
                <w:rFonts w:cstheme="minorBidi"/>
                <w:noProof/>
              </w:rPr>
            </w:pPr>
            <w:r>
              <w:rPr>
                <w:noProof/>
              </w:rPr>
              <w:t>Valstu prioritārajās jomās, tādās kā ūdensapgāde un lauksaimniecība, klimatnoturība, mobilitāte un dekarbonizācija, veselība, enerģētika, tūrisms, civilā aizsardzība, tiek radīti pieci digitālie dvīņi.</w:t>
            </w:r>
          </w:p>
          <w:p w14:paraId="59ADF51D" w14:textId="15FAAA70" w:rsidR="00776A1F" w:rsidRDefault="00776A1F">
            <w:pPr>
              <w:pStyle w:val="Bodytext10"/>
              <w:spacing w:after="0" w:line="240" w:lineRule="auto"/>
              <w:jc w:val="both"/>
              <w:rPr>
                <w:rFonts w:asciiTheme="minorHAnsi" w:hAnsiTheme="minorHAnsi" w:cstheme="minorBidi"/>
                <w:noProof/>
                <w:sz w:val="16"/>
              </w:rPr>
            </w:pPr>
          </w:p>
          <w:p w14:paraId="1268B617" w14:textId="574B7910" w:rsidR="00776A1F" w:rsidRDefault="00D8574B">
            <w:pPr>
              <w:pStyle w:val="P68B1DB1-Bodytext1013"/>
              <w:spacing w:after="0" w:line="240" w:lineRule="auto"/>
              <w:jc w:val="both"/>
              <w:rPr>
                <w:rFonts w:cstheme="minorBidi"/>
                <w:noProof/>
              </w:rPr>
            </w:pPr>
            <w:r>
              <w:rPr>
                <w:noProof/>
              </w:rPr>
              <w:t>Izveidotais infopanelis ir pieejams centrāliem un reģionāliem dalībniekiem.</w:t>
            </w:r>
          </w:p>
        </w:tc>
      </w:tr>
      <w:tr w:rsidR="00776A1F" w14:paraId="1F719612" w14:textId="77777777">
        <w:trPr>
          <w:trHeight w:val="430"/>
        </w:trPr>
        <w:tc>
          <w:tcPr>
            <w:tcW w:w="1082" w:type="dxa"/>
            <w:shd w:val="clear" w:color="auto" w:fill="C4EFCE"/>
            <w:vAlign w:val="center"/>
          </w:tcPr>
          <w:p w14:paraId="628865B2" w14:textId="55E9CCCC" w:rsidR="00776A1F" w:rsidRDefault="00D8574B">
            <w:pPr>
              <w:pStyle w:val="P68B1DB1-Normal11"/>
              <w:spacing w:after="0" w:line="240" w:lineRule="auto"/>
              <w:jc w:val="center"/>
              <w:rPr>
                <w:rFonts w:cstheme="minorHAnsi"/>
                <w:noProof/>
              </w:rPr>
            </w:pPr>
            <w:r>
              <w:rPr>
                <w:noProof/>
              </w:rPr>
              <w:t>19.36</w:t>
            </w:r>
          </w:p>
        </w:tc>
        <w:tc>
          <w:tcPr>
            <w:tcW w:w="1211" w:type="dxa"/>
            <w:shd w:val="clear" w:color="auto" w:fill="C4EFCE"/>
            <w:noWrap/>
            <w:vAlign w:val="center"/>
          </w:tcPr>
          <w:p w14:paraId="25B23B67" w14:textId="600B4833" w:rsidR="00776A1F" w:rsidRDefault="00D8574B">
            <w:pPr>
              <w:pStyle w:val="P68B1DB1-Bodytext1013"/>
              <w:spacing w:after="0"/>
              <w:jc w:val="center"/>
              <w:rPr>
                <w:rFonts w:cstheme="minorHAnsi"/>
                <w:noProof/>
              </w:rPr>
            </w:pPr>
            <w:r>
              <w:rPr>
                <w:noProof/>
              </w:rPr>
              <w:t>TD-C19-i08</w:t>
            </w:r>
          </w:p>
        </w:tc>
        <w:tc>
          <w:tcPr>
            <w:tcW w:w="1080" w:type="dxa"/>
            <w:shd w:val="clear" w:color="auto" w:fill="C4EFCE"/>
            <w:noWrap/>
            <w:vAlign w:val="center"/>
          </w:tcPr>
          <w:p w14:paraId="419D9ACF" w14:textId="2C9A2317" w:rsidR="00776A1F" w:rsidRDefault="00D8574B">
            <w:pPr>
              <w:pStyle w:val="P68B1DB1-Normal12"/>
              <w:spacing w:after="0" w:line="240" w:lineRule="auto"/>
              <w:jc w:val="center"/>
              <w:rPr>
                <w:rFonts w:cstheme="minorHAnsi"/>
                <w:noProof/>
              </w:rPr>
            </w:pPr>
            <w:r>
              <w:rPr>
                <w:noProof/>
              </w:rPr>
              <w:t>M</w:t>
            </w:r>
          </w:p>
        </w:tc>
        <w:tc>
          <w:tcPr>
            <w:tcW w:w="1609" w:type="dxa"/>
            <w:shd w:val="clear" w:color="auto" w:fill="C4EFCE"/>
            <w:noWrap/>
            <w:vAlign w:val="center"/>
          </w:tcPr>
          <w:p w14:paraId="5648E079" w14:textId="3040F5A3" w:rsidR="00776A1F" w:rsidRDefault="00D8574B">
            <w:pPr>
              <w:pStyle w:val="P68B1DB1-Normal12"/>
              <w:spacing w:after="0" w:line="240" w:lineRule="auto"/>
              <w:jc w:val="center"/>
              <w:rPr>
                <w:rFonts w:cstheme="minorHAnsi"/>
                <w:noProof/>
              </w:rPr>
            </w:pPr>
            <w:r>
              <w:rPr>
                <w:noProof/>
              </w:rPr>
              <w:t>Apmācība par viedajām teritorijām</w:t>
            </w:r>
          </w:p>
        </w:tc>
        <w:tc>
          <w:tcPr>
            <w:tcW w:w="1343" w:type="dxa"/>
            <w:shd w:val="clear" w:color="auto" w:fill="C4EFCE"/>
            <w:noWrap/>
            <w:vAlign w:val="center"/>
          </w:tcPr>
          <w:p w14:paraId="44D863AA" w14:textId="77777777" w:rsidR="00776A1F" w:rsidRDefault="00776A1F">
            <w:pPr>
              <w:spacing w:after="0" w:line="240" w:lineRule="auto"/>
              <w:jc w:val="center"/>
              <w:rPr>
                <w:rFonts w:cstheme="minorHAnsi"/>
                <w:noProof/>
                <w:sz w:val="16"/>
              </w:rPr>
            </w:pPr>
          </w:p>
        </w:tc>
        <w:tc>
          <w:tcPr>
            <w:tcW w:w="1134" w:type="dxa"/>
            <w:shd w:val="clear" w:color="auto" w:fill="C4EFCE"/>
            <w:noWrap/>
            <w:vAlign w:val="center"/>
          </w:tcPr>
          <w:p w14:paraId="3C744534" w14:textId="471C353F" w:rsidR="00776A1F" w:rsidRDefault="00D8574B">
            <w:pPr>
              <w:pStyle w:val="P68B1DB1-Normal12"/>
              <w:spacing w:after="0" w:line="240" w:lineRule="auto"/>
              <w:jc w:val="center"/>
              <w:rPr>
                <w:rFonts w:cstheme="minorHAnsi"/>
                <w:noProof/>
              </w:rPr>
            </w:pPr>
            <w:r>
              <w:rPr>
                <w:noProof/>
              </w:rPr>
              <w:t>Skaits</w:t>
            </w:r>
          </w:p>
        </w:tc>
        <w:tc>
          <w:tcPr>
            <w:tcW w:w="947" w:type="dxa"/>
            <w:shd w:val="clear" w:color="auto" w:fill="C4EFCE"/>
            <w:noWrap/>
            <w:vAlign w:val="center"/>
          </w:tcPr>
          <w:p w14:paraId="538FAA91" w14:textId="20339339" w:rsidR="00776A1F" w:rsidRDefault="00D8574B">
            <w:pPr>
              <w:pStyle w:val="P68B1DB1-Normal12"/>
              <w:spacing w:after="0" w:line="240" w:lineRule="auto"/>
              <w:jc w:val="center"/>
              <w:rPr>
                <w:rFonts w:cstheme="minorHAnsi"/>
                <w:noProof/>
              </w:rPr>
            </w:pPr>
            <w:r>
              <w:rPr>
                <w:noProof/>
              </w:rPr>
              <w:t>0</w:t>
            </w:r>
          </w:p>
        </w:tc>
        <w:tc>
          <w:tcPr>
            <w:tcW w:w="682" w:type="dxa"/>
            <w:shd w:val="clear" w:color="auto" w:fill="C4EFCE"/>
            <w:noWrap/>
            <w:vAlign w:val="center"/>
          </w:tcPr>
          <w:p w14:paraId="498F4BE0" w14:textId="75A3A34E" w:rsidR="00776A1F" w:rsidRDefault="00D8574B">
            <w:pPr>
              <w:pStyle w:val="P68B1DB1-Normal12"/>
              <w:spacing w:after="0" w:line="240" w:lineRule="auto"/>
              <w:jc w:val="center"/>
              <w:rPr>
                <w:rFonts w:cstheme="minorHAnsi"/>
                <w:noProof/>
              </w:rPr>
            </w:pPr>
            <w:r>
              <w:rPr>
                <w:noProof/>
              </w:rPr>
              <w:t>650</w:t>
            </w:r>
          </w:p>
        </w:tc>
        <w:tc>
          <w:tcPr>
            <w:tcW w:w="550" w:type="dxa"/>
            <w:shd w:val="clear" w:color="auto" w:fill="C4EFCE"/>
            <w:noWrap/>
            <w:vAlign w:val="center"/>
          </w:tcPr>
          <w:p w14:paraId="195EA9FE" w14:textId="21BCF0FB" w:rsidR="00776A1F" w:rsidRDefault="00D8574B">
            <w:pPr>
              <w:pStyle w:val="P68B1DB1-Normal12"/>
              <w:spacing w:after="0" w:line="240" w:lineRule="auto"/>
              <w:jc w:val="center"/>
              <w:rPr>
                <w:rFonts w:cstheme="minorHAnsi"/>
                <w:noProof/>
              </w:rPr>
            </w:pPr>
            <w:r>
              <w:rPr>
                <w:noProof/>
              </w:rPr>
              <w:t>4. CET.</w:t>
            </w:r>
          </w:p>
        </w:tc>
        <w:tc>
          <w:tcPr>
            <w:tcW w:w="682" w:type="dxa"/>
            <w:shd w:val="clear" w:color="auto" w:fill="C4EFCE"/>
            <w:noWrap/>
            <w:vAlign w:val="center"/>
          </w:tcPr>
          <w:p w14:paraId="5FAC320A" w14:textId="68759A95" w:rsidR="00776A1F" w:rsidRDefault="00D8574B">
            <w:pPr>
              <w:pStyle w:val="P68B1DB1-Normal12"/>
              <w:spacing w:after="0" w:line="240" w:lineRule="auto"/>
              <w:jc w:val="center"/>
              <w:rPr>
                <w:rFonts w:cstheme="minorHAnsi"/>
                <w:noProof/>
              </w:rPr>
            </w:pPr>
            <w:r>
              <w:rPr>
                <w:noProof/>
              </w:rPr>
              <w:t>2025</w:t>
            </w:r>
          </w:p>
        </w:tc>
        <w:tc>
          <w:tcPr>
            <w:tcW w:w="4458" w:type="dxa"/>
            <w:shd w:val="clear" w:color="auto" w:fill="C4EFCE"/>
            <w:vAlign w:val="center"/>
          </w:tcPr>
          <w:p w14:paraId="6C088F62" w14:textId="48E68E5E" w:rsidR="00776A1F" w:rsidRDefault="00D8574B">
            <w:pPr>
              <w:pStyle w:val="P68B1DB1-Bodytext1013"/>
              <w:spacing w:after="0" w:line="240" w:lineRule="auto"/>
              <w:jc w:val="both"/>
              <w:rPr>
                <w:rFonts w:cstheme="minorHAnsi"/>
                <w:noProof/>
              </w:rPr>
            </w:pPr>
            <w:r>
              <w:rPr>
                <w:noProof/>
              </w:rPr>
              <w:t>To publiskā sektora darbinieku skaits, kuri pabeiguši apmācību par datu vākšanu un pārvaldību un citu saturu, kas saistīts ar viedajām pilsētām un ēkām, un ilgtspēju.</w:t>
            </w:r>
          </w:p>
        </w:tc>
      </w:tr>
    </w:tbl>
    <w:p w14:paraId="7E5600AA" w14:textId="77777777" w:rsidR="00776A1F" w:rsidRDefault="00776A1F">
      <w:pPr>
        <w:keepNext/>
        <w:spacing w:before="40" w:after="0" w:line="259" w:lineRule="auto"/>
        <w:jc w:val="both"/>
        <w:rPr>
          <w:rFonts w:ascii="Times New Roman" w:eastAsiaTheme="minorEastAsia" w:hAnsi="Times New Roman" w:cs="Times New Roman"/>
          <w:noProof/>
          <w:sz w:val="24"/>
          <w:u w:val="single"/>
        </w:rPr>
      </w:pPr>
    </w:p>
    <w:p w14:paraId="24A85F36"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E00EDD">
          <w:headerReference w:type="even" r:id="rId350"/>
          <w:headerReference w:type="default" r:id="rId351"/>
          <w:footerReference w:type="even" r:id="rId352"/>
          <w:footerReference w:type="default" r:id="rId353"/>
          <w:headerReference w:type="first" r:id="rId354"/>
          <w:footerReference w:type="first" r:id="rId355"/>
          <w:pgSz w:w="16839" w:h="11907" w:orient="landscape"/>
          <w:pgMar w:top="1134" w:right="1134" w:bottom="1134" w:left="1134" w:header="567" w:footer="567" w:gutter="0"/>
          <w:cols w:space="720"/>
          <w:docGrid w:linePitch="360"/>
        </w:sectPr>
      </w:pPr>
    </w:p>
    <w:p w14:paraId="6A596265"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T. KOMPONENTS NR. 20: Digitālā skola</w:t>
      </w:r>
    </w:p>
    <w:p w14:paraId="0220BD59"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Portugāle 2019. gadā bija zem Eiropas vidējiem rādītājiem attiecībā uz interneta ikdienas izmantošanu (65 %), tiešsaistes sabiedrisko pakalpojumu (41 %) un IKT speciālistu (2,4 %) izmantošanu darba tirgū (Eurostat dati/Digitālo prasmju observatorija) un noteica vērienīgus mērķus līdz 2025. gadam attiecībā uz šiem rādītājiem (attiecīgi 80 %, 75 % un 5 %). No IKT speciālistiem darba tirgū 18,3 % bija sievietes un vīrieši — 81,7 % (Eurostat dati). </w:t>
      </w:r>
    </w:p>
    <w:p w14:paraId="3D0CAE16" w14:textId="77777777" w:rsidR="00776A1F" w:rsidRDefault="00D8574B">
      <w:pPr>
        <w:pStyle w:val="P68B1DB1-Normal4"/>
        <w:keepNext/>
        <w:spacing w:before="40" w:after="0" w:line="259" w:lineRule="auto"/>
        <w:jc w:val="both"/>
        <w:rPr>
          <w:rFonts w:eastAsiaTheme="minorEastAsia" w:cs="Times New Roman"/>
          <w:noProof/>
        </w:rPr>
      </w:pPr>
      <w:r>
        <w:rPr>
          <w:noProof/>
        </w:rPr>
        <w:t>Komponenta mērķi ir radīt apstākļus Portugāles pamatizglītības un vidējās izglītības sistēmas jauninājumiem izglītības, pedagoģiskajā un vadības jomā. To panāk, attīstot skolotāju, skolēnu un skolu darbinieku digitālās prasmes, integrējot digitālās tehnoloģijas dažādās mācību programmu jomās un nodrošinot piemērotu aprīkojumu. Paredzams, ka tas savukārt veicinās digitālo pārkārtošanos un iekļaujošu un ilgtspējīgu ekonomikas izaugsmi.</w:t>
      </w:r>
    </w:p>
    <w:p w14:paraId="2A7F6906" w14:textId="77777777" w:rsidR="00776A1F" w:rsidRDefault="00D8574B">
      <w:pPr>
        <w:pStyle w:val="P68B1DB1-Normal4"/>
        <w:keepNext/>
        <w:spacing w:before="40" w:after="0" w:line="259" w:lineRule="auto"/>
        <w:jc w:val="both"/>
        <w:rPr>
          <w:rFonts w:eastAsiaTheme="minorEastAsia" w:cs="Times New Roman"/>
          <w:noProof/>
        </w:rPr>
      </w:pPr>
      <w:r>
        <w:rPr>
          <w:noProof/>
        </w:rPr>
        <w:t>Komponents palīdz īstenot konkrētai valstij adresēto ieteikumu uzlabot iedzīvotāju prasmju līmeni, jo īpaši viņu digitālo pratību (valsts īpašais ieteikums Nr. 2 2019), un atbalstīt digitālo tehnoloģiju izmantošanu, lai nodrošinātu vienlīdzīgu piekļuvi kvalitatīvai izglītībai un apmācībai (valsts īpašais ieteikums Nr. 2 2020).</w:t>
      </w:r>
    </w:p>
    <w:p w14:paraId="74ECCC4A" w14:textId="77777777" w:rsidR="00776A1F" w:rsidRDefault="00D8574B">
      <w:pPr>
        <w:pStyle w:val="P68B1DB1-Normal4"/>
        <w:keepNext/>
        <w:spacing w:before="40" w:after="0" w:line="259" w:lineRule="auto"/>
        <w:jc w:val="both"/>
        <w:outlineLvl w:val="1"/>
        <w:rPr>
          <w:rFonts w:eastAsiaTheme="minorEastAsia" w:cs="Times New Roman"/>
          <w:noProof/>
        </w:rPr>
      </w:pPr>
      <w:r>
        <w:rPr>
          <w:noProof/>
        </w:rPr>
        <w:t xml:space="preserve">Paredzams, ka neviens pasākums šajā komponentā nenodarīs būtisku kaitējumu vides mērķiem Regulas (ES) 2020/852 17. panta nozīmē, ņemot vērā plānā izklāstīto pasākumu un riska mazināšanas posmu aprakstu saskaņā ar NBK tehniskajiem norādījumiem (2021/C58/01). </w:t>
      </w:r>
    </w:p>
    <w:p w14:paraId="3B662D2B"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noProof/>
          <w:sz w:val="24"/>
        </w:rPr>
      </w:pPr>
    </w:p>
    <w:p w14:paraId="59DF8EE1"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T.1. Neatmaksājamam finansiālajam atbalstam pieteikto reformu un investīciju apraksts</w:t>
      </w:r>
    </w:p>
    <w:p w14:paraId="707939C8"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TD-r37 reforma: Digitālās izglītības reforma</w:t>
      </w:r>
    </w:p>
    <w:p w14:paraId="75AAAB0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Pasākuma mērķis ir izstrādāt jaunu digitālo pieeju izglītībai, izmantojot esošo valsts izglītības politiku, jo īpaši autonomijas un elastīguma sistēmu mācību programmās. Šīs reformas mērķis ir ieviest kvalitatīvu lēcienu digitālo tehnoloģiju pedagoģiskajā izmantošanā un to, kā tās jāintegrē zināšanu iegūšanas procesā. Reformas mērķis ir arī mazināt atstumtības un nelabvēlīgu apstākļu riskus mācību procesos, samazinot sociālo un izglītības nevienlīdzību piekļuvē digitālajām tehnoloģijām. Digitālās izglītības reforma ir paredzēta izglītības kopienai (skolēniem, mācībspēkiem un darbiniekiem, kas nav skolotāji). </w:t>
      </w:r>
    </w:p>
    <w:p w14:paraId="2F6F6796"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Reforma ietver pasākumus, kuru mērķis ir nodrošināt, ka 95 % skolotāju publiskajā izglītības tīklā saņem apmācību par pamatprasmēm vai padziļinātām digitālajām prasmēm, tostarp par digitālo tehnoloģiju integrēšanu mācību programmā. </w:t>
      </w:r>
    </w:p>
    <w:p w14:paraId="5FE5A2B5" w14:textId="77777777" w:rsidR="00776A1F" w:rsidRDefault="00D8574B">
      <w:pPr>
        <w:pStyle w:val="P68B1DB1-Normal4"/>
        <w:keepNext/>
        <w:spacing w:before="40" w:after="0" w:line="259" w:lineRule="auto"/>
        <w:jc w:val="both"/>
        <w:rPr>
          <w:rFonts w:eastAsiaTheme="minorEastAsia" w:cs="Times New Roman"/>
          <w:noProof/>
        </w:rPr>
      </w:pPr>
      <w:r>
        <w:rPr>
          <w:noProof/>
        </w:rPr>
        <w:t>Reformas īstenošanu pabeidz līdz 2025. gada 31. decembrim.</w:t>
      </w:r>
    </w:p>
    <w:p w14:paraId="079FE2F5"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TD-C20-i01: Digitālā pārkārtošanās izglītībā</w:t>
      </w:r>
    </w:p>
    <w:p w14:paraId="1BD28562" w14:textId="77777777" w:rsidR="00776A1F" w:rsidRDefault="00D8574B">
      <w:pPr>
        <w:pStyle w:val="P68B1DB1-Normal4"/>
        <w:keepNext/>
        <w:spacing w:before="40" w:after="0" w:line="259" w:lineRule="auto"/>
        <w:jc w:val="both"/>
        <w:rPr>
          <w:rFonts w:eastAsiaTheme="minorEastAsia" w:cs="Times New Roman"/>
          <w:noProof/>
        </w:rPr>
      </w:pPr>
      <w:r>
        <w:rPr>
          <w:noProof/>
        </w:rPr>
        <w:t>Ieguldījumu mērķi ir šādi: likvidēt šķēršļus, kas kavē piekļuvi kvalitatīvam internetam skolas vidē; novērst ierobežojumus tehnoloģiskā un digitālā aprīkojuma integrētai izmantošanai un novērst specializēta aprīkojuma trūkumu digitālo prasmju attīstīšanai un STEAM karjeras turpināšanas stimulēšanai, lai veicinātu meiteņu un zēnu vienlīdzīgu līdzdalību; III) pārvarēt digitālo izglītības resursu nepietiekamo izmantošanu mācību procesā un novērtēšanas procesā; un iv) novērst izglītības sistēmas vadības un informācijas sistēmu izkliedētību un neefektivitāti, pārskatot un atjauninot skolu vadības un administrācijas metodiku un procesus.</w:t>
      </w:r>
    </w:p>
    <w:p w14:paraId="7653B2CD" w14:textId="77777777" w:rsidR="00776A1F" w:rsidRDefault="00D8574B">
      <w:pPr>
        <w:pStyle w:val="P68B1DB1-Normal4"/>
        <w:keepNext/>
        <w:spacing w:before="40" w:after="0" w:line="259" w:lineRule="auto"/>
        <w:jc w:val="both"/>
        <w:rPr>
          <w:rFonts w:eastAsiaTheme="minorEastAsia" w:cs="Times New Roman"/>
          <w:noProof/>
        </w:rPr>
      </w:pPr>
      <w:r>
        <w:rPr>
          <w:noProof/>
        </w:rPr>
        <w:t>Šo ieguldījumu veido:</w:t>
      </w:r>
    </w:p>
    <w:p w14:paraId="03FF5724" w14:textId="6EAC7F20"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Skolu savienojamības paplašināšana, paplašinot paplašinātā izglītības tīkla interneta savienojamību no 40 līdz 300 Gb/s, savienojot pamatskolu un vidusskolu ar paplašināto izglītības tīklu un nodrošinot tām vismaz 1 Gb/s savienojamību un paplašinot vietējo tīklu ar vidēji 40 jauniem piekļuves punktiem katrai skolai.</w:t>
      </w:r>
    </w:p>
    <w:p w14:paraId="75BEAC82" w14:textId="10913F76"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Nodrošinot 600000 datoru skolēniem un skolotājiem, modernizējot mācību telpu projicēšanas aprīkojumu (40000 projektoru) un nodrošinot skolām digitālās izglītības laboratorijas, kas aprīkotas ar progresīvām izglītības tehnoloģijām, piemēram, 3D printeriem un izglītības robotiem (1300).</w:t>
      </w:r>
    </w:p>
    <w:p w14:paraId="2EECEC6A" w14:textId="77777777"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Izstrādāt un pieņemt jaunus digitālās izglītības resursus (95 % priekšmetu pamatizglītības un vidējās izglītības programmās, tostarp fiziskajā izglītībā un sportā), tostarp novērtēšanas testu digitalizāciju.</w:t>
      </w:r>
    </w:p>
    <w:p w14:paraId="52367BA5" w14:textId="77777777"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Nodrošināt skolām vienotu identitātes sistēmu, lai pārvaldītu skolu kopienu, apvienotu un integrētu izglītības pārvaldības informācijas sistēmas un nodrošinātu vadību ar piemērotiem IT risinājumiem, 15000 dažādu aprīkojumu (starp datoriem, skeneriem un printeriem), lai panāktu efektīvāku un pārredzamāku izglītības sistēmas darbību, tostarp skolu izdevumu racionalizāciju.</w:t>
      </w:r>
    </w:p>
    <w:p w14:paraId="0F323A51"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14F3F2F2" w14:textId="7777777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TD-C20-i02-RAA: Digitālā izglītība (Azoru salas)</w:t>
      </w:r>
    </w:p>
    <w:p w14:paraId="6DBBE642"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Pasākuma mērķi ir nodrošināt piekļuvi digitālo tehnoloģiju izmantošanai, veicināt vienlīdzīgas iespējas un būtiski uzlabot mācīšanās līdzekļus saskaņā ar Eiropas Savienības Digitālās izglītības rīcības plānu. </w:t>
      </w:r>
    </w:p>
    <w:p w14:paraId="5C7D6298" w14:textId="325E0E33" w:rsidR="00776A1F" w:rsidRDefault="00D8574B">
      <w:pPr>
        <w:pStyle w:val="P68B1DB1-Normal4"/>
        <w:keepNext/>
        <w:spacing w:before="40" w:after="0" w:line="259" w:lineRule="auto"/>
        <w:jc w:val="both"/>
        <w:rPr>
          <w:rFonts w:eastAsiaTheme="minorEastAsia" w:cs="Times New Roman"/>
          <w:noProof/>
        </w:rPr>
      </w:pPr>
      <w:r>
        <w:rPr>
          <w:noProof/>
        </w:rPr>
        <w:t>Šis ieguldījums ietver izglītības kopienas digitālo prasmju attīstības veicināšanu, kas paredzēta gan studentiem, gan viņu vecākiem un skolotājiem, un ietver mērķtiecīgas darbības šādās jomās:</w:t>
      </w:r>
    </w:p>
    <w:p w14:paraId="513C3B5B" w14:textId="36FC7C89"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Aprīkojums: 31900 jaunas mobilās IT iekārtas pirmsskolas, pamatizglītībai un vidējai izglītībai, tostarp sekošanai modernizācijai un programmatūrai un aprīkojuma nodrošināšanai skolas līmenī ar vismaz 1080 jauniem interaktīviem ekrāniem, 100 jaunām specializētām laboratorijas iekārtām, 100 jauniem 3D printeriem un 150 jauniem izglītības robotiem;</w:t>
      </w:r>
    </w:p>
    <w:p w14:paraId="0EBDFF9B" w14:textId="77777777"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Digitālās izglītības resursi: izglītības resursu digitalizācija ar mērķi sasniegt 100 % skolēnu Azoru salu autonomajā reģionā, izmantojot digitālās rokasgrāmatas;</w:t>
      </w:r>
    </w:p>
    <w:p w14:paraId="2A03A637" w14:textId="0F426A51"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Digitālās kompetences: 24 mācību moduļi, kas paredzēti skolotājiem un skolēnu vecākiem; </w:t>
      </w:r>
    </w:p>
    <w:p w14:paraId="690C5BB4" w14:textId="7315D772" w:rsidR="00776A1F" w:rsidRDefault="00D8574B">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Savienojamība: darbības, kuru mērķis ir uzlabot skolu savienojamību Azoru salu autonomajā reģionā ar vismaz 1 Gb/s. 1500 slēdžu un APS iegāde un uzstādīšana. </w:t>
      </w:r>
    </w:p>
    <w:p w14:paraId="1A26EC6C" w14:textId="77777777" w:rsidR="00776A1F" w:rsidRDefault="00D8574B">
      <w:pPr>
        <w:pStyle w:val="P68B1DB1-Normal4"/>
        <w:keepNext/>
        <w:spacing w:before="40" w:after="0" w:line="259" w:lineRule="auto"/>
        <w:jc w:val="both"/>
        <w:rPr>
          <w:rFonts w:eastAsiaTheme="minorEastAsia" w:cs="Times New Roman"/>
          <w:noProof/>
        </w:rPr>
      </w:pPr>
      <w:r>
        <w:rPr>
          <w:noProof/>
        </w:rPr>
        <w:t>Ieguldījumu īstenošanu pabeidz līdz 2025. gada 31. decembrim.</w:t>
      </w:r>
    </w:p>
    <w:p w14:paraId="6248B184" w14:textId="4041F786"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TD-C20-i03-RAM: Paātrināt ARM izglītības digitalizāciju</w:t>
      </w:r>
    </w:p>
    <w:p w14:paraId="19CEFD55" w14:textId="7C0999F4" w:rsidR="00776A1F" w:rsidRDefault="00D8574B">
      <w:pPr>
        <w:pStyle w:val="P68B1DB1-Normal4"/>
        <w:keepNext/>
        <w:spacing w:before="40" w:after="0" w:line="259" w:lineRule="auto"/>
        <w:jc w:val="both"/>
        <w:rPr>
          <w:rFonts w:eastAsiaTheme="minorEastAsia" w:cs="Times New Roman"/>
          <w:noProof/>
        </w:rPr>
      </w:pPr>
      <w:r>
        <w:rPr>
          <w:noProof/>
        </w:rPr>
        <w:t>Pasākuma mērķis ir izveidot proaktīvāku, inovatīvāku, iekļaujošāku, autonomāku, taisnīgāku un atvērtāku izglītības sistēmu Madeiras autonomajā apgabalā valsts un privātajās skolās.</w:t>
      </w:r>
    </w:p>
    <w:p w14:paraId="34D95A54" w14:textId="77777777" w:rsidR="00776A1F" w:rsidRDefault="00D8574B">
      <w:pPr>
        <w:pStyle w:val="P68B1DB1-Normal4"/>
        <w:keepNext/>
        <w:spacing w:before="40" w:after="0" w:line="259" w:lineRule="auto"/>
        <w:jc w:val="both"/>
        <w:rPr>
          <w:rFonts w:eastAsiaTheme="minorEastAsia" w:cs="Times New Roman"/>
          <w:noProof/>
        </w:rPr>
      </w:pPr>
      <w:r>
        <w:rPr>
          <w:noProof/>
        </w:rPr>
        <w:t>Investīcijas ietver kvalitatīvas mācīšanās, apmācības un kvalifikācijas nodrošināšanu, bērnu un skolēnu sagatavošanu 21. gadsimta izaicinājumiem, tostarp digitālajai pārejai, ar konkrētām darbībām šādās jomās:</w:t>
      </w:r>
    </w:p>
    <w:p w14:paraId="6E749B90" w14:textId="3B32952B" w:rsidR="00776A1F" w:rsidRDefault="00D8574B">
      <w:pPr>
        <w:pStyle w:val="P68B1DB1-Normal4"/>
        <w:keepNext/>
        <w:numPr>
          <w:ilvl w:val="0"/>
          <w:numId w:val="39"/>
        </w:numPr>
        <w:spacing w:before="40" w:after="160" w:line="259" w:lineRule="auto"/>
        <w:contextualSpacing/>
        <w:jc w:val="both"/>
        <w:rPr>
          <w:rFonts w:eastAsiaTheme="minorEastAsia" w:cs="Times New Roman"/>
          <w:noProof/>
        </w:rPr>
      </w:pPr>
      <w:r>
        <w:rPr>
          <w:noProof/>
        </w:rPr>
        <w:t>Digitālās izglītības resursi un aprīkojums: Digitālo rokasgrāmatu projekta mērķis ir nodrošināt vairākus digitālos izglītības resursus dažādos formātos un dažādās tipoloģijās (animācijas, simulācijas, trīsdimensiju video vai citas), nodrošināt aprīkojumu (planšetdatorus vai klēpjdatorus atkarībā no mācību gada) un piekļuvi digitālajām mācību grāmatām, lai nodrošinātu, ka izglītības kopienai (skolēniem, skolotājiem, vecāka gadagājuma izglītības tehniķiem, tehniskās palīdzības tehniķiem, izglītības pakalpojumu sniedzējiem) ir droša piekļuve izglītības digitalizācijas ceļā pieejamajam saturam. Visiem skolēniem (15910 skolēni): 1 planšetdators vai klēpjdators atkarībā no mācību gada — 1 virtuālās skolas piekļuves licence, kas derīga katram mācību gadam; 1 Personīga un nenododama licence katras skolas rokasgrāmatas digitālajai versijai, kas pieņemta skolai.</w:t>
      </w:r>
    </w:p>
    <w:p w14:paraId="56EC44E7" w14:textId="4D84A1D3" w:rsidR="00776A1F" w:rsidRDefault="00D8574B">
      <w:pPr>
        <w:pStyle w:val="P68B1DB1-Normal4"/>
        <w:keepNext/>
        <w:numPr>
          <w:ilvl w:val="0"/>
          <w:numId w:val="39"/>
        </w:numPr>
        <w:spacing w:before="40" w:after="160" w:line="259" w:lineRule="auto"/>
        <w:contextualSpacing/>
        <w:jc w:val="both"/>
        <w:rPr>
          <w:rFonts w:eastAsiaTheme="minorEastAsia" w:cs="Times New Roman"/>
          <w:noProof/>
        </w:rPr>
      </w:pPr>
      <w:r>
        <w:rPr>
          <w:noProof/>
        </w:rPr>
        <w:t>Savienojamība un aprīkojums skolām: ar mērķi nodrošināt skolas ar “Inovatīvu mācību vidi” (34 “Inovatīvas vides māceklības telpas”; 22“Makerspace” plātnes; 15 vietas bērnu aprūpes mācībām; 20“Inovatīvas telpas”, kuru pamatā ir Snoezelen</w:t>
      </w:r>
      <w:r>
        <w:rPr>
          <w:noProof/>
        </w:rPr>
        <w:footnoteReference w:id="77"/>
      </w:r>
      <w:r>
        <w:rPr>
          <w:noProof/>
        </w:rPr>
        <w:t xml:space="preserve">telpas koncepcija — iekļaušanas un digitālās pratības veicināšana ar izglītības inovācijas centriem programmēšanas un robotizēšanas jomā, pa vienam katrai skolai, </w:t>
      </w:r>
    </w:p>
    <w:p w14:paraId="6FC4CEC9" w14:textId="62347127" w:rsidR="00776A1F" w:rsidRDefault="00D8574B">
      <w:pPr>
        <w:pStyle w:val="P68B1DB1-Normal4"/>
        <w:keepNext/>
        <w:numPr>
          <w:ilvl w:val="0"/>
          <w:numId w:val="39"/>
        </w:numPr>
        <w:spacing w:before="40" w:after="160" w:line="259" w:lineRule="auto"/>
        <w:contextualSpacing/>
        <w:jc w:val="both"/>
        <w:rPr>
          <w:rFonts w:eastAsiaTheme="minorEastAsia" w:cs="Times New Roman"/>
          <w:noProof/>
        </w:rPr>
      </w:pPr>
      <w:r>
        <w:rPr>
          <w:noProof/>
        </w:rPr>
        <w:t xml:space="preserve">Digitālās kompetences: pasniedzējiem un ar mācīšanu nesaistītiem darbiniekiem (augstākās izglītības tehniķiem, tehniskajiem asistentiem) tiek piedāvāti mācību pasākumi. </w:t>
      </w:r>
    </w:p>
    <w:p w14:paraId="116BAADB" w14:textId="77777777" w:rsidR="00776A1F" w:rsidRDefault="00D8574B">
      <w:pPr>
        <w:pStyle w:val="P68B1DB1-Normal4"/>
        <w:keepNext/>
        <w:spacing w:before="40" w:after="0" w:line="259" w:lineRule="auto"/>
        <w:jc w:val="both"/>
        <w:rPr>
          <w:rFonts w:eastAsiaTheme="minorEastAsia" w:cs="Times New Roman"/>
          <w:noProof/>
        </w:rPr>
        <w:sectPr w:rsidR="00776A1F" w:rsidSect="00E00EDD">
          <w:headerReference w:type="even" r:id="rId356"/>
          <w:headerReference w:type="default" r:id="rId357"/>
          <w:footerReference w:type="even" r:id="rId358"/>
          <w:footerReference w:type="default" r:id="rId359"/>
          <w:headerReference w:type="first" r:id="rId360"/>
          <w:footerReference w:type="first" r:id="rId361"/>
          <w:pgSz w:w="11907" w:h="16839"/>
          <w:pgMar w:top="1134" w:right="1134" w:bottom="1134" w:left="1134" w:header="567" w:footer="567" w:gutter="0"/>
          <w:cols w:space="720"/>
          <w:docGrid w:linePitch="360"/>
        </w:sectPr>
      </w:pPr>
      <w:r>
        <w:rPr>
          <w:noProof/>
        </w:rPr>
        <w:t>Ieguldījumu īstenošanu pabeidz līdz 2025. gada 31. decembrim.</w:t>
      </w:r>
    </w:p>
    <w:p w14:paraId="6A865438" w14:textId="77777777"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T.2. Atskaites punkti, mērķrādītāji, citi rādītāji un neatmaksājamā finansiālā atbalsta uzraudzības un īstenošanas grafiks</w:t>
      </w:r>
    </w:p>
    <w:p w14:paraId="3E59DF2E"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776A1F" w14:paraId="161579D1" w14:textId="77777777">
        <w:trPr>
          <w:trHeight w:val="910"/>
          <w:tblHeader/>
        </w:trPr>
        <w:tc>
          <w:tcPr>
            <w:tcW w:w="1135" w:type="dxa"/>
            <w:vMerge w:val="restart"/>
            <w:shd w:val="clear" w:color="auto" w:fill="BDD6EE"/>
            <w:vAlign w:val="center"/>
            <w:hideMark/>
          </w:tcPr>
          <w:p w14:paraId="18D3C4B3"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0F2DCA77"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6ABCFCFD" w14:textId="4ED9A5A5"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vAlign w:val="center"/>
            <w:hideMark/>
          </w:tcPr>
          <w:p w14:paraId="6F4253DE"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5E98634F"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977" w:type="dxa"/>
            <w:gridSpan w:val="3"/>
            <w:shd w:val="clear" w:color="auto" w:fill="BDD6EE"/>
            <w:vAlign w:val="center"/>
            <w:hideMark/>
          </w:tcPr>
          <w:p w14:paraId="1726AAB0"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416EE560"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566259A2"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624748BC" w14:textId="77777777">
        <w:trPr>
          <w:trHeight w:val="470"/>
          <w:tblHeader/>
        </w:trPr>
        <w:tc>
          <w:tcPr>
            <w:tcW w:w="1135" w:type="dxa"/>
            <w:vMerge/>
            <w:vAlign w:val="center"/>
            <w:hideMark/>
          </w:tcPr>
          <w:p w14:paraId="50EEF1DC"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79C161D4"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0AD30B37" w14:textId="1F95A1E3" w:rsidR="00776A1F" w:rsidRDefault="00776A1F">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D61E092" w14:textId="77777777" w:rsidR="00776A1F" w:rsidRDefault="00776A1F">
            <w:pPr>
              <w:spacing w:after="0" w:line="240" w:lineRule="auto"/>
              <w:rPr>
                <w:rFonts w:ascii="Times New Roman" w:eastAsia="Times New Roman" w:hAnsi="Times New Roman" w:cs="Times New Roman"/>
                <w:b/>
                <w:noProof/>
                <w:sz w:val="18"/>
              </w:rPr>
            </w:pPr>
          </w:p>
        </w:tc>
        <w:tc>
          <w:tcPr>
            <w:tcW w:w="1275" w:type="dxa"/>
            <w:vMerge/>
            <w:vAlign w:val="center"/>
            <w:hideMark/>
          </w:tcPr>
          <w:p w14:paraId="0EF12599"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543C08EA"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1E2EEAE7"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992" w:type="dxa"/>
            <w:shd w:val="clear" w:color="auto" w:fill="BDD6EE"/>
            <w:vAlign w:val="center"/>
            <w:hideMark/>
          </w:tcPr>
          <w:p w14:paraId="08F656FE"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6D741527"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195C72EE"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0AB1CE62" w14:textId="77777777" w:rsidR="00776A1F" w:rsidRDefault="00776A1F">
            <w:pPr>
              <w:spacing w:after="0" w:line="240" w:lineRule="auto"/>
              <w:rPr>
                <w:rFonts w:ascii="Times New Roman" w:eastAsia="Times New Roman" w:hAnsi="Times New Roman" w:cs="Times New Roman"/>
                <w:b/>
                <w:noProof/>
                <w:sz w:val="18"/>
              </w:rPr>
            </w:pPr>
          </w:p>
        </w:tc>
      </w:tr>
      <w:tr w:rsidR="00776A1F" w14:paraId="72498156" w14:textId="77777777">
        <w:trPr>
          <w:trHeight w:val="430"/>
        </w:trPr>
        <w:tc>
          <w:tcPr>
            <w:tcW w:w="1135" w:type="dxa"/>
            <w:shd w:val="clear" w:color="auto" w:fill="C4EFCE"/>
            <w:vAlign w:val="center"/>
            <w:hideMark/>
          </w:tcPr>
          <w:p w14:paraId="63BE4AE8" w14:textId="77777777" w:rsidR="00776A1F" w:rsidRDefault="00D8574B">
            <w:pPr>
              <w:pStyle w:val="P68B1DB1-Normal7"/>
              <w:spacing w:after="0" w:line="240" w:lineRule="auto"/>
              <w:jc w:val="center"/>
              <w:rPr>
                <w:rFonts w:eastAsia="Times New Roman" w:cs="Calibri"/>
                <w:noProof/>
              </w:rPr>
            </w:pPr>
            <w:r>
              <w:rPr>
                <w:noProof/>
              </w:rPr>
              <w:t>20.1</w:t>
            </w:r>
          </w:p>
        </w:tc>
        <w:tc>
          <w:tcPr>
            <w:tcW w:w="1276" w:type="dxa"/>
            <w:shd w:val="clear" w:color="auto" w:fill="C4EFCE"/>
            <w:noWrap/>
            <w:vAlign w:val="center"/>
            <w:hideMark/>
          </w:tcPr>
          <w:p w14:paraId="164C94BA" w14:textId="77777777" w:rsidR="00776A1F" w:rsidRDefault="00D8574B">
            <w:pPr>
              <w:pStyle w:val="P68B1DB1-Normal8"/>
              <w:spacing w:after="0" w:line="240" w:lineRule="auto"/>
              <w:jc w:val="center"/>
              <w:rPr>
                <w:rFonts w:eastAsia="Times New Roman" w:cs="Calibri"/>
                <w:noProof/>
              </w:rPr>
            </w:pPr>
            <w:r>
              <w:rPr>
                <w:noProof/>
              </w:rPr>
              <w:t>TD-C20-r37</w:t>
            </w:r>
          </w:p>
        </w:tc>
        <w:tc>
          <w:tcPr>
            <w:tcW w:w="1134" w:type="dxa"/>
            <w:shd w:val="clear" w:color="auto" w:fill="C4EFCE"/>
            <w:noWrap/>
            <w:vAlign w:val="center"/>
            <w:hideMark/>
          </w:tcPr>
          <w:p w14:paraId="12F2735F"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0C825" w14:textId="77777777" w:rsidR="00776A1F" w:rsidRDefault="00D8574B">
            <w:pPr>
              <w:pStyle w:val="P68B1DB1-Normal8"/>
              <w:spacing w:after="0" w:line="240" w:lineRule="auto"/>
              <w:jc w:val="center"/>
              <w:rPr>
                <w:rFonts w:eastAsia="Times New Roman" w:cs="Calibri"/>
                <w:noProof/>
              </w:rPr>
            </w:pPr>
            <w:r>
              <w:rPr>
                <w:noProof/>
              </w:rPr>
              <w:t>Valsts izglītības tīkla skolotāju un ar mācīšanu nesaistītu darbinieku digitālo prasmju apmācība</w:t>
            </w:r>
          </w:p>
        </w:tc>
        <w:tc>
          <w:tcPr>
            <w:tcW w:w="1275" w:type="dxa"/>
            <w:shd w:val="clear" w:color="auto" w:fill="C4EFCE"/>
            <w:noWrap/>
            <w:vAlign w:val="center"/>
            <w:hideMark/>
          </w:tcPr>
          <w:p w14:paraId="224B1BF8"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67CBB8E" w14:textId="77777777" w:rsidR="00776A1F" w:rsidRDefault="00D8574B">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6A3414D8" w14:textId="77777777" w:rsidR="00776A1F" w:rsidRDefault="00D8574B">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B108FA3" w14:textId="77777777" w:rsidR="00776A1F" w:rsidRDefault="00D8574B">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7563530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E7431B0"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AA33588" w14:textId="77777777" w:rsidR="00776A1F" w:rsidRDefault="00D8574B">
            <w:pPr>
              <w:pStyle w:val="P68B1DB1-Normal8"/>
              <w:spacing w:after="0" w:line="240" w:lineRule="auto"/>
              <w:jc w:val="both"/>
              <w:rPr>
                <w:rFonts w:eastAsia="Times New Roman" w:cs="Calibri"/>
                <w:noProof/>
              </w:rPr>
            </w:pPr>
            <w:r>
              <w:rPr>
                <w:noProof/>
              </w:rPr>
              <w:t xml:space="preserve">To skolotāju procentuālā daļa publiskajā izglītības tīklā, kuri ir saņēmuši apmācību par pamatprasmēm vai padziļinātām digitālajām prasmēm, tostarp (skolotājiem) par digitālo tehnoloģiju integrēšanu mācību programmā </w:t>
            </w:r>
          </w:p>
        </w:tc>
      </w:tr>
      <w:tr w:rsidR="00776A1F" w14:paraId="7114F95D" w14:textId="77777777">
        <w:trPr>
          <w:trHeight w:val="300"/>
        </w:trPr>
        <w:tc>
          <w:tcPr>
            <w:tcW w:w="1135" w:type="dxa"/>
            <w:shd w:val="clear" w:color="auto" w:fill="C4EFCE"/>
            <w:vAlign w:val="center"/>
          </w:tcPr>
          <w:p w14:paraId="08F3C5C5" w14:textId="77777777" w:rsidR="00776A1F" w:rsidRDefault="00D8574B">
            <w:pPr>
              <w:pStyle w:val="P68B1DB1-Normal7"/>
              <w:spacing w:after="0" w:line="240" w:lineRule="auto"/>
              <w:jc w:val="center"/>
              <w:rPr>
                <w:rFonts w:eastAsia="Times New Roman" w:cs="Calibri"/>
                <w:noProof/>
              </w:rPr>
            </w:pPr>
            <w:r>
              <w:rPr>
                <w:noProof/>
              </w:rPr>
              <w:t>20.2</w:t>
            </w:r>
          </w:p>
        </w:tc>
        <w:tc>
          <w:tcPr>
            <w:tcW w:w="1276" w:type="dxa"/>
            <w:shd w:val="clear" w:color="auto" w:fill="C4EFCE"/>
            <w:noWrap/>
            <w:vAlign w:val="center"/>
          </w:tcPr>
          <w:p w14:paraId="0AF6BE0F"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tcPr>
          <w:p w14:paraId="36E5EE5C"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2DF62002" w14:textId="77777777" w:rsidR="00776A1F" w:rsidRDefault="00D8574B">
            <w:pPr>
              <w:pStyle w:val="P68B1DB1-Normal8"/>
              <w:spacing w:after="0" w:line="240" w:lineRule="auto"/>
              <w:jc w:val="center"/>
              <w:rPr>
                <w:rFonts w:eastAsia="Times New Roman" w:cs="Calibri"/>
                <w:noProof/>
              </w:rPr>
            </w:pPr>
            <w:r>
              <w:rPr>
                <w:noProof/>
              </w:rPr>
              <w:t>Līgumu parakstīšana par individuālu datoru iegādi skolēniem un skolotājiem</w:t>
            </w:r>
          </w:p>
        </w:tc>
        <w:tc>
          <w:tcPr>
            <w:tcW w:w="1275" w:type="dxa"/>
            <w:shd w:val="clear" w:color="auto" w:fill="C4EFCE"/>
            <w:noWrap/>
            <w:vAlign w:val="center"/>
          </w:tcPr>
          <w:p w14:paraId="5636A55F" w14:textId="77777777" w:rsidR="00776A1F" w:rsidRDefault="00D8574B">
            <w:pPr>
              <w:pStyle w:val="P68B1DB1-Normal8"/>
              <w:spacing w:after="0" w:line="240" w:lineRule="auto"/>
              <w:jc w:val="center"/>
              <w:rPr>
                <w:rFonts w:eastAsia="Times New Roman" w:cs="Calibri"/>
                <w:noProof/>
              </w:rPr>
            </w:pPr>
            <w:r>
              <w:rPr>
                <w:noProof/>
              </w:rPr>
              <w:t>Noslēgts līgums </w:t>
            </w:r>
          </w:p>
        </w:tc>
        <w:tc>
          <w:tcPr>
            <w:tcW w:w="993" w:type="dxa"/>
            <w:shd w:val="clear" w:color="auto" w:fill="C4EFCE"/>
            <w:noWrap/>
            <w:vAlign w:val="center"/>
          </w:tcPr>
          <w:p w14:paraId="097313A5"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EC54429"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0D49A9C"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473C119D"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tcPr>
          <w:p w14:paraId="667C7DB0" w14:textId="77777777" w:rsidR="00776A1F" w:rsidRDefault="00D8574B">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tcPr>
          <w:p w14:paraId="50EEB7FB" w14:textId="77777777" w:rsidR="00776A1F" w:rsidRDefault="00D8574B">
            <w:pPr>
              <w:pStyle w:val="P68B1DB1-Normal8"/>
              <w:spacing w:after="0" w:line="240" w:lineRule="auto"/>
              <w:jc w:val="both"/>
              <w:rPr>
                <w:rFonts w:eastAsia="Times New Roman" w:cs="Calibri"/>
                <w:noProof/>
              </w:rPr>
            </w:pPr>
            <w:r>
              <w:rPr>
                <w:noProof/>
              </w:rPr>
              <w:t>Līgumu parakstīšana par 600000 jaunu klēpjdatoru iegādi skolotājiem un skolēniem</w:t>
            </w:r>
          </w:p>
        </w:tc>
      </w:tr>
      <w:tr w:rsidR="00776A1F" w14:paraId="085E7F63" w14:textId="77777777">
        <w:trPr>
          <w:trHeight w:val="300"/>
        </w:trPr>
        <w:tc>
          <w:tcPr>
            <w:tcW w:w="1135" w:type="dxa"/>
            <w:shd w:val="clear" w:color="auto" w:fill="C4EFCE"/>
            <w:vAlign w:val="center"/>
            <w:hideMark/>
          </w:tcPr>
          <w:p w14:paraId="4CAF552D" w14:textId="77777777" w:rsidR="00776A1F" w:rsidRDefault="00D8574B">
            <w:pPr>
              <w:pStyle w:val="P68B1DB1-Normal7"/>
              <w:spacing w:after="0" w:line="240" w:lineRule="auto"/>
              <w:jc w:val="center"/>
              <w:rPr>
                <w:rFonts w:eastAsia="Times New Roman" w:cs="Calibri"/>
                <w:noProof/>
              </w:rPr>
            </w:pPr>
            <w:r>
              <w:rPr>
                <w:noProof/>
              </w:rPr>
              <w:t>20.3</w:t>
            </w:r>
          </w:p>
        </w:tc>
        <w:tc>
          <w:tcPr>
            <w:tcW w:w="1276" w:type="dxa"/>
            <w:shd w:val="clear" w:color="auto" w:fill="C4EFCE"/>
            <w:noWrap/>
            <w:vAlign w:val="center"/>
            <w:hideMark/>
          </w:tcPr>
          <w:p w14:paraId="7D638ADE"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6ED35996"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D20C1E8" w14:textId="77777777" w:rsidR="00776A1F" w:rsidRDefault="00D8574B">
            <w:pPr>
              <w:pStyle w:val="P68B1DB1-Normal8"/>
              <w:spacing w:after="0" w:line="240" w:lineRule="auto"/>
              <w:jc w:val="center"/>
              <w:rPr>
                <w:rFonts w:eastAsia="Times New Roman" w:cs="Calibri"/>
                <w:noProof/>
              </w:rPr>
            </w:pPr>
            <w:r>
              <w:rPr>
                <w:noProof/>
              </w:rPr>
              <w:t>Datori skolēnu un skolotāju individuālai lietošanai</w:t>
            </w:r>
          </w:p>
        </w:tc>
        <w:tc>
          <w:tcPr>
            <w:tcW w:w="1275" w:type="dxa"/>
            <w:shd w:val="clear" w:color="auto" w:fill="C4EFCE"/>
            <w:noWrap/>
            <w:vAlign w:val="center"/>
            <w:hideMark/>
          </w:tcPr>
          <w:p w14:paraId="2CBBC935"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22CD9F"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41371EA9" w14:textId="77777777" w:rsidR="00776A1F" w:rsidRDefault="00D8574B">
            <w:pPr>
              <w:pStyle w:val="P68B1DB1-Normal8"/>
              <w:spacing w:after="0" w:line="240" w:lineRule="auto"/>
              <w:jc w:val="center"/>
              <w:rPr>
                <w:rFonts w:eastAsia="Times New Roman" w:cs="Calibri"/>
                <w:noProof/>
              </w:rPr>
            </w:pPr>
            <w:r>
              <w:rPr>
                <w:noProof/>
              </w:rPr>
              <w:t>450 000</w:t>
            </w:r>
          </w:p>
        </w:tc>
        <w:tc>
          <w:tcPr>
            <w:tcW w:w="992" w:type="dxa"/>
            <w:shd w:val="clear" w:color="auto" w:fill="C4EFCE"/>
            <w:noWrap/>
            <w:vAlign w:val="center"/>
            <w:hideMark/>
          </w:tcPr>
          <w:p w14:paraId="7AA00153" w14:textId="77777777" w:rsidR="00776A1F" w:rsidRDefault="00D8574B">
            <w:pPr>
              <w:pStyle w:val="P68B1DB1-Normal8"/>
              <w:spacing w:after="0" w:line="240" w:lineRule="auto"/>
              <w:jc w:val="center"/>
              <w:rPr>
                <w:rFonts w:eastAsia="Times New Roman" w:cs="Calibri"/>
                <w:noProof/>
              </w:rPr>
            </w:pPr>
            <w:r>
              <w:rPr>
                <w:noProof/>
              </w:rPr>
              <w:t>1 050 000</w:t>
            </w:r>
          </w:p>
        </w:tc>
        <w:tc>
          <w:tcPr>
            <w:tcW w:w="567" w:type="dxa"/>
            <w:shd w:val="clear" w:color="auto" w:fill="C4EFCE"/>
            <w:noWrap/>
            <w:vAlign w:val="center"/>
            <w:hideMark/>
          </w:tcPr>
          <w:p w14:paraId="675FB560"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5DBE1730"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08C7B2E" w14:textId="16A5EDB1" w:rsidR="00776A1F" w:rsidRDefault="00D8574B">
            <w:pPr>
              <w:pStyle w:val="P68B1DB1-Normal8"/>
              <w:spacing w:after="0" w:line="240" w:lineRule="auto"/>
              <w:jc w:val="both"/>
              <w:rPr>
                <w:rFonts w:eastAsia="Times New Roman" w:cs="Calibri"/>
                <w:noProof/>
              </w:rPr>
            </w:pPr>
            <w:r>
              <w:rPr>
                <w:noProof/>
              </w:rPr>
              <w:t>Klēpjdatoru skaits, ko aizdod skolotājiem un skolēniem pamatskolās un vidusskolās</w:t>
            </w:r>
          </w:p>
        </w:tc>
      </w:tr>
      <w:tr w:rsidR="00776A1F" w14:paraId="73850E68" w14:textId="77777777">
        <w:trPr>
          <w:trHeight w:val="640"/>
        </w:trPr>
        <w:tc>
          <w:tcPr>
            <w:tcW w:w="1135" w:type="dxa"/>
            <w:shd w:val="clear" w:color="auto" w:fill="C4EFCE"/>
            <w:vAlign w:val="center"/>
            <w:hideMark/>
          </w:tcPr>
          <w:p w14:paraId="2C49AD1E" w14:textId="77777777" w:rsidR="00776A1F" w:rsidRDefault="00D8574B">
            <w:pPr>
              <w:pStyle w:val="P68B1DB1-Normal7"/>
              <w:spacing w:after="0" w:line="240" w:lineRule="auto"/>
              <w:jc w:val="center"/>
              <w:rPr>
                <w:rFonts w:eastAsia="Times New Roman" w:cs="Calibri"/>
                <w:noProof/>
              </w:rPr>
            </w:pPr>
            <w:r>
              <w:rPr>
                <w:noProof/>
              </w:rPr>
              <w:t>20.4</w:t>
            </w:r>
          </w:p>
        </w:tc>
        <w:tc>
          <w:tcPr>
            <w:tcW w:w="1276" w:type="dxa"/>
            <w:shd w:val="clear" w:color="auto" w:fill="C4EFCE"/>
            <w:noWrap/>
            <w:vAlign w:val="center"/>
            <w:hideMark/>
          </w:tcPr>
          <w:p w14:paraId="21831B90"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DC5179D"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D27B3A2" w14:textId="77777777" w:rsidR="00776A1F" w:rsidRDefault="00D8574B">
            <w:pPr>
              <w:pStyle w:val="P68B1DB1-Normal8"/>
              <w:spacing w:after="0" w:line="240" w:lineRule="auto"/>
              <w:jc w:val="center"/>
              <w:rPr>
                <w:rFonts w:eastAsia="Times New Roman" w:cs="Calibri"/>
                <w:noProof/>
              </w:rPr>
            </w:pPr>
            <w:r>
              <w:rPr>
                <w:noProof/>
              </w:rPr>
              <w:t>Pamatskolas un vidusskolu savienojamības uzlabošana</w:t>
            </w:r>
          </w:p>
        </w:tc>
        <w:tc>
          <w:tcPr>
            <w:tcW w:w="1275" w:type="dxa"/>
            <w:shd w:val="clear" w:color="auto" w:fill="C4EFCE"/>
            <w:noWrap/>
            <w:vAlign w:val="center"/>
            <w:hideMark/>
          </w:tcPr>
          <w:p w14:paraId="07232047"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999EFC6" w14:textId="77777777" w:rsidR="00776A1F" w:rsidRDefault="00D8574B">
            <w:pPr>
              <w:pStyle w:val="P68B1DB1-Normal8"/>
              <w:spacing w:after="0" w:line="240" w:lineRule="auto"/>
              <w:jc w:val="center"/>
              <w:rPr>
                <w:rFonts w:eastAsia="Times New Roman" w:cs="Calibri"/>
                <w:noProof/>
              </w:rPr>
            </w:pPr>
            <w:r>
              <w:rPr>
                <w:noProof/>
              </w:rPr>
              <w:t xml:space="preserve">% </w:t>
            </w:r>
          </w:p>
        </w:tc>
        <w:tc>
          <w:tcPr>
            <w:tcW w:w="992" w:type="dxa"/>
            <w:shd w:val="clear" w:color="auto" w:fill="C4EFCE"/>
            <w:noWrap/>
            <w:vAlign w:val="center"/>
            <w:hideMark/>
          </w:tcPr>
          <w:p w14:paraId="519070AC"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2D3F45FC" w14:textId="77777777" w:rsidR="00776A1F" w:rsidRDefault="00D8574B">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F6CA3AB"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35CFD022" w14:textId="10E5C0BC"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00706952" w14:textId="2D0D82EE" w:rsidR="00776A1F" w:rsidRDefault="00D8574B">
            <w:pPr>
              <w:pStyle w:val="P68B1DB1-Normal8"/>
              <w:spacing w:after="0" w:line="240" w:lineRule="auto"/>
              <w:jc w:val="both"/>
              <w:rPr>
                <w:rFonts w:eastAsia="Times New Roman" w:cs="Calibri"/>
                <w:noProof/>
              </w:rPr>
            </w:pPr>
            <w:r>
              <w:rPr>
                <w:noProof/>
              </w:rPr>
              <w:t xml:space="preserve">To pamatskolas un vidusskolu īpatsvars Portugālē, kuras 1) ir savienotas ar 300 Gb/s paplašināto izglītības tīklu, kura savienojums ir vismaz 1 Gb/s; un 2) ir vietējie skolu tīkli ar vidēji 40 Wi-fi piekļuves punktiem. </w:t>
            </w:r>
          </w:p>
        </w:tc>
      </w:tr>
      <w:tr w:rsidR="00776A1F" w14:paraId="28357C41" w14:textId="77777777">
        <w:trPr>
          <w:trHeight w:val="1060"/>
        </w:trPr>
        <w:tc>
          <w:tcPr>
            <w:tcW w:w="1135" w:type="dxa"/>
            <w:shd w:val="clear" w:color="auto" w:fill="C4EFCE"/>
            <w:vAlign w:val="center"/>
            <w:hideMark/>
          </w:tcPr>
          <w:p w14:paraId="52869EA6" w14:textId="77777777" w:rsidR="00776A1F" w:rsidRDefault="00D8574B">
            <w:pPr>
              <w:pStyle w:val="P68B1DB1-Normal7"/>
              <w:spacing w:after="0" w:line="240" w:lineRule="auto"/>
              <w:jc w:val="center"/>
              <w:rPr>
                <w:rFonts w:eastAsia="Times New Roman" w:cs="Calibri"/>
                <w:noProof/>
              </w:rPr>
            </w:pPr>
            <w:r>
              <w:rPr>
                <w:noProof/>
              </w:rPr>
              <w:t>20.5</w:t>
            </w:r>
          </w:p>
        </w:tc>
        <w:tc>
          <w:tcPr>
            <w:tcW w:w="1276" w:type="dxa"/>
            <w:shd w:val="clear" w:color="auto" w:fill="C4EFCE"/>
            <w:noWrap/>
            <w:vAlign w:val="center"/>
            <w:hideMark/>
          </w:tcPr>
          <w:p w14:paraId="118116DB"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0568D27"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371D07C" w14:textId="77777777" w:rsidR="00776A1F" w:rsidRDefault="00D8574B">
            <w:pPr>
              <w:pStyle w:val="P68B1DB1-Normal8"/>
              <w:spacing w:after="0" w:line="240" w:lineRule="auto"/>
              <w:jc w:val="center"/>
              <w:rPr>
                <w:rFonts w:eastAsia="Times New Roman" w:cs="Calibri"/>
                <w:noProof/>
              </w:rPr>
            </w:pPr>
            <w:r>
              <w:rPr>
                <w:noProof/>
              </w:rPr>
              <w:t>Uzstādītas digitālās izglītības laboratorijas</w:t>
            </w:r>
          </w:p>
        </w:tc>
        <w:tc>
          <w:tcPr>
            <w:tcW w:w="1275" w:type="dxa"/>
            <w:shd w:val="clear" w:color="auto" w:fill="C4EFCE"/>
            <w:noWrap/>
            <w:vAlign w:val="center"/>
            <w:hideMark/>
          </w:tcPr>
          <w:p w14:paraId="3057EB2E"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E61E26"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121F7ADD"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5CB928B4" w14:textId="77777777" w:rsidR="00776A1F" w:rsidRDefault="00D8574B">
            <w:pPr>
              <w:pStyle w:val="P68B1DB1-Normal8"/>
              <w:spacing w:after="0" w:line="240" w:lineRule="auto"/>
              <w:jc w:val="center"/>
              <w:rPr>
                <w:rFonts w:eastAsia="Times New Roman" w:cs="Calibri"/>
                <w:noProof/>
              </w:rPr>
            </w:pPr>
            <w:r>
              <w:rPr>
                <w:noProof/>
              </w:rPr>
              <w:t>1 300</w:t>
            </w:r>
          </w:p>
        </w:tc>
        <w:tc>
          <w:tcPr>
            <w:tcW w:w="567" w:type="dxa"/>
            <w:shd w:val="clear" w:color="auto" w:fill="C4EFCE"/>
            <w:noWrap/>
            <w:vAlign w:val="center"/>
            <w:hideMark/>
          </w:tcPr>
          <w:p w14:paraId="465B78FA"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3E3CE4C3" w14:textId="7A64BB4D"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120F3CB" w14:textId="77777777" w:rsidR="00776A1F" w:rsidRDefault="00D8574B">
            <w:pPr>
              <w:pStyle w:val="P68B1DB1-Normal8"/>
              <w:spacing w:after="0" w:line="240" w:lineRule="auto"/>
              <w:jc w:val="both"/>
              <w:rPr>
                <w:rFonts w:eastAsia="Times New Roman" w:cs="Calibri"/>
                <w:noProof/>
              </w:rPr>
            </w:pPr>
            <w:r>
              <w:rPr>
                <w:noProof/>
              </w:rPr>
              <w:t>Jaunu digitālās izglītības laboratoriju skaits, kas uzstādītas Portugāles pamatskolās un vidusskolās ar specializētu projektu aprīkojumu, piemēram, robotikas komplektiem, 3D printeriem, mērīšanas un testēšanas iekārtām, dažādiem rīkiem, izstrādes un simulācijas moduļiem, elektroniskiem komponentiem, lāzera ierakstīšanas un griešanas mašīnām vai citām iekārtām, lai izstrādātu un pavairotu eksperimentālos datošanas, programmēšanas un robotikas klubus.</w:t>
            </w:r>
          </w:p>
        </w:tc>
      </w:tr>
      <w:tr w:rsidR="00776A1F" w14:paraId="39151C53" w14:textId="77777777">
        <w:trPr>
          <w:trHeight w:val="300"/>
        </w:trPr>
        <w:tc>
          <w:tcPr>
            <w:tcW w:w="1135" w:type="dxa"/>
            <w:shd w:val="clear" w:color="auto" w:fill="C4EFCE"/>
            <w:vAlign w:val="center"/>
            <w:hideMark/>
          </w:tcPr>
          <w:p w14:paraId="26EC845C" w14:textId="77777777" w:rsidR="00776A1F" w:rsidRDefault="00D8574B">
            <w:pPr>
              <w:pStyle w:val="P68B1DB1-Normal7"/>
              <w:spacing w:after="0" w:line="240" w:lineRule="auto"/>
              <w:jc w:val="center"/>
              <w:rPr>
                <w:rFonts w:eastAsia="Times New Roman" w:cs="Calibri"/>
                <w:noProof/>
              </w:rPr>
            </w:pPr>
            <w:r>
              <w:rPr>
                <w:noProof/>
              </w:rPr>
              <w:t>20.6</w:t>
            </w:r>
          </w:p>
        </w:tc>
        <w:tc>
          <w:tcPr>
            <w:tcW w:w="1276" w:type="dxa"/>
            <w:shd w:val="clear" w:color="auto" w:fill="C4EFCE"/>
            <w:noWrap/>
            <w:vAlign w:val="center"/>
            <w:hideMark/>
          </w:tcPr>
          <w:p w14:paraId="5A9E807B"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0DB3DE55"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86508B8" w14:textId="77777777" w:rsidR="00776A1F" w:rsidRDefault="00D8574B">
            <w:pPr>
              <w:pStyle w:val="P68B1DB1-Normal8"/>
              <w:spacing w:after="0" w:line="240" w:lineRule="auto"/>
              <w:jc w:val="center"/>
              <w:rPr>
                <w:rFonts w:eastAsia="Times New Roman" w:cs="Calibri"/>
                <w:noProof/>
              </w:rPr>
            </w:pPr>
            <w:r>
              <w:rPr>
                <w:noProof/>
              </w:rPr>
              <w:t>Klases ar jaunu projicēšanas aprīkojumu</w:t>
            </w:r>
          </w:p>
        </w:tc>
        <w:tc>
          <w:tcPr>
            <w:tcW w:w="1275" w:type="dxa"/>
            <w:shd w:val="clear" w:color="auto" w:fill="C4EFCE"/>
            <w:noWrap/>
            <w:vAlign w:val="center"/>
            <w:hideMark/>
          </w:tcPr>
          <w:p w14:paraId="670C4A44"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D8A0139"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125DBE7A"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1610ED6" w14:textId="77777777" w:rsidR="00776A1F" w:rsidRDefault="00D8574B">
            <w:pPr>
              <w:pStyle w:val="P68B1DB1-Normal8"/>
              <w:spacing w:after="0" w:line="240" w:lineRule="auto"/>
              <w:jc w:val="center"/>
              <w:rPr>
                <w:rFonts w:eastAsia="Times New Roman" w:cs="Calibri"/>
                <w:noProof/>
              </w:rPr>
            </w:pPr>
            <w:r>
              <w:rPr>
                <w:noProof/>
              </w:rPr>
              <w:t>40 000</w:t>
            </w:r>
          </w:p>
        </w:tc>
        <w:tc>
          <w:tcPr>
            <w:tcW w:w="567" w:type="dxa"/>
            <w:shd w:val="clear" w:color="auto" w:fill="C4EFCE"/>
            <w:noWrap/>
            <w:vAlign w:val="center"/>
            <w:hideMark/>
          </w:tcPr>
          <w:p w14:paraId="7382EA47" w14:textId="057266D2" w:rsidR="00776A1F" w:rsidRDefault="00D8574B">
            <w:pPr>
              <w:pStyle w:val="P68B1DB1-Normal8"/>
              <w:spacing w:after="0" w:line="240" w:lineRule="auto"/>
              <w:jc w:val="center"/>
              <w:rPr>
                <w:rFonts w:eastAsia="Times New Roman" w:cs="Calibri"/>
                <w:noProof/>
              </w:rPr>
            </w:pPr>
            <w:r>
              <w:rPr>
                <w:noProof/>
              </w:rPr>
              <w:t>2. CET.</w:t>
            </w:r>
          </w:p>
        </w:tc>
        <w:tc>
          <w:tcPr>
            <w:tcW w:w="708" w:type="dxa"/>
            <w:shd w:val="clear" w:color="auto" w:fill="C4EFCE"/>
            <w:noWrap/>
            <w:vAlign w:val="center"/>
            <w:hideMark/>
          </w:tcPr>
          <w:p w14:paraId="00628B06" w14:textId="10DF44DB"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5F7C27F0" w14:textId="77777777" w:rsidR="00776A1F" w:rsidRDefault="00D8574B">
            <w:pPr>
              <w:pStyle w:val="P68B1DB1-Normal8"/>
              <w:spacing w:after="0" w:line="240" w:lineRule="auto"/>
              <w:jc w:val="both"/>
              <w:rPr>
                <w:rFonts w:eastAsia="Times New Roman" w:cs="Calibri"/>
                <w:noProof/>
              </w:rPr>
            </w:pPr>
            <w:r>
              <w:rPr>
                <w:noProof/>
              </w:rPr>
              <w:t xml:space="preserve">Mācību telpu skaits pamatskolās un vidusskolās ar jaunu projicēšanas aprīkojumu </w:t>
            </w:r>
          </w:p>
        </w:tc>
      </w:tr>
      <w:tr w:rsidR="00776A1F" w14:paraId="651A2DB2" w14:textId="77777777">
        <w:trPr>
          <w:trHeight w:val="850"/>
        </w:trPr>
        <w:tc>
          <w:tcPr>
            <w:tcW w:w="1135" w:type="dxa"/>
            <w:shd w:val="clear" w:color="auto" w:fill="C4EFCE"/>
            <w:vAlign w:val="center"/>
            <w:hideMark/>
          </w:tcPr>
          <w:p w14:paraId="79EC60DC" w14:textId="77777777" w:rsidR="00776A1F" w:rsidRDefault="00D8574B">
            <w:pPr>
              <w:pStyle w:val="P68B1DB1-Normal7"/>
              <w:spacing w:after="0" w:line="240" w:lineRule="auto"/>
              <w:jc w:val="center"/>
              <w:rPr>
                <w:rFonts w:eastAsia="Times New Roman" w:cs="Calibri"/>
                <w:noProof/>
              </w:rPr>
            </w:pPr>
            <w:r>
              <w:rPr>
                <w:noProof/>
              </w:rPr>
              <w:t>20.7</w:t>
            </w:r>
          </w:p>
        </w:tc>
        <w:tc>
          <w:tcPr>
            <w:tcW w:w="1276" w:type="dxa"/>
            <w:shd w:val="clear" w:color="auto" w:fill="C4EFCE"/>
            <w:noWrap/>
            <w:vAlign w:val="center"/>
            <w:hideMark/>
          </w:tcPr>
          <w:p w14:paraId="7C4CC769"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88B1223"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3A074" w14:textId="77777777" w:rsidR="00776A1F" w:rsidRDefault="00D8574B">
            <w:pPr>
              <w:pStyle w:val="P68B1DB1-Normal8"/>
              <w:spacing w:after="0" w:line="240" w:lineRule="auto"/>
              <w:jc w:val="center"/>
              <w:rPr>
                <w:rFonts w:eastAsia="Times New Roman" w:cs="Calibri"/>
                <w:noProof/>
              </w:rPr>
            </w:pPr>
            <w:r>
              <w:rPr>
                <w:noProof/>
              </w:rPr>
              <w:t>Skolu vadības iespēju palielināšana</w:t>
            </w:r>
          </w:p>
        </w:tc>
        <w:tc>
          <w:tcPr>
            <w:tcW w:w="1275" w:type="dxa"/>
            <w:shd w:val="clear" w:color="auto" w:fill="C4EFCE"/>
            <w:noWrap/>
            <w:vAlign w:val="center"/>
            <w:hideMark/>
          </w:tcPr>
          <w:p w14:paraId="0F6F76E2"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306F94" w14:textId="77777777" w:rsidR="00776A1F" w:rsidRDefault="00D8574B">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57355270" w14:textId="77777777" w:rsidR="00776A1F" w:rsidRDefault="00D8574B">
            <w:pPr>
              <w:pStyle w:val="P68B1DB1-Normal8"/>
              <w:spacing w:after="0" w:line="240" w:lineRule="auto"/>
              <w:jc w:val="center"/>
              <w:rPr>
                <w:rFonts w:eastAsia="Times New Roman" w:cs="Calibri"/>
                <w:noProof/>
              </w:rPr>
            </w:pPr>
            <w:r>
              <w:rPr>
                <w:noProof/>
              </w:rPr>
              <w:t>30</w:t>
            </w:r>
          </w:p>
        </w:tc>
        <w:tc>
          <w:tcPr>
            <w:tcW w:w="992" w:type="dxa"/>
            <w:shd w:val="clear" w:color="auto" w:fill="C4EFCE"/>
            <w:noWrap/>
            <w:vAlign w:val="center"/>
            <w:hideMark/>
          </w:tcPr>
          <w:p w14:paraId="33A86C14" w14:textId="77777777" w:rsidR="00776A1F" w:rsidRDefault="00D8574B">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5F47097D"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4343F287"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0BBF106" w14:textId="71A22BCD" w:rsidR="00776A1F" w:rsidRDefault="00D8574B">
            <w:pPr>
              <w:pStyle w:val="P68B1DB1-Normal8"/>
              <w:spacing w:after="0" w:line="240" w:lineRule="auto"/>
              <w:jc w:val="both"/>
              <w:rPr>
                <w:rFonts w:eastAsia="Times New Roman" w:cs="Calibri"/>
                <w:noProof/>
              </w:rPr>
            </w:pPr>
            <w:r>
              <w:rPr>
                <w:noProof/>
              </w:rPr>
              <w:t>To Portugāles pamatskolu un vidusskolu procentuālā daļa, kuras 1) ir pieņēmušas vienotu identitāšu sistēmu; Saistīts ar Izglītības ministrijas Izglītības vadības informācijas sistēmām un 3) pieņēma sistēmu School 360, kas ietver 15000 datoru piegādi skolu vadības darbībām.</w:t>
            </w:r>
          </w:p>
        </w:tc>
      </w:tr>
      <w:tr w:rsidR="00776A1F" w14:paraId="3EE0A428" w14:textId="77777777">
        <w:trPr>
          <w:trHeight w:val="430"/>
        </w:trPr>
        <w:tc>
          <w:tcPr>
            <w:tcW w:w="1135" w:type="dxa"/>
            <w:shd w:val="clear" w:color="auto" w:fill="C4EFCE"/>
            <w:vAlign w:val="center"/>
            <w:hideMark/>
          </w:tcPr>
          <w:p w14:paraId="3858008C" w14:textId="77777777" w:rsidR="00776A1F" w:rsidRDefault="00D8574B">
            <w:pPr>
              <w:pStyle w:val="P68B1DB1-Normal7"/>
              <w:spacing w:after="0" w:line="240" w:lineRule="auto"/>
              <w:jc w:val="center"/>
              <w:rPr>
                <w:rFonts w:eastAsia="Times New Roman" w:cs="Calibri"/>
                <w:noProof/>
              </w:rPr>
            </w:pPr>
            <w:r>
              <w:rPr>
                <w:noProof/>
              </w:rPr>
              <w:t>20.8</w:t>
            </w:r>
          </w:p>
        </w:tc>
        <w:tc>
          <w:tcPr>
            <w:tcW w:w="1276" w:type="dxa"/>
            <w:shd w:val="clear" w:color="auto" w:fill="C4EFCE"/>
            <w:noWrap/>
            <w:vAlign w:val="center"/>
            <w:hideMark/>
          </w:tcPr>
          <w:p w14:paraId="2319D081"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060AFF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84A8A8B" w14:textId="77777777" w:rsidR="00776A1F" w:rsidRDefault="00D8574B">
            <w:pPr>
              <w:pStyle w:val="P68B1DB1-Normal8"/>
              <w:spacing w:after="0" w:line="240" w:lineRule="auto"/>
              <w:jc w:val="center"/>
              <w:rPr>
                <w:rFonts w:eastAsia="Times New Roman" w:cs="Calibri"/>
                <w:noProof/>
              </w:rPr>
            </w:pPr>
            <w:r>
              <w:rPr>
                <w:noProof/>
              </w:rPr>
              <w:t>Digitālie izglītības resursi</w:t>
            </w:r>
          </w:p>
        </w:tc>
        <w:tc>
          <w:tcPr>
            <w:tcW w:w="1275" w:type="dxa"/>
            <w:shd w:val="clear" w:color="auto" w:fill="C4EFCE"/>
            <w:noWrap/>
            <w:vAlign w:val="center"/>
            <w:hideMark/>
          </w:tcPr>
          <w:p w14:paraId="2EB1AFBE"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AFDD2B" w14:textId="77777777" w:rsidR="00776A1F" w:rsidRDefault="00D8574B">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02C4AFF6"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E9F353A" w14:textId="77777777" w:rsidR="00776A1F" w:rsidRDefault="00D8574B">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4CC9C924"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436371A"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ECD628" w14:textId="77777777" w:rsidR="00776A1F" w:rsidRDefault="00D8574B">
            <w:pPr>
              <w:pStyle w:val="P68B1DB1-Normal8"/>
              <w:spacing w:after="0" w:line="240" w:lineRule="auto"/>
              <w:jc w:val="both"/>
              <w:rPr>
                <w:rFonts w:eastAsia="Times New Roman" w:cs="Calibri"/>
                <w:noProof/>
              </w:rPr>
            </w:pPr>
            <w:r>
              <w:rPr>
                <w:noProof/>
              </w:rPr>
              <w:t>To priekšmetu procentuālā daļa pamatizglītības un vidējās izglītības programmās, tostarp fiziskajā izglītībā un sportā, attiecībā uz kuriem ir pabeigta digitālo izglītības resursu ražošana.</w:t>
            </w:r>
          </w:p>
        </w:tc>
      </w:tr>
      <w:tr w:rsidR="00776A1F" w14:paraId="6583B735" w14:textId="77777777">
        <w:trPr>
          <w:trHeight w:val="300"/>
        </w:trPr>
        <w:tc>
          <w:tcPr>
            <w:tcW w:w="1135" w:type="dxa"/>
            <w:shd w:val="clear" w:color="auto" w:fill="C4EFCE"/>
            <w:vAlign w:val="center"/>
            <w:hideMark/>
          </w:tcPr>
          <w:p w14:paraId="4B067463" w14:textId="77777777" w:rsidR="00776A1F" w:rsidRDefault="00D8574B">
            <w:pPr>
              <w:pStyle w:val="P68B1DB1-Normal7"/>
              <w:spacing w:after="0" w:line="240" w:lineRule="auto"/>
              <w:jc w:val="center"/>
              <w:rPr>
                <w:rFonts w:eastAsia="Times New Roman" w:cs="Calibri"/>
                <w:noProof/>
              </w:rPr>
            </w:pPr>
            <w:r>
              <w:rPr>
                <w:noProof/>
              </w:rPr>
              <w:t>20.9</w:t>
            </w:r>
          </w:p>
        </w:tc>
        <w:tc>
          <w:tcPr>
            <w:tcW w:w="1276" w:type="dxa"/>
            <w:shd w:val="clear" w:color="auto" w:fill="C4EFCE"/>
            <w:noWrap/>
            <w:vAlign w:val="center"/>
            <w:hideMark/>
          </w:tcPr>
          <w:p w14:paraId="51ABDC58" w14:textId="77777777" w:rsidR="00776A1F" w:rsidRDefault="00D8574B">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493108C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2A1726" w14:textId="77777777" w:rsidR="00776A1F" w:rsidRDefault="00D8574B">
            <w:pPr>
              <w:pStyle w:val="P68B1DB1-Normal8"/>
              <w:spacing w:after="0" w:line="240" w:lineRule="auto"/>
              <w:jc w:val="center"/>
              <w:rPr>
                <w:rFonts w:eastAsia="Times New Roman" w:cs="Calibri"/>
                <w:noProof/>
              </w:rPr>
            </w:pPr>
            <w:r>
              <w:rPr>
                <w:noProof/>
              </w:rPr>
              <w:t xml:space="preserve">Digitālie testi un eksāmeni skolās </w:t>
            </w:r>
          </w:p>
        </w:tc>
        <w:tc>
          <w:tcPr>
            <w:tcW w:w="1275" w:type="dxa"/>
            <w:shd w:val="clear" w:color="auto" w:fill="C4EFCE"/>
            <w:noWrap/>
            <w:vAlign w:val="center"/>
            <w:hideMark/>
          </w:tcPr>
          <w:p w14:paraId="5EC705BD"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4340419" w14:textId="77777777" w:rsidR="00776A1F" w:rsidRDefault="00D8574B">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2A8DDDCB" w14:textId="77777777" w:rsidR="00776A1F" w:rsidRDefault="00D8574B">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1F827CC1" w14:textId="77777777" w:rsidR="00776A1F" w:rsidRDefault="00D8574B">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BF8C0F1"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410ECCAB"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FCEA458" w14:textId="77777777" w:rsidR="00776A1F" w:rsidRDefault="00D8574B">
            <w:pPr>
              <w:pStyle w:val="P68B1DB1-Normal8"/>
              <w:spacing w:after="0" w:line="240" w:lineRule="auto"/>
              <w:jc w:val="both"/>
              <w:rPr>
                <w:rFonts w:eastAsia="Times New Roman" w:cs="Calibri"/>
                <w:noProof/>
              </w:rPr>
            </w:pPr>
            <w:r>
              <w:rPr>
                <w:noProof/>
              </w:rPr>
              <w:t>To skolas gala punktu pārbaudījumu un pārbaudījumu procentuālā daļa, kas ir digitalizēti.</w:t>
            </w:r>
          </w:p>
        </w:tc>
      </w:tr>
      <w:tr w:rsidR="00776A1F" w14:paraId="1835F478" w14:textId="77777777">
        <w:trPr>
          <w:trHeight w:val="640"/>
        </w:trPr>
        <w:tc>
          <w:tcPr>
            <w:tcW w:w="1135" w:type="dxa"/>
            <w:shd w:val="clear" w:color="auto" w:fill="C4EFCE"/>
            <w:vAlign w:val="center"/>
            <w:hideMark/>
          </w:tcPr>
          <w:p w14:paraId="0918542F" w14:textId="77777777" w:rsidR="00776A1F" w:rsidRDefault="00D8574B">
            <w:pPr>
              <w:pStyle w:val="P68B1DB1-Normal7"/>
              <w:spacing w:after="0" w:line="240" w:lineRule="auto"/>
              <w:jc w:val="center"/>
              <w:rPr>
                <w:rFonts w:eastAsia="Times New Roman" w:cs="Calibri"/>
                <w:noProof/>
              </w:rPr>
            </w:pPr>
            <w:r>
              <w:rPr>
                <w:noProof/>
              </w:rPr>
              <w:t>20.10</w:t>
            </w:r>
          </w:p>
        </w:tc>
        <w:tc>
          <w:tcPr>
            <w:tcW w:w="1276" w:type="dxa"/>
            <w:shd w:val="clear" w:color="auto" w:fill="C4EFCE"/>
            <w:noWrap/>
            <w:vAlign w:val="center"/>
            <w:hideMark/>
          </w:tcPr>
          <w:p w14:paraId="05624015" w14:textId="77777777" w:rsidR="00776A1F" w:rsidRDefault="00D8574B">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2541112A"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3C4030" w14:textId="77777777" w:rsidR="00776A1F" w:rsidRDefault="00D8574B">
            <w:pPr>
              <w:pStyle w:val="P68B1DB1-Normal8"/>
              <w:spacing w:after="0" w:line="240" w:lineRule="auto"/>
              <w:jc w:val="center"/>
              <w:rPr>
                <w:rFonts w:eastAsia="Times New Roman" w:cs="Calibri"/>
                <w:noProof/>
              </w:rPr>
            </w:pPr>
            <w:r>
              <w:rPr>
                <w:noProof/>
              </w:rPr>
              <w:t>Plaši atvērti tiešsaistes kursi skolotājiem un vecākiem ARA</w:t>
            </w:r>
          </w:p>
        </w:tc>
        <w:tc>
          <w:tcPr>
            <w:tcW w:w="1275" w:type="dxa"/>
            <w:shd w:val="clear" w:color="auto" w:fill="C4EFCE"/>
            <w:noWrap/>
            <w:vAlign w:val="center"/>
            <w:hideMark/>
          </w:tcPr>
          <w:p w14:paraId="3E7759AA"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3B79BA3" w14:textId="77777777" w:rsidR="00776A1F" w:rsidRDefault="00D8574B">
            <w:pPr>
              <w:pStyle w:val="P68B1DB1-Normal8"/>
              <w:spacing w:after="0" w:line="240" w:lineRule="auto"/>
              <w:jc w:val="center"/>
              <w:rPr>
                <w:rFonts w:eastAsia="Times New Roman" w:cs="Calibri"/>
                <w:noProof/>
              </w:rPr>
            </w:pPr>
            <w:r>
              <w:rPr>
                <w:noProof/>
              </w:rPr>
              <w:t> Skaits</w:t>
            </w:r>
          </w:p>
        </w:tc>
        <w:tc>
          <w:tcPr>
            <w:tcW w:w="992" w:type="dxa"/>
            <w:shd w:val="clear" w:color="auto" w:fill="C4EFCE"/>
            <w:noWrap/>
            <w:vAlign w:val="center"/>
            <w:hideMark/>
          </w:tcPr>
          <w:p w14:paraId="35DA7DA1" w14:textId="77777777" w:rsidR="00776A1F" w:rsidRDefault="00D8574B">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1A1252EC" w14:textId="77777777" w:rsidR="00776A1F" w:rsidRDefault="00D8574B">
            <w:pPr>
              <w:pStyle w:val="P68B1DB1-Normal8"/>
              <w:spacing w:after="0" w:line="240" w:lineRule="auto"/>
              <w:jc w:val="center"/>
              <w:rPr>
                <w:rFonts w:eastAsia="Times New Roman" w:cs="Calibri"/>
                <w:noProof/>
              </w:rPr>
            </w:pPr>
            <w:r>
              <w:rPr>
                <w:noProof/>
              </w:rPr>
              <w:t>4 </w:t>
            </w:r>
          </w:p>
        </w:tc>
        <w:tc>
          <w:tcPr>
            <w:tcW w:w="567" w:type="dxa"/>
            <w:shd w:val="clear" w:color="auto" w:fill="C4EFCE"/>
            <w:noWrap/>
            <w:vAlign w:val="center"/>
            <w:hideMark/>
          </w:tcPr>
          <w:p w14:paraId="4C03DB82"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4B08F7C5"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32162FD6" w14:textId="1657A217" w:rsidR="00776A1F" w:rsidRDefault="00D8574B">
            <w:pPr>
              <w:pStyle w:val="P68B1DB1-Normal8"/>
              <w:spacing w:after="0" w:line="240" w:lineRule="auto"/>
              <w:jc w:val="both"/>
              <w:rPr>
                <w:rFonts w:eastAsia="Times New Roman" w:cs="Calibri"/>
                <w:noProof/>
              </w:rPr>
            </w:pPr>
            <w:r>
              <w:rPr>
                <w:noProof/>
              </w:rPr>
              <w:t>Tādu masveida atvērto tiešsaistes kursu (MOOC) skaits, kas izveidoti, lai veicinātu digitālo prasmju attīstību klasē un tālmācībā, tostarp nodrošinot pamācības un digitālo kompetenču iepirkuma portālu. MOOC ir pieejami tiešsaistē un ir brīvi pieejami skolotājiem un skolēnu vecākiem.</w:t>
            </w:r>
          </w:p>
        </w:tc>
      </w:tr>
      <w:tr w:rsidR="00776A1F" w14:paraId="460A159F" w14:textId="77777777">
        <w:trPr>
          <w:trHeight w:val="430"/>
        </w:trPr>
        <w:tc>
          <w:tcPr>
            <w:tcW w:w="1135" w:type="dxa"/>
            <w:shd w:val="clear" w:color="auto" w:fill="C4EFCE"/>
            <w:vAlign w:val="center"/>
            <w:hideMark/>
          </w:tcPr>
          <w:p w14:paraId="68F05D42" w14:textId="77777777" w:rsidR="00776A1F" w:rsidRDefault="00D8574B">
            <w:pPr>
              <w:pStyle w:val="P68B1DB1-Normal7"/>
              <w:spacing w:after="0" w:line="240" w:lineRule="auto"/>
              <w:jc w:val="center"/>
              <w:rPr>
                <w:rFonts w:eastAsia="Times New Roman" w:cs="Calibri"/>
                <w:noProof/>
              </w:rPr>
            </w:pPr>
            <w:r>
              <w:rPr>
                <w:noProof/>
              </w:rPr>
              <w:t>20.11</w:t>
            </w:r>
          </w:p>
        </w:tc>
        <w:tc>
          <w:tcPr>
            <w:tcW w:w="1276" w:type="dxa"/>
            <w:shd w:val="clear" w:color="auto" w:fill="C4EFCE"/>
            <w:noWrap/>
            <w:vAlign w:val="center"/>
            <w:hideMark/>
          </w:tcPr>
          <w:p w14:paraId="6836999F" w14:textId="77777777" w:rsidR="00776A1F" w:rsidRDefault="00D8574B">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11B05124"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4258687" w14:textId="77777777" w:rsidR="00776A1F" w:rsidRDefault="00D8574B">
            <w:pPr>
              <w:pStyle w:val="P68B1DB1-Normal8"/>
              <w:spacing w:after="0" w:line="240" w:lineRule="auto"/>
              <w:jc w:val="center"/>
              <w:rPr>
                <w:rFonts w:eastAsia="Times New Roman" w:cs="Calibri"/>
                <w:noProof/>
              </w:rPr>
            </w:pPr>
            <w:r>
              <w:rPr>
                <w:noProof/>
              </w:rPr>
              <w:t>Jauni klēpjdatori un planšetdatori skolām ARA</w:t>
            </w:r>
          </w:p>
        </w:tc>
        <w:tc>
          <w:tcPr>
            <w:tcW w:w="1275" w:type="dxa"/>
            <w:shd w:val="clear" w:color="auto" w:fill="C4EFCE"/>
            <w:noWrap/>
            <w:vAlign w:val="center"/>
            <w:hideMark/>
          </w:tcPr>
          <w:p w14:paraId="1EA6C894"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99FF1" w14:textId="77777777" w:rsidR="00776A1F" w:rsidRDefault="00D8574B">
            <w:pPr>
              <w:pStyle w:val="P68B1DB1-Normal8"/>
              <w:spacing w:after="0" w:line="240" w:lineRule="auto"/>
              <w:jc w:val="center"/>
              <w:rPr>
                <w:rFonts w:eastAsia="Times New Roman" w:cs="Calibri"/>
                <w:noProof/>
              </w:rPr>
            </w:pPr>
            <w:r>
              <w:rPr>
                <w:noProof/>
              </w:rPr>
              <w:t> Skaits</w:t>
            </w:r>
          </w:p>
        </w:tc>
        <w:tc>
          <w:tcPr>
            <w:tcW w:w="992" w:type="dxa"/>
            <w:shd w:val="clear" w:color="auto" w:fill="C4EFCE"/>
            <w:noWrap/>
            <w:vAlign w:val="center"/>
            <w:hideMark/>
          </w:tcPr>
          <w:p w14:paraId="1229DA03" w14:textId="77777777" w:rsidR="00776A1F" w:rsidRDefault="00D8574B">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A9D697F" w14:textId="606152BC" w:rsidR="00776A1F" w:rsidRDefault="00D8574B">
            <w:pPr>
              <w:pStyle w:val="P68B1DB1-Normal8"/>
              <w:spacing w:after="0" w:line="240" w:lineRule="auto"/>
              <w:jc w:val="center"/>
              <w:rPr>
                <w:rFonts w:eastAsia="Times New Roman" w:cs="Calibri"/>
                <w:noProof/>
              </w:rPr>
            </w:pPr>
            <w:r>
              <w:rPr>
                <w:noProof/>
              </w:rPr>
              <w:t>31 900 </w:t>
            </w:r>
          </w:p>
        </w:tc>
        <w:tc>
          <w:tcPr>
            <w:tcW w:w="567" w:type="dxa"/>
            <w:shd w:val="clear" w:color="auto" w:fill="C4EFCE"/>
            <w:noWrap/>
            <w:vAlign w:val="center"/>
            <w:hideMark/>
          </w:tcPr>
          <w:p w14:paraId="33E5271F"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91A9F02"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D530C43" w14:textId="4454DA70" w:rsidR="00776A1F" w:rsidRDefault="00D8574B">
            <w:pPr>
              <w:pStyle w:val="P68B1DB1-Normal8"/>
              <w:spacing w:after="0" w:line="240" w:lineRule="auto"/>
              <w:jc w:val="both"/>
              <w:rPr>
                <w:rFonts w:eastAsia="Times New Roman" w:cs="Calibri"/>
                <w:noProof/>
                <w:highlight w:val="yellow"/>
              </w:rPr>
            </w:pPr>
            <w:r>
              <w:rPr>
                <w:noProof/>
              </w:rPr>
              <w:t xml:space="preserve">Jaunu klēpjdatoru un planšetdatoru skaits pirmsskolas, 2. un 2. cikla un vidējās izglītības jomā, </w:t>
            </w:r>
          </w:p>
        </w:tc>
      </w:tr>
      <w:tr w:rsidR="00776A1F" w14:paraId="717DE77B" w14:textId="77777777">
        <w:trPr>
          <w:trHeight w:val="420"/>
        </w:trPr>
        <w:tc>
          <w:tcPr>
            <w:tcW w:w="1135" w:type="dxa"/>
            <w:shd w:val="clear" w:color="auto" w:fill="C4EFCE"/>
            <w:vAlign w:val="center"/>
            <w:hideMark/>
          </w:tcPr>
          <w:p w14:paraId="0BEC3FD8" w14:textId="77777777" w:rsidR="00776A1F" w:rsidRDefault="00D8574B">
            <w:pPr>
              <w:pStyle w:val="P68B1DB1-Normal7"/>
              <w:spacing w:after="0" w:line="240" w:lineRule="auto"/>
              <w:jc w:val="center"/>
              <w:rPr>
                <w:rFonts w:eastAsia="Times New Roman" w:cs="Calibri"/>
                <w:noProof/>
              </w:rPr>
            </w:pPr>
            <w:r>
              <w:rPr>
                <w:noProof/>
              </w:rPr>
              <w:t>20.12</w:t>
            </w:r>
          </w:p>
        </w:tc>
        <w:tc>
          <w:tcPr>
            <w:tcW w:w="1276" w:type="dxa"/>
            <w:shd w:val="clear" w:color="auto" w:fill="C4EFCE"/>
            <w:noWrap/>
            <w:vAlign w:val="center"/>
            <w:hideMark/>
          </w:tcPr>
          <w:p w14:paraId="0159F519" w14:textId="77777777" w:rsidR="00776A1F" w:rsidRDefault="00D8574B">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1C7953"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6675CAB" w14:textId="77777777" w:rsidR="00776A1F" w:rsidRDefault="00D8574B">
            <w:pPr>
              <w:pStyle w:val="P68B1DB1-Normal8"/>
              <w:spacing w:after="0" w:line="240" w:lineRule="auto"/>
              <w:jc w:val="center"/>
              <w:rPr>
                <w:rFonts w:eastAsia="Times New Roman" w:cs="Calibri"/>
                <w:noProof/>
              </w:rPr>
            </w:pPr>
            <w:r>
              <w:rPr>
                <w:noProof/>
              </w:rPr>
              <w:t>ARA skolu digitālais aprīkojums un digitālie izglītības resursi</w:t>
            </w:r>
          </w:p>
        </w:tc>
        <w:tc>
          <w:tcPr>
            <w:tcW w:w="1275" w:type="dxa"/>
            <w:shd w:val="clear" w:color="auto" w:fill="C4EFCE"/>
            <w:noWrap/>
            <w:vAlign w:val="center"/>
            <w:hideMark/>
          </w:tcPr>
          <w:p w14:paraId="665AC058" w14:textId="77777777" w:rsidR="00776A1F" w:rsidRDefault="00D8574B">
            <w:pPr>
              <w:pStyle w:val="P68B1DB1-Normal8"/>
              <w:spacing w:after="0" w:line="240" w:lineRule="auto"/>
              <w:jc w:val="center"/>
              <w:rPr>
                <w:rFonts w:eastAsia="Times New Roman" w:cs="Calibri"/>
                <w:noProof/>
              </w:rPr>
            </w:pPr>
            <w:r>
              <w:rPr>
                <w:noProof/>
              </w:rPr>
              <w:t>Digitālā aprīkojuma un digitālo izglītības resursu piegāde ARA skolām </w:t>
            </w:r>
          </w:p>
        </w:tc>
        <w:tc>
          <w:tcPr>
            <w:tcW w:w="993" w:type="dxa"/>
            <w:shd w:val="clear" w:color="auto" w:fill="C4EFCE"/>
            <w:noWrap/>
            <w:vAlign w:val="center"/>
            <w:hideMark/>
          </w:tcPr>
          <w:p w14:paraId="4291E0F6"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17013E8"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B8A39D" w14:textId="77777777" w:rsidR="00776A1F" w:rsidRDefault="00D8574B">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D69B374"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2B160E88"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FB45933" w14:textId="4CC70D9C" w:rsidR="00776A1F" w:rsidRDefault="00D8574B">
            <w:pPr>
              <w:pStyle w:val="P68B1DB1-Normal8"/>
              <w:spacing w:after="0" w:line="240" w:lineRule="auto"/>
              <w:jc w:val="both"/>
              <w:rPr>
                <w:rFonts w:eastAsia="Times New Roman" w:cs="Calibri"/>
                <w:noProof/>
              </w:rPr>
            </w:pPr>
            <w:r>
              <w:rPr>
                <w:noProof/>
              </w:rPr>
              <w:t xml:space="preserve">Šāda digitālā aprīkojuma izplatīšanas pabeigšana Azoru salu autonomā reģiona skolām: vismaz 1 Gbps interneta pieslēgums 95 % skolu, 1080 jauni interaktīvie ekrāni, 100 jaunas specializētas laboratorijas iekārtas, 100 jauni 3D printeri, 150 jauni izglītības roboti. Turklāt visas publiskās skolas un četras privātās skolas piedāvā digitālas rokasgrāmatas visiem skolēniem. Tiek iegādāti un uzstādīti 1500 slēdži un APS. </w:t>
            </w:r>
          </w:p>
          <w:p w14:paraId="08384363" w14:textId="6F1DA79E" w:rsidR="00776A1F" w:rsidRDefault="00776A1F">
            <w:pPr>
              <w:spacing w:after="0" w:line="240" w:lineRule="auto"/>
              <w:jc w:val="both"/>
              <w:rPr>
                <w:rFonts w:ascii="Calibri" w:eastAsia="Times New Roman" w:hAnsi="Calibri" w:cs="Calibri"/>
                <w:noProof/>
                <w:sz w:val="16"/>
              </w:rPr>
            </w:pPr>
          </w:p>
        </w:tc>
      </w:tr>
      <w:tr w:rsidR="00776A1F" w14:paraId="10C91F97" w14:textId="77777777">
        <w:trPr>
          <w:trHeight w:val="640"/>
        </w:trPr>
        <w:tc>
          <w:tcPr>
            <w:tcW w:w="1135" w:type="dxa"/>
            <w:shd w:val="clear" w:color="auto" w:fill="C4EFCE"/>
            <w:vAlign w:val="center"/>
            <w:hideMark/>
          </w:tcPr>
          <w:p w14:paraId="7E9B20A9" w14:textId="77777777" w:rsidR="00776A1F" w:rsidRDefault="00D8574B">
            <w:pPr>
              <w:pStyle w:val="P68B1DB1-Normal7"/>
              <w:spacing w:after="0" w:line="240" w:lineRule="auto"/>
              <w:jc w:val="center"/>
              <w:rPr>
                <w:rFonts w:eastAsia="Times New Roman" w:cs="Calibri"/>
                <w:noProof/>
              </w:rPr>
            </w:pPr>
            <w:r>
              <w:rPr>
                <w:noProof/>
              </w:rPr>
              <w:t>20.13</w:t>
            </w:r>
          </w:p>
        </w:tc>
        <w:tc>
          <w:tcPr>
            <w:tcW w:w="1276" w:type="dxa"/>
            <w:shd w:val="clear" w:color="auto" w:fill="C4EFCE"/>
            <w:noWrap/>
            <w:vAlign w:val="center"/>
            <w:hideMark/>
          </w:tcPr>
          <w:p w14:paraId="2040DD1F" w14:textId="77777777" w:rsidR="00776A1F" w:rsidRDefault="00D8574B">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6FAD20"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518DAD" w14:textId="77777777" w:rsidR="00776A1F" w:rsidRDefault="00D8574B">
            <w:pPr>
              <w:pStyle w:val="P68B1DB1-Normal8"/>
              <w:spacing w:after="0" w:line="240" w:lineRule="auto"/>
              <w:jc w:val="center"/>
              <w:rPr>
                <w:rFonts w:eastAsia="Times New Roman" w:cs="Calibri"/>
                <w:noProof/>
              </w:rPr>
            </w:pPr>
            <w:r>
              <w:rPr>
                <w:noProof/>
              </w:rPr>
              <w:t>Plaši atvērti tiešsaistes kursi skolotājiem un vecākiem ARA</w:t>
            </w:r>
          </w:p>
        </w:tc>
        <w:tc>
          <w:tcPr>
            <w:tcW w:w="1275" w:type="dxa"/>
            <w:shd w:val="clear" w:color="auto" w:fill="C4EFCE"/>
            <w:noWrap/>
            <w:vAlign w:val="center"/>
            <w:hideMark/>
          </w:tcPr>
          <w:p w14:paraId="39B4F2CD"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DD36ADA" w14:textId="77777777" w:rsidR="00776A1F" w:rsidRDefault="00D8574B">
            <w:pPr>
              <w:pStyle w:val="P68B1DB1-Normal8"/>
              <w:spacing w:after="0" w:line="240" w:lineRule="auto"/>
              <w:jc w:val="center"/>
              <w:rPr>
                <w:rFonts w:eastAsia="Times New Roman" w:cs="Calibri"/>
                <w:noProof/>
              </w:rPr>
            </w:pPr>
            <w:r>
              <w:rPr>
                <w:noProof/>
              </w:rPr>
              <w:t> Skaits</w:t>
            </w:r>
          </w:p>
        </w:tc>
        <w:tc>
          <w:tcPr>
            <w:tcW w:w="992" w:type="dxa"/>
            <w:shd w:val="clear" w:color="auto" w:fill="C4EFCE"/>
            <w:noWrap/>
            <w:vAlign w:val="center"/>
            <w:hideMark/>
          </w:tcPr>
          <w:p w14:paraId="62B718DE" w14:textId="77777777" w:rsidR="00776A1F" w:rsidRDefault="00D8574B">
            <w:pPr>
              <w:pStyle w:val="P68B1DB1-Normal8"/>
              <w:spacing w:after="0" w:line="240" w:lineRule="auto"/>
              <w:jc w:val="center"/>
              <w:rPr>
                <w:rFonts w:eastAsia="Times New Roman" w:cs="Calibri"/>
                <w:noProof/>
              </w:rPr>
            </w:pPr>
            <w:r>
              <w:rPr>
                <w:noProof/>
              </w:rPr>
              <w:t>4 </w:t>
            </w:r>
          </w:p>
        </w:tc>
        <w:tc>
          <w:tcPr>
            <w:tcW w:w="992" w:type="dxa"/>
            <w:shd w:val="clear" w:color="auto" w:fill="C4EFCE"/>
            <w:noWrap/>
            <w:vAlign w:val="center"/>
            <w:hideMark/>
          </w:tcPr>
          <w:p w14:paraId="2541D73D" w14:textId="77777777" w:rsidR="00776A1F" w:rsidRDefault="00D8574B">
            <w:pPr>
              <w:pStyle w:val="P68B1DB1-Normal8"/>
              <w:spacing w:after="0" w:line="240" w:lineRule="auto"/>
              <w:jc w:val="center"/>
              <w:rPr>
                <w:rFonts w:eastAsia="Times New Roman" w:cs="Calibri"/>
                <w:noProof/>
              </w:rPr>
            </w:pPr>
            <w:r>
              <w:rPr>
                <w:noProof/>
              </w:rPr>
              <w:t>24 </w:t>
            </w:r>
          </w:p>
        </w:tc>
        <w:tc>
          <w:tcPr>
            <w:tcW w:w="567" w:type="dxa"/>
            <w:shd w:val="clear" w:color="auto" w:fill="C4EFCE"/>
            <w:noWrap/>
            <w:vAlign w:val="center"/>
            <w:hideMark/>
          </w:tcPr>
          <w:p w14:paraId="69EB09C9"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8E360EC"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60A3612" w14:textId="32C24508" w:rsidR="00776A1F" w:rsidRDefault="00D8574B">
            <w:pPr>
              <w:pStyle w:val="P68B1DB1-Normal8"/>
              <w:spacing w:after="0" w:line="240" w:lineRule="auto"/>
              <w:jc w:val="both"/>
              <w:rPr>
                <w:rFonts w:eastAsia="Times New Roman" w:cs="Calibri"/>
                <w:noProof/>
              </w:rPr>
            </w:pPr>
            <w:r>
              <w:rPr>
                <w:noProof/>
              </w:rPr>
              <w:t>Tādu masveida atvērto tiešsaistes kursu (MOOC) skaits, kas izveidoti, lai veicinātu digitālo prasmju attīstību klasē un tālmācībā, tostarp nodrošinot pamācības un digitālo kompetenču iepirkuma portālu. MOOC ir pieejami tiešsaistē un ir brīvi pieejami skolotājiem un skolēnu vecākiem.</w:t>
            </w:r>
          </w:p>
        </w:tc>
      </w:tr>
      <w:tr w:rsidR="00776A1F" w14:paraId="1D223056" w14:textId="77777777">
        <w:trPr>
          <w:trHeight w:val="430"/>
        </w:trPr>
        <w:tc>
          <w:tcPr>
            <w:tcW w:w="1135" w:type="dxa"/>
            <w:shd w:val="clear" w:color="auto" w:fill="C4EFCE"/>
            <w:vAlign w:val="center"/>
            <w:hideMark/>
          </w:tcPr>
          <w:p w14:paraId="0ECDAF89" w14:textId="77777777" w:rsidR="00776A1F" w:rsidRDefault="00D8574B">
            <w:pPr>
              <w:pStyle w:val="P68B1DB1-Normal7"/>
              <w:spacing w:after="0" w:line="240" w:lineRule="auto"/>
              <w:jc w:val="center"/>
              <w:rPr>
                <w:rFonts w:eastAsia="Times New Roman" w:cs="Calibri"/>
                <w:noProof/>
              </w:rPr>
            </w:pPr>
            <w:r>
              <w:rPr>
                <w:noProof/>
              </w:rPr>
              <w:t>20.14</w:t>
            </w:r>
          </w:p>
        </w:tc>
        <w:tc>
          <w:tcPr>
            <w:tcW w:w="1276" w:type="dxa"/>
            <w:shd w:val="clear" w:color="auto" w:fill="C4EFCE"/>
            <w:noWrap/>
            <w:vAlign w:val="center"/>
            <w:hideMark/>
          </w:tcPr>
          <w:p w14:paraId="03D3DFC8" w14:textId="77777777" w:rsidR="00776A1F" w:rsidRDefault="00D8574B">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23CBA4B"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C3C9C2" w14:textId="77777777" w:rsidR="00776A1F" w:rsidRDefault="00D8574B">
            <w:pPr>
              <w:pStyle w:val="P68B1DB1-Normal8"/>
              <w:spacing w:after="0" w:line="240" w:lineRule="auto"/>
              <w:jc w:val="center"/>
              <w:rPr>
                <w:rFonts w:eastAsia="Times New Roman" w:cs="Calibri"/>
                <w:noProof/>
              </w:rPr>
            </w:pPr>
            <w:r>
              <w:rPr>
                <w:noProof/>
              </w:rPr>
              <w:t>Digitālās rokasgrāmatas otrā un trešā cikla skolēniem un vidusskolēniem</w:t>
            </w:r>
          </w:p>
        </w:tc>
        <w:tc>
          <w:tcPr>
            <w:tcW w:w="1275" w:type="dxa"/>
            <w:shd w:val="clear" w:color="auto" w:fill="C4EFCE"/>
            <w:noWrap/>
            <w:vAlign w:val="center"/>
            <w:hideMark/>
          </w:tcPr>
          <w:p w14:paraId="581FCA5A"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6A2C559"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3D79BB54" w14:textId="77777777" w:rsidR="00776A1F" w:rsidRDefault="00D8574B">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021450BF" w14:textId="77777777" w:rsidR="00776A1F" w:rsidRDefault="00D8574B">
            <w:pPr>
              <w:pStyle w:val="P68B1DB1-Normal8"/>
              <w:spacing w:after="0" w:line="240" w:lineRule="auto"/>
              <w:jc w:val="center"/>
              <w:rPr>
                <w:rFonts w:eastAsia="Times New Roman" w:cs="Calibri"/>
                <w:noProof/>
              </w:rPr>
            </w:pPr>
            <w:r>
              <w:rPr>
                <w:noProof/>
              </w:rPr>
              <w:t>5 120</w:t>
            </w:r>
          </w:p>
        </w:tc>
        <w:tc>
          <w:tcPr>
            <w:tcW w:w="567" w:type="dxa"/>
            <w:shd w:val="clear" w:color="auto" w:fill="C4EFCE"/>
            <w:noWrap/>
            <w:vAlign w:val="center"/>
            <w:hideMark/>
          </w:tcPr>
          <w:p w14:paraId="606A70F3"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6E7BF1A5" w14:textId="77777777" w:rsidR="00776A1F" w:rsidRDefault="00D8574B">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3F22FD8" w14:textId="77777777" w:rsidR="00776A1F" w:rsidRDefault="00D8574B">
            <w:pPr>
              <w:pStyle w:val="P68B1DB1-Normal8"/>
              <w:spacing w:after="0" w:line="240" w:lineRule="auto"/>
              <w:jc w:val="both"/>
              <w:rPr>
                <w:rFonts w:eastAsia="Times New Roman" w:cs="Calibri"/>
                <w:noProof/>
              </w:rPr>
            </w:pPr>
            <w:r>
              <w:rPr>
                <w:noProof/>
              </w:rPr>
              <w:t>To skolēnu skaits pamatizglītības un vidējās izglītības otrajā un trešajā ciklā, kuriem mācību gada laikā bija piekļuve digitālajam manuālajam komplektam AZS un kurš to izmantoja.</w:t>
            </w:r>
          </w:p>
        </w:tc>
      </w:tr>
      <w:tr w:rsidR="00776A1F" w14:paraId="1D717255" w14:textId="77777777">
        <w:trPr>
          <w:trHeight w:val="430"/>
        </w:trPr>
        <w:tc>
          <w:tcPr>
            <w:tcW w:w="1135" w:type="dxa"/>
            <w:shd w:val="clear" w:color="auto" w:fill="C4EFCE"/>
            <w:vAlign w:val="center"/>
            <w:hideMark/>
          </w:tcPr>
          <w:p w14:paraId="43A515EE" w14:textId="77777777" w:rsidR="00776A1F" w:rsidRDefault="00D8574B">
            <w:pPr>
              <w:pStyle w:val="P68B1DB1-Normal7"/>
              <w:spacing w:after="0" w:line="240" w:lineRule="auto"/>
              <w:jc w:val="center"/>
              <w:rPr>
                <w:rFonts w:eastAsia="Times New Roman" w:cs="Calibri"/>
                <w:noProof/>
              </w:rPr>
            </w:pPr>
            <w:r>
              <w:rPr>
                <w:noProof/>
              </w:rPr>
              <w:t>20.15</w:t>
            </w:r>
          </w:p>
        </w:tc>
        <w:tc>
          <w:tcPr>
            <w:tcW w:w="1276" w:type="dxa"/>
            <w:shd w:val="clear" w:color="auto" w:fill="C4EFCE"/>
            <w:noWrap/>
            <w:vAlign w:val="center"/>
            <w:hideMark/>
          </w:tcPr>
          <w:p w14:paraId="2F471844" w14:textId="77777777" w:rsidR="00776A1F" w:rsidRDefault="00D8574B">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557AA325"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CD1B65B" w14:textId="77777777" w:rsidR="00776A1F" w:rsidRDefault="00D8574B">
            <w:pPr>
              <w:pStyle w:val="P68B1DB1-Normal8"/>
              <w:spacing w:after="0" w:line="240" w:lineRule="auto"/>
              <w:jc w:val="center"/>
              <w:rPr>
                <w:rFonts w:eastAsia="Times New Roman" w:cs="Calibri"/>
                <w:noProof/>
              </w:rPr>
            </w:pPr>
            <w:r>
              <w:rPr>
                <w:noProof/>
              </w:rPr>
              <w:t>Skolu pieslēgums AZS</w:t>
            </w:r>
          </w:p>
        </w:tc>
        <w:tc>
          <w:tcPr>
            <w:tcW w:w="1275" w:type="dxa"/>
            <w:shd w:val="clear" w:color="auto" w:fill="C4EFCE"/>
            <w:noWrap/>
            <w:vAlign w:val="center"/>
            <w:hideMark/>
          </w:tcPr>
          <w:p w14:paraId="744D9AD2"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0395B5B" w14:textId="77777777" w:rsidR="00776A1F" w:rsidRDefault="00D8574B">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13728FA6" w14:textId="77777777" w:rsidR="00776A1F" w:rsidRDefault="00D8574B">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2CFD81C3" w14:textId="53F859A1" w:rsidR="00776A1F" w:rsidRDefault="00D8574B">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1467E0FF"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702F513A" w14:textId="77777777" w:rsidR="00776A1F" w:rsidRDefault="00D8574B">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2DA9518" w14:textId="77777777" w:rsidR="00776A1F" w:rsidRDefault="00D8574B">
            <w:pPr>
              <w:pStyle w:val="P68B1DB1-Normal8"/>
              <w:spacing w:after="0" w:line="240" w:lineRule="auto"/>
              <w:jc w:val="both"/>
              <w:rPr>
                <w:rFonts w:eastAsia="Times New Roman" w:cs="Calibri"/>
                <w:noProof/>
              </w:rPr>
            </w:pPr>
            <w:r>
              <w:rPr>
                <w:noProof/>
              </w:rPr>
              <w:t xml:space="preserve">To pamatskolu un vidusskolu īpatsvars AZM, kuras ir savienotas ar ARM strukturēto Wi-fi tīklu ar interneta pieslēgumu vismaz 1 Gb/s katrai skolai. </w:t>
            </w:r>
          </w:p>
          <w:p w14:paraId="3A29FC8E" w14:textId="4CC450DC" w:rsidR="00776A1F" w:rsidRDefault="00D8574B">
            <w:pPr>
              <w:pStyle w:val="P68B1DB1-Normal8"/>
              <w:spacing w:after="0" w:line="240" w:lineRule="auto"/>
              <w:jc w:val="both"/>
              <w:rPr>
                <w:rFonts w:eastAsia="Times New Roman" w:cs="Calibri"/>
                <w:noProof/>
              </w:rPr>
            </w:pPr>
            <w:r>
              <w:rPr>
                <w:noProof/>
              </w:rPr>
              <w:t xml:space="preserve">Turklāt desmit parastās privātās skolas un privātās un publiskās profesionālās skolas, kas tiks savienotas ar ARM strukturēto Wi-fi tīklu ar interneta pieslēgumu vismaz 1 Gb/s katrai skolai. </w:t>
            </w:r>
          </w:p>
          <w:p w14:paraId="624C1FEB" w14:textId="77CAAEB2" w:rsidR="00776A1F" w:rsidRDefault="00776A1F">
            <w:pPr>
              <w:spacing w:after="0" w:line="240" w:lineRule="auto"/>
              <w:jc w:val="both"/>
              <w:rPr>
                <w:rFonts w:ascii="Calibri" w:eastAsia="Times New Roman" w:hAnsi="Calibri" w:cs="Calibri"/>
                <w:noProof/>
                <w:sz w:val="16"/>
              </w:rPr>
            </w:pPr>
          </w:p>
        </w:tc>
      </w:tr>
      <w:tr w:rsidR="00776A1F" w14:paraId="1ED02672" w14:textId="77777777">
        <w:trPr>
          <w:trHeight w:val="430"/>
        </w:trPr>
        <w:tc>
          <w:tcPr>
            <w:tcW w:w="1135" w:type="dxa"/>
            <w:shd w:val="clear" w:color="auto" w:fill="C4EFCE"/>
            <w:vAlign w:val="center"/>
            <w:hideMark/>
          </w:tcPr>
          <w:p w14:paraId="243BF94D" w14:textId="77777777" w:rsidR="00776A1F" w:rsidRDefault="00D8574B">
            <w:pPr>
              <w:pStyle w:val="P68B1DB1-Normal7"/>
              <w:spacing w:after="0" w:line="240" w:lineRule="auto"/>
              <w:jc w:val="center"/>
              <w:rPr>
                <w:rFonts w:eastAsia="Times New Roman" w:cs="Calibri"/>
                <w:noProof/>
              </w:rPr>
            </w:pPr>
            <w:r>
              <w:rPr>
                <w:noProof/>
              </w:rPr>
              <w:t>20.16</w:t>
            </w:r>
          </w:p>
        </w:tc>
        <w:tc>
          <w:tcPr>
            <w:tcW w:w="1276" w:type="dxa"/>
            <w:shd w:val="clear" w:color="auto" w:fill="C4EFCE"/>
            <w:noWrap/>
            <w:vAlign w:val="center"/>
            <w:hideMark/>
          </w:tcPr>
          <w:p w14:paraId="2BD7D152" w14:textId="77777777" w:rsidR="00776A1F" w:rsidRDefault="00D8574B">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1186022C"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D0DFB1E" w14:textId="77777777" w:rsidR="00776A1F" w:rsidRDefault="00D8574B">
            <w:pPr>
              <w:pStyle w:val="P68B1DB1-Normal8"/>
              <w:spacing w:after="0" w:line="240" w:lineRule="auto"/>
              <w:jc w:val="center"/>
              <w:rPr>
                <w:rFonts w:eastAsia="Times New Roman" w:cs="Calibri"/>
                <w:noProof/>
              </w:rPr>
            </w:pPr>
            <w:r>
              <w:rPr>
                <w:noProof/>
              </w:rPr>
              <w:t>Digitālās rokasgrāmatas 2. un 3. cikla skolēniem un ARM vidusskolēniem</w:t>
            </w:r>
          </w:p>
        </w:tc>
        <w:tc>
          <w:tcPr>
            <w:tcW w:w="1275" w:type="dxa"/>
            <w:shd w:val="clear" w:color="auto" w:fill="C4EFCE"/>
            <w:noWrap/>
            <w:vAlign w:val="center"/>
            <w:hideMark/>
          </w:tcPr>
          <w:p w14:paraId="7C67A362"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3DF9D"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5CD64AFF" w14:textId="77777777" w:rsidR="00776A1F" w:rsidRDefault="00D8574B">
            <w:pPr>
              <w:pStyle w:val="P68B1DB1-Normal8"/>
              <w:spacing w:after="0" w:line="240" w:lineRule="auto"/>
              <w:jc w:val="center"/>
              <w:rPr>
                <w:rFonts w:eastAsia="Times New Roman" w:cs="Calibri"/>
                <w:noProof/>
              </w:rPr>
            </w:pPr>
            <w:r>
              <w:rPr>
                <w:noProof/>
              </w:rPr>
              <w:t> 5 120</w:t>
            </w:r>
          </w:p>
        </w:tc>
        <w:tc>
          <w:tcPr>
            <w:tcW w:w="992" w:type="dxa"/>
            <w:shd w:val="clear" w:color="auto" w:fill="C4EFCE"/>
            <w:noWrap/>
            <w:vAlign w:val="center"/>
            <w:hideMark/>
          </w:tcPr>
          <w:p w14:paraId="240804FC" w14:textId="0B620340" w:rsidR="00776A1F" w:rsidRDefault="00D8574B">
            <w:pPr>
              <w:pStyle w:val="P68B1DB1-Normal8"/>
              <w:spacing w:after="0" w:line="240" w:lineRule="auto"/>
              <w:jc w:val="center"/>
              <w:rPr>
                <w:rFonts w:eastAsia="Times New Roman" w:cs="Calibri"/>
                <w:noProof/>
              </w:rPr>
            </w:pPr>
            <w:r>
              <w:rPr>
                <w:noProof/>
              </w:rPr>
              <w:t>15 910</w:t>
            </w:r>
          </w:p>
        </w:tc>
        <w:tc>
          <w:tcPr>
            <w:tcW w:w="567" w:type="dxa"/>
            <w:shd w:val="clear" w:color="auto" w:fill="C4EFCE"/>
            <w:noWrap/>
            <w:vAlign w:val="center"/>
            <w:hideMark/>
          </w:tcPr>
          <w:p w14:paraId="62B4040C"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2F0C2BA8"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0F3AA12" w14:textId="77777777" w:rsidR="00776A1F" w:rsidRDefault="00D8574B">
            <w:pPr>
              <w:pStyle w:val="P68B1DB1-Normal8"/>
              <w:spacing w:after="0" w:line="240" w:lineRule="auto"/>
              <w:jc w:val="both"/>
              <w:rPr>
                <w:rFonts w:eastAsia="Times New Roman" w:cs="Calibri"/>
                <w:noProof/>
              </w:rPr>
            </w:pPr>
            <w:r>
              <w:rPr>
                <w:noProof/>
              </w:rPr>
              <w:t>To skolēnu skaits pamatizglītības un vidējās izglītības otrajā un trešajā ciklā, kuriem mācību gada laikā bija piekļuve digitālajam manuālajam komplektam AZS un kurš to izmantoja.</w:t>
            </w:r>
          </w:p>
        </w:tc>
      </w:tr>
      <w:tr w:rsidR="00776A1F" w14:paraId="7660D0EB" w14:textId="77777777">
        <w:trPr>
          <w:trHeight w:val="430"/>
        </w:trPr>
        <w:tc>
          <w:tcPr>
            <w:tcW w:w="1135" w:type="dxa"/>
            <w:shd w:val="clear" w:color="auto" w:fill="C4EFCE"/>
            <w:vAlign w:val="center"/>
            <w:hideMark/>
          </w:tcPr>
          <w:p w14:paraId="325F95D8" w14:textId="77777777" w:rsidR="00776A1F" w:rsidRDefault="00D8574B">
            <w:pPr>
              <w:pStyle w:val="P68B1DB1-Normal7"/>
              <w:spacing w:after="0" w:line="240" w:lineRule="auto"/>
              <w:jc w:val="center"/>
              <w:rPr>
                <w:rFonts w:eastAsia="Times New Roman" w:cs="Calibri"/>
                <w:noProof/>
              </w:rPr>
            </w:pPr>
            <w:r>
              <w:rPr>
                <w:noProof/>
              </w:rPr>
              <w:t>20.17</w:t>
            </w:r>
          </w:p>
        </w:tc>
        <w:tc>
          <w:tcPr>
            <w:tcW w:w="1276" w:type="dxa"/>
            <w:shd w:val="clear" w:color="auto" w:fill="C4EFCE"/>
            <w:noWrap/>
            <w:vAlign w:val="center"/>
            <w:hideMark/>
          </w:tcPr>
          <w:p w14:paraId="180447D1" w14:textId="77777777" w:rsidR="00776A1F" w:rsidRDefault="00D8574B">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743CB91" w14:textId="77777777" w:rsidR="00776A1F" w:rsidRDefault="00D8574B">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EE5696E" w14:textId="74CF1BE8" w:rsidR="00776A1F" w:rsidRDefault="00D8574B">
            <w:pPr>
              <w:pStyle w:val="P68B1DB1-Normal8"/>
              <w:spacing w:after="0" w:line="240" w:lineRule="auto"/>
              <w:jc w:val="center"/>
              <w:rPr>
                <w:rFonts w:eastAsia="Times New Roman" w:cs="Calibri"/>
                <w:noProof/>
              </w:rPr>
            </w:pPr>
            <w:r>
              <w:rPr>
                <w:noProof/>
              </w:rPr>
              <w:t>Skolotāju un ar mācīšanu nesaistītu darbinieku apmācība par digitālajām kompetencēm AZS</w:t>
            </w:r>
          </w:p>
        </w:tc>
        <w:tc>
          <w:tcPr>
            <w:tcW w:w="1275" w:type="dxa"/>
            <w:shd w:val="clear" w:color="auto" w:fill="C4EFCE"/>
            <w:noWrap/>
            <w:vAlign w:val="center"/>
            <w:hideMark/>
          </w:tcPr>
          <w:p w14:paraId="420A8AD6" w14:textId="77777777" w:rsidR="00776A1F" w:rsidRDefault="00D8574B">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97D008C" w14:textId="77777777" w:rsidR="00776A1F" w:rsidRDefault="00D8574B">
            <w:pPr>
              <w:pStyle w:val="P68B1DB1-Normal8"/>
              <w:spacing w:after="0" w:line="240" w:lineRule="auto"/>
              <w:jc w:val="center"/>
              <w:rPr>
                <w:rFonts w:eastAsia="Times New Roman" w:cs="Calibri"/>
                <w:noProof/>
              </w:rPr>
            </w:pPr>
            <w:r>
              <w:rPr>
                <w:noProof/>
              </w:rPr>
              <w:t>Skaits</w:t>
            </w:r>
          </w:p>
        </w:tc>
        <w:tc>
          <w:tcPr>
            <w:tcW w:w="992" w:type="dxa"/>
            <w:shd w:val="clear" w:color="auto" w:fill="C4EFCE"/>
            <w:noWrap/>
            <w:vAlign w:val="center"/>
            <w:hideMark/>
          </w:tcPr>
          <w:p w14:paraId="3B8AB54E" w14:textId="77777777" w:rsidR="00776A1F" w:rsidRDefault="00D8574B">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535A3EE3" w14:textId="41629E58" w:rsidR="00776A1F" w:rsidRDefault="00D8574B">
            <w:pPr>
              <w:pStyle w:val="P68B1DB1-Normal8"/>
              <w:spacing w:after="0" w:line="240" w:lineRule="auto"/>
              <w:jc w:val="center"/>
              <w:rPr>
                <w:rFonts w:eastAsia="Times New Roman" w:cs="Calibri"/>
                <w:noProof/>
              </w:rPr>
            </w:pPr>
            <w:r>
              <w:rPr>
                <w:noProof/>
              </w:rPr>
              <w:t>6 500</w:t>
            </w:r>
          </w:p>
        </w:tc>
        <w:tc>
          <w:tcPr>
            <w:tcW w:w="567" w:type="dxa"/>
            <w:shd w:val="clear" w:color="auto" w:fill="C4EFCE"/>
            <w:noWrap/>
            <w:vAlign w:val="center"/>
            <w:hideMark/>
          </w:tcPr>
          <w:p w14:paraId="482B643B"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43B0F623"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6DF7A39" w14:textId="4A0452C5" w:rsidR="00776A1F" w:rsidRDefault="00D8574B">
            <w:pPr>
              <w:pStyle w:val="P68B1DB1-Normal8"/>
              <w:spacing w:after="0" w:line="240" w:lineRule="auto"/>
              <w:jc w:val="both"/>
              <w:rPr>
                <w:rFonts w:eastAsia="Times New Roman" w:cs="Calibri"/>
                <w:noProof/>
              </w:rPr>
            </w:pPr>
            <w:r>
              <w:rPr>
                <w:noProof/>
              </w:rPr>
              <w:t>Skolotāju un ar mācīšanu nesaistītu darbinieku skaits no visiem izglītības līmeņiem (no pirmsskolas līdz vidusskolas līmenim), kuri piedalījās digitālo un tehnoloģisko prasmju apguvē AZS</w:t>
            </w:r>
          </w:p>
        </w:tc>
      </w:tr>
      <w:tr w:rsidR="00776A1F" w14:paraId="55A3D1D0" w14:textId="77777777">
        <w:trPr>
          <w:trHeight w:val="1050"/>
        </w:trPr>
        <w:tc>
          <w:tcPr>
            <w:tcW w:w="1135" w:type="dxa"/>
            <w:shd w:val="clear" w:color="auto" w:fill="C4EFCE"/>
            <w:vAlign w:val="center"/>
            <w:hideMark/>
          </w:tcPr>
          <w:p w14:paraId="7B3BBD15" w14:textId="77777777" w:rsidR="00776A1F" w:rsidRDefault="00D8574B">
            <w:pPr>
              <w:pStyle w:val="P68B1DB1-Normal7"/>
              <w:spacing w:after="0" w:line="240" w:lineRule="auto"/>
              <w:jc w:val="center"/>
              <w:rPr>
                <w:rFonts w:eastAsia="Times New Roman" w:cs="Calibri"/>
                <w:noProof/>
              </w:rPr>
            </w:pPr>
            <w:r>
              <w:rPr>
                <w:noProof/>
              </w:rPr>
              <w:t>20.18</w:t>
            </w:r>
          </w:p>
        </w:tc>
        <w:tc>
          <w:tcPr>
            <w:tcW w:w="1276" w:type="dxa"/>
            <w:shd w:val="clear" w:color="auto" w:fill="C4EFCE"/>
            <w:noWrap/>
            <w:vAlign w:val="center"/>
            <w:hideMark/>
          </w:tcPr>
          <w:p w14:paraId="3DD1B641" w14:textId="77777777" w:rsidR="00776A1F" w:rsidRDefault="00D8574B">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3149BD8C" w14:textId="77777777" w:rsidR="00776A1F" w:rsidRDefault="00D8574B">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F966D8" w14:textId="77777777" w:rsidR="00776A1F" w:rsidRDefault="00D8574B">
            <w:pPr>
              <w:pStyle w:val="P68B1DB1-Normal8"/>
              <w:spacing w:after="0" w:line="240" w:lineRule="auto"/>
              <w:jc w:val="center"/>
              <w:rPr>
                <w:rFonts w:eastAsia="Times New Roman" w:cs="Calibri"/>
                <w:noProof/>
              </w:rPr>
            </w:pPr>
            <w:r>
              <w:rPr>
                <w:noProof/>
              </w:rPr>
              <w:t>Zinātniskā un tehnoloģiskā aprīkojuma piegāde AZM skolām</w:t>
            </w:r>
          </w:p>
        </w:tc>
        <w:tc>
          <w:tcPr>
            <w:tcW w:w="1275" w:type="dxa"/>
            <w:shd w:val="clear" w:color="auto" w:fill="C4EFCE"/>
            <w:noWrap/>
            <w:vAlign w:val="center"/>
            <w:hideMark/>
          </w:tcPr>
          <w:p w14:paraId="1EEB5525" w14:textId="77777777" w:rsidR="00776A1F" w:rsidRDefault="00D8574B">
            <w:pPr>
              <w:pStyle w:val="P68B1DB1-Normal8"/>
              <w:spacing w:after="0" w:line="240" w:lineRule="auto"/>
              <w:jc w:val="center"/>
              <w:rPr>
                <w:rFonts w:eastAsia="Times New Roman" w:cs="Calibri"/>
                <w:noProof/>
              </w:rPr>
            </w:pPr>
            <w:r>
              <w:rPr>
                <w:noProof/>
              </w:rPr>
              <w:t>Zinātniskā un tehnoloģiskā aprīkojuma piegāde AZM skolām</w:t>
            </w:r>
          </w:p>
        </w:tc>
        <w:tc>
          <w:tcPr>
            <w:tcW w:w="993" w:type="dxa"/>
            <w:shd w:val="clear" w:color="auto" w:fill="C4EFCE"/>
            <w:noWrap/>
            <w:vAlign w:val="center"/>
            <w:hideMark/>
          </w:tcPr>
          <w:p w14:paraId="452E3CD7" w14:textId="74CDE77A"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19E0DA20" w14:textId="77777777" w:rsidR="00776A1F" w:rsidRDefault="00D8574B">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21CC52E" w14:textId="797C68A8"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4C56176" w14:textId="77777777" w:rsidR="00776A1F" w:rsidRDefault="00D8574B">
            <w:pPr>
              <w:pStyle w:val="P68B1DB1-Normal8"/>
              <w:spacing w:after="0" w:line="240" w:lineRule="auto"/>
              <w:jc w:val="center"/>
              <w:rPr>
                <w:rFonts w:eastAsia="Times New Roman" w:cs="Calibri"/>
                <w:noProof/>
              </w:rPr>
            </w:pPr>
            <w:r>
              <w:rPr>
                <w:noProof/>
              </w:rPr>
              <w:t>4. CET.</w:t>
            </w:r>
          </w:p>
        </w:tc>
        <w:tc>
          <w:tcPr>
            <w:tcW w:w="708" w:type="dxa"/>
            <w:shd w:val="clear" w:color="auto" w:fill="C4EFCE"/>
            <w:noWrap/>
            <w:vAlign w:val="center"/>
            <w:hideMark/>
          </w:tcPr>
          <w:p w14:paraId="2338A6FD" w14:textId="77777777" w:rsidR="00776A1F" w:rsidRDefault="00D8574B">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272357" w14:textId="01FD295F" w:rsidR="00776A1F" w:rsidRDefault="00D8574B">
            <w:pPr>
              <w:pStyle w:val="P68B1DB1-Normal8"/>
              <w:spacing w:after="0" w:line="240" w:lineRule="auto"/>
              <w:rPr>
                <w:rFonts w:eastAsia="Times New Roman" w:cs="Calibri"/>
                <w:noProof/>
              </w:rPr>
            </w:pPr>
            <w:r>
              <w:rPr>
                <w:noProof/>
              </w:rPr>
              <w:t>RAM skolas gūst labumu no šādu zinātnisko un tehnoloģisko iekārtu robotikas eksperimentu komplektu izplatīšanas (12 129 skolu telpām/izglītības telpām visiem izglītības līmeņiem: pirms,</w:t>
            </w:r>
            <w:r>
              <w:rPr>
                <w:noProof/>
                <w:vertAlign w:val="superscript"/>
              </w:rPr>
              <w:t>1.</w:t>
            </w:r>
            <w:r>
              <w:rPr>
                <w:noProof/>
              </w:rPr>
              <w:t xml:space="preserve"> cikla, 2.</w:t>
            </w:r>
            <w:r>
              <w:rPr>
                <w:noProof/>
                <w:vertAlign w:val="superscript"/>
              </w:rPr>
              <w:t>cikla</w:t>
            </w:r>
            <w:r>
              <w:rPr>
                <w:noProof/>
              </w:rPr>
              <w:t>, 3.</w:t>
            </w:r>
            <w:r>
              <w:rPr>
                <w:noProof/>
                <w:vertAlign w:val="superscript"/>
              </w:rPr>
              <w:t>cikla</w:t>
            </w:r>
            <w:r>
              <w:rPr>
                <w:noProof/>
              </w:rPr>
              <w:t xml:space="preserve"> un vidējās izglītības); eksperimentālo zinātņu komplekti (12 129 skolu istabām/izglītības telpām); Tvaika komplekti (12 129 skolu telpām/izglītības telpām); bioloģijas, fizikas un ķīmijas komplekti (35 skolu telpām/izglītības telpām); Polivizuālo/ilgstundu komplekti (40 skolu telpām/izglītības telpām), 100 jaunas datorzinātnes iekārtas (94 skolu istabas/izglītības telpas pirmajā ciklā); </w:t>
            </w:r>
          </w:p>
          <w:p w14:paraId="4F6AF773" w14:textId="6828D80F" w:rsidR="00776A1F" w:rsidRDefault="00D8574B">
            <w:pPr>
              <w:pStyle w:val="P68B1DB1-Normal8"/>
              <w:spacing w:after="0" w:line="240" w:lineRule="auto"/>
              <w:rPr>
                <w:rFonts w:eastAsia="Times New Roman" w:cs="Calibri"/>
                <w:noProof/>
              </w:rPr>
            </w:pPr>
            <w:r>
              <w:rPr>
                <w:noProof/>
              </w:rPr>
              <w:t>Turklāt izveido 91 inovatīvu mācību vidi, lai mācīšanas un mācīšanās procesā varētu izmantot jaunas metodiskas pieejas.</w:t>
            </w:r>
          </w:p>
        </w:tc>
      </w:tr>
    </w:tbl>
    <w:p w14:paraId="63F6E735"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DF53512" w14:textId="77777777" w:rsidR="00776A1F" w:rsidRDefault="00776A1F">
      <w:pPr>
        <w:keepNext/>
        <w:spacing w:before="40" w:after="0" w:line="259" w:lineRule="auto"/>
        <w:jc w:val="both"/>
        <w:rPr>
          <w:rFonts w:ascii="Times New Roman" w:eastAsiaTheme="minorEastAsia" w:hAnsi="Times New Roman" w:cs="Times New Roman"/>
          <w:noProof/>
          <w:sz w:val="24"/>
        </w:rPr>
        <w:sectPr w:rsidR="00776A1F" w:rsidSect="00E00EDD">
          <w:headerReference w:type="even" r:id="rId362"/>
          <w:headerReference w:type="default" r:id="rId363"/>
          <w:footerReference w:type="even" r:id="rId364"/>
          <w:footerReference w:type="default" r:id="rId365"/>
          <w:headerReference w:type="first" r:id="rId366"/>
          <w:footerReference w:type="first" r:id="rId367"/>
          <w:pgSz w:w="16839" w:h="11907" w:orient="landscape"/>
          <w:pgMar w:top="1134" w:right="1134" w:bottom="1134" w:left="1134" w:header="567" w:footer="567" w:gutter="0"/>
          <w:cols w:space="720"/>
          <w:docGrid w:linePitch="360"/>
        </w:sectPr>
      </w:pPr>
    </w:p>
    <w:p w14:paraId="581F76B7" w14:textId="7D5951D9"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U. KOMPONENTS 21: REPowerEU</w:t>
      </w:r>
    </w:p>
    <w:p w14:paraId="0F35EBBE" w14:textId="77777777" w:rsidR="00776A1F" w:rsidRDefault="00D8574B">
      <w:pPr>
        <w:pStyle w:val="P68B1DB1-Normal4"/>
        <w:spacing w:before="40" w:after="0" w:line="259" w:lineRule="auto"/>
        <w:jc w:val="both"/>
        <w:rPr>
          <w:rFonts w:cs="Times New Roman"/>
          <w:noProof/>
        </w:rPr>
      </w:pPr>
      <w:r>
        <w:rPr>
          <w:noProof/>
        </w:rPr>
        <w:t xml:space="preserve">REPowerEU nodaļas mērķis ir atbalstīt Portugāles vērienīgos mērķus attiecībā uz enerģētisko neatkarību un zaļo pārkārtošanos jaunās ģeopolitiskās un enerģijas tirgus situācijas kontekstā. </w:t>
      </w:r>
    </w:p>
    <w:p w14:paraId="22A180DD" w14:textId="50AD9BCD" w:rsidR="00776A1F" w:rsidRDefault="00D8574B">
      <w:pPr>
        <w:pStyle w:val="P68B1DB1-Normal4"/>
        <w:spacing w:before="40" w:after="0" w:line="259" w:lineRule="auto"/>
        <w:jc w:val="both"/>
        <w:rPr>
          <w:rFonts w:cs="Times New Roman"/>
          <w:noProof/>
        </w:rPr>
      </w:pPr>
      <w:r>
        <w:rPr>
          <w:noProof/>
        </w:rPr>
        <w:t>REPowerEU reformu un investīciju mērķis ir stiprināt Portugāles enerģētisko suverenitāti un paātrināt tās ekonomikas dekarbonizāciju. Nodaļā ir iekļautas reformas, kas racionalizēs atjaunīgo energoresursu licencēšanas procedūras, izveidos vienas pieturas aģentūru atjaunīgo energoresursu projektu licencēšanai, kā arī veicinās biometāna un atjaunīgā ūdeņraža ieviešanu valstī. Ieguldījums sastāvēs no tehnisko pētījumu izstrādes atkrastes vēja enerģijas izmantošanai. Turklāt Portugāle risina problēmu saistībā ar darbaspēka pārkvalificēšanu zaļās pārkārtošanās nolūkā, veicot zaļo prasmju reformu, kuras mērķis ir nākamajos divos gados izveidot visaptverošu profesionālās apmācības piedāvājumu zaļo prasmju attīstīšanai un apmācīt 25 tūkstošus cilvēku.</w:t>
      </w:r>
    </w:p>
    <w:p w14:paraId="28D9518A" w14:textId="77777777" w:rsidR="00776A1F" w:rsidRDefault="00D8574B">
      <w:pPr>
        <w:pStyle w:val="P68B1DB1-Normal4"/>
        <w:spacing w:before="40" w:after="0" w:line="259" w:lineRule="auto"/>
        <w:jc w:val="both"/>
        <w:rPr>
          <w:rFonts w:cs="Times New Roman"/>
          <w:noProof/>
        </w:rPr>
      </w:pPr>
      <w:r>
        <w:rPr>
          <w:noProof/>
        </w:rPr>
        <w:t xml:space="preserve">Nodaļā ir iekļautas arī investīcijas enerģētiskās nabadzības novēršanai, veicot investīcijas, kuru mērķis ir palielināt energoefektivitāti dzīvojamās ēkās, pakalpojumu un sabiedriskajās ēkās, un reformas, kuru mērķis ir izveidot valsts enerģētiskās nabadzības novērošanas centru un izstrādāt vienas pieturas aģentūras modeli, lai palīdzētu iedzīvotājiem īstenot energoefektivitātes intervences pasākumus. </w:t>
      </w:r>
    </w:p>
    <w:p w14:paraId="3419D7E7" w14:textId="54D4EF87" w:rsidR="00776A1F" w:rsidRDefault="00D8574B">
      <w:pPr>
        <w:pStyle w:val="P68B1DB1-Normal4"/>
        <w:spacing w:before="40" w:after="0" w:line="259" w:lineRule="auto"/>
        <w:jc w:val="both"/>
        <w:rPr>
          <w:rFonts w:cs="Times New Roman"/>
          <w:noProof/>
        </w:rPr>
      </w:pPr>
      <w:r>
        <w:rPr>
          <w:noProof/>
        </w:rPr>
        <w:t>Portugāle arī palielina savu noturību, veicot stratēģiskas investīcijas, lai atbalstītu neto nulles emisiju tehnoloģiju ražošanu, palielinot esošās investīcijas atjaunīgajās gāzēs un bezemisiju transportā, kā arī veidojot uzglabāšanas jaudu, lai palielinātu energosistēmas elastību, vienlaikus veicinot atjaunīgos energoresursus. Visā valstī ir plānoti un izplatīti vairāki jauni ieguldījumi bezemisiju transportā, tostarp autobusu ātrās tranzīta līnijas būvniecība Bragā un funikulāra būvniecība Nazarē”.</w:t>
      </w:r>
    </w:p>
    <w:p w14:paraId="5E7C784E" w14:textId="0274E162" w:rsidR="00776A1F" w:rsidRDefault="00D8574B">
      <w:pPr>
        <w:pStyle w:val="P68B1DB1-Normal4"/>
        <w:spacing w:before="40" w:after="0" w:line="259" w:lineRule="auto"/>
        <w:jc w:val="both"/>
        <w:rPr>
          <w:rFonts w:cs="Times New Roman"/>
          <w:noProof/>
        </w:rPr>
      </w:pPr>
      <w:r>
        <w:rPr>
          <w:noProof/>
        </w:rPr>
        <w:t>Vairāki pasākumi būs saistīti ar pārrobežu dimensiju, kas galvenokārt tiks izstrādāta, ieguldot atjaunojamos energoresursos un energoefektivitātē.</w:t>
      </w:r>
    </w:p>
    <w:p w14:paraId="053BB105" w14:textId="3BC176B9" w:rsidR="00776A1F" w:rsidRDefault="00D8574B">
      <w:pPr>
        <w:pStyle w:val="P68B1DB1-Normal4"/>
        <w:keepNext/>
        <w:spacing w:before="40" w:after="0" w:line="259" w:lineRule="auto"/>
        <w:jc w:val="both"/>
        <w:rPr>
          <w:rFonts w:eastAsiaTheme="minorEastAsia" w:cs="Times New Roman"/>
          <w:noProof/>
        </w:rPr>
      </w:pPr>
      <w:r>
        <w:rPr>
          <w:noProof/>
        </w:rPr>
        <w:t>Komponents palīdz īstenot Portugālei adresēto ieteikumu, kas izdots Portugālei, lai samazinātu tās atkarību no fosilajiem kurināmajiem (valsts īpašais ieteikums Nr. 4 2022. un 2023. gads) un koncentrēt investīcijas uz mazoglekļa pārkārtošanos un enerģētikas pārkārtošanu (valsts īpašais ieteikums Nr. 3 2019) un uz tīru un efektīvu enerģijas ražošanu un izmantošanu (valsts īpašais ieteikums Nr. 3 2020). Tas jo īpaši ietver pasākumus, kuru mērķis ir paātrināt atjaunīgo energoresursu izmantošanu, vienkāršot atļauju piešķiršanu, dekarbonizēt transporta nozari, uzlabot ēku energoefektivitāti, modernizēt elektroenerģijas pārvades un sadales tīklus, palielināt elektroenerģijas uzkrāšanu un stiprināt zaļās pārkārtošanās procesam nepieciešamo zaļo prasmju apguvi.</w:t>
      </w:r>
    </w:p>
    <w:p w14:paraId="68203BCC" w14:textId="77777777" w:rsidR="00776A1F" w:rsidRDefault="00D8574B">
      <w:pPr>
        <w:pStyle w:val="P68B1DB1-Normal4"/>
        <w:spacing w:before="40" w:after="0" w:line="259" w:lineRule="auto"/>
        <w:jc w:val="both"/>
        <w:rPr>
          <w:rFonts w:cs="Times New Roman"/>
          <w:noProof/>
        </w:rPr>
      </w:pPr>
      <w:r>
        <w:rPr>
          <w:noProof/>
        </w:rPr>
        <w:t>Paredzams, ka neviens pasākums šajā komponentā būtiski nekaitēs vides mērķiem Regulas (ES) 2020/852 17. panta nozīmē, ņemot vērā atveseļošanas un noturības plānā izklāstīto pasākumu aprakstu un mazināšanas pasākumus saskaņā ar DNSH tehniskajiem norādījumiem (2021/C58/01).</w:t>
      </w:r>
    </w:p>
    <w:p w14:paraId="40A068BA" w14:textId="77777777" w:rsidR="00776A1F" w:rsidRDefault="00776A1F">
      <w:pPr>
        <w:keepNext/>
        <w:spacing w:before="40" w:after="0" w:line="259" w:lineRule="auto"/>
        <w:jc w:val="both"/>
        <w:outlineLvl w:val="1"/>
        <w:rPr>
          <w:rFonts w:ascii="Times New Roman" w:eastAsiaTheme="majorEastAsia" w:hAnsi="Times New Roman" w:cs="Times New Roman"/>
          <w:b/>
          <w:noProof/>
          <w:sz w:val="24"/>
          <w:u w:val="single"/>
        </w:rPr>
      </w:pPr>
    </w:p>
    <w:p w14:paraId="3FDCB5A0" w14:textId="4CC2E66E"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U.1. Neatmaksājamam finansiālajam atbalstam pieteikto reformu un investīciju apraksts</w:t>
      </w:r>
    </w:p>
    <w:p w14:paraId="1C306676" w14:textId="6845FEE8" w:rsidR="00776A1F" w:rsidRDefault="00D8574B">
      <w:pPr>
        <w:pStyle w:val="P68B1DB1-Normal5"/>
        <w:spacing w:before="240" w:after="0"/>
        <w:rPr>
          <w:rFonts w:eastAsiaTheme="minorEastAsia" w:cs="Times New Roman"/>
          <w:noProof/>
        </w:rPr>
      </w:pPr>
      <w:bookmarkStart w:id="33" w:name="_Toc137472477"/>
      <w:r>
        <w:rPr>
          <w:noProof/>
        </w:rPr>
        <w:t>Ieguldījums RP-C21–i01: Izvērsts pasākums: Rūpniecības dekarbonizācija</w:t>
      </w:r>
      <w:bookmarkEnd w:id="33"/>
    </w:p>
    <w:p w14:paraId="07D772F8" w14:textId="59DEB25F" w:rsidR="00776A1F" w:rsidRDefault="00D8574B">
      <w:pPr>
        <w:pStyle w:val="P68B1DB1-Normal4"/>
        <w:spacing w:before="40" w:after="0" w:line="259" w:lineRule="auto"/>
        <w:jc w:val="both"/>
        <w:rPr>
          <w:rFonts w:cs="Times New Roman"/>
          <w:noProof/>
        </w:rPr>
      </w:pPr>
      <w:r>
        <w:rPr>
          <w:noProof/>
        </w:rPr>
        <w:t>Šā pasākuma mērķis ir palielināt ieguldījumus TC-C11-i01: Rūpniecības dekarbonizācija saskaņā ar 11. komponentu.</w:t>
      </w:r>
    </w:p>
    <w:p w14:paraId="6F624D1D" w14:textId="5DD7C54D" w:rsidR="00776A1F" w:rsidRDefault="00D8574B">
      <w:pPr>
        <w:pStyle w:val="P68B1DB1-Normal4"/>
        <w:spacing w:before="40" w:after="0" w:line="259" w:lineRule="auto"/>
        <w:jc w:val="both"/>
        <w:rPr>
          <w:rFonts w:cs="Times New Roman"/>
          <w:noProof/>
        </w:rPr>
      </w:pPr>
      <w:r>
        <w:rPr>
          <w:noProof/>
        </w:rPr>
        <w:t>Pasākuma izvērstā daļa palielina atbalstīto dekarbonizācijas projektu skaitu. Atbalstu pasākuma paplašinātajai daļai piešķir 500 maziem un vidējiem uzņēmumiem projektiem, kuru maksimālais apjoms ir EUR 200000 vienam uzņēmumam trīs fiskālo gadu laikā (“vienkāršotie” projekti).</w:t>
      </w:r>
    </w:p>
    <w:p w14:paraId="29353424" w14:textId="77777777" w:rsidR="00776A1F" w:rsidRDefault="00D8574B">
      <w:pPr>
        <w:pStyle w:val="P68B1DB1-Normal4"/>
        <w:spacing w:before="40" w:after="0" w:line="259" w:lineRule="auto"/>
        <w:jc w:val="both"/>
        <w:rPr>
          <w:rFonts w:cs="Times New Roman"/>
          <w:noProof/>
        </w:rPr>
      </w:pPr>
      <w:r>
        <w:rPr>
          <w:noProof/>
        </w:rPr>
        <w:t>Ieguldījumu īstenošanu pabeidz līdz 2026. gada 30. jūnijam.</w:t>
      </w:r>
    </w:p>
    <w:p w14:paraId="579DBFB6" w14:textId="4A98A963" w:rsidR="00776A1F" w:rsidRDefault="00D8574B">
      <w:pPr>
        <w:pStyle w:val="P68B1DB1-Normal5"/>
        <w:keepNext/>
        <w:spacing w:before="240" w:after="0" w:line="259" w:lineRule="auto"/>
        <w:ind w:left="851"/>
        <w:jc w:val="both"/>
        <w:outlineLvl w:val="2"/>
        <w:rPr>
          <w:rFonts w:eastAsiaTheme="minorEastAsia" w:cs="Times New Roman"/>
          <w:noProof/>
        </w:rPr>
      </w:pPr>
      <w:bookmarkStart w:id="34" w:name="_Toc137472478"/>
      <w:r>
        <w:rPr>
          <w:noProof/>
        </w:rPr>
        <w:t>Ieguldījums RP-C21–02: Izvērsts pasākums: Dzīvojamo ēku energoefektivitāte</w:t>
      </w:r>
      <w:bookmarkEnd w:id="34"/>
    </w:p>
    <w:p w14:paraId="59D08E92" w14:textId="437238A1" w:rsidR="00776A1F" w:rsidRDefault="00D8574B">
      <w:pPr>
        <w:pStyle w:val="P68B1DB1-Normal4"/>
        <w:spacing w:after="0"/>
        <w:jc w:val="both"/>
        <w:rPr>
          <w:rFonts w:cs="Times New Roman"/>
          <w:noProof/>
        </w:rPr>
      </w:pPr>
      <w:r>
        <w:rPr>
          <w:noProof/>
        </w:rPr>
        <w:t xml:space="preserve">Pasākuma mērķis ir paplašināt pasākumu TC-C13-i01: Dzīvojamo ēku energoefektivitāte 13. komponentā. </w:t>
      </w:r>
    </w:p>
    <w:p w14:paraId="5ED787E9" w14:textId="7157997D" w:rsidR="00776A1F" w:rsidRDefault="00D8574B">
      <w:pPr>
        <w:pStyle w:val="P68B1DB1-Normal4"/>
        <w:spacing w:after="0"/>
        <w:jc w:val="both"/>
        <w:rPr>
          <w:rFonts w:cs="Times New Roman"/>
          <w:noProof/>
        </w:rPr>
      </w:pPr>
      <w:r>
        <w:rPr>
          <w:noProof/>
        </w:rPr>
        <w:t>Pasākuma izvēršanas daļa palielina renovēto dzīvojamo ēku skaitu un pašpatēriņam saražoto atjaunojamo energoresursu skaitu. 60 % no šajā investīcijā renovētās platības ir daudzdzīvokļu ēkās.</w:t>
      </w:r>
    </w:p>
    <w:p w14:paraId="1A06BA32" w14:textId="0369DD0D" w:rsidR="00776A1F" w:rsidRDefault="00D8574B">
      <w:pPr>
        <w:pStyle w:val="P68B1DB1-Normal4"/>
        <w:spacing w:after="0"/>
        <w:jc w:val="both"/>
        <w:rPr>
          <w:rFonts w:cs="Times New Roman"/>
          <w:noProof/>
        </w:rPr>
      </w:pPr>
      <w:r>
        <w:rPr>
          <w:noProof/>
        </w:rPr>
        <w:t>Investīciju īstenošanu pabeidz līdz 2025. gada 30. septembrim.</w:t>
      </w:r>
    </w:p>
    <w:p w14:paraId="7450F2F2" w14:textId="64382BF4" w:rsidR="00776A1F" w:rsidRDefault="00776A1F">
      <w:pPr>
        <w:spacing w:after="0"/>
        <w:jc w:val="both"/>
        <w:rPr>
          <w:rFonts w:ascii="Times New Roman" w:hAnsi="Times New Roman" w:cs="Times New Roman"/>
          <w:noProof/>
          <w:sz w:val="24"/>
        </w:rPr>
      </w:pPr>
    </w:p>
    <w:p w14:paraId="10433ABC" w14:textId="26B19E0B" w:rsidR="00776A1F" w:rsidRDefault="00D8574B">
      <w:pPr>
        <w:pStyle w:val="P68B1DB1-Normal5"/>
        <w:keepNext/>
        <w:spacing w:before="240" w:after="0" w:line="259" w:lineRule="auto"/>
        <w:ind w:left="851"/>
        <w:jc w:val="both"/>
        <w:outlineLvl w:val="2"/>
        <w:rPr>
          <w:rFonts w:eastAsiaTheme="minorEastAsia" w:cs="Times New Roman"/>
          <w:noProof/>
        </w:rPr>
      </w:pPr>
      <w:bookmarkStart w:id="35" w:name="_Toc137472479"/>
      <w:bookmarkStart w:id="36" w:name="_Hlk140143655"/>
      <w:r>
        <w:rPr>
          <w:noProof/>
        </w:rPr>
        <w:t>Ieguldījums RP-C21–i03: Izvērsts pasākums: Pakalpojumu nozarē izmantoto ēku energoefektivitāte</w:t>
      </w:r>
      <w:bookmarkEnd w:id="35"/>
    </w:p>
    <w:bookmarkEnd w:id="36"/>
    <w:p w14:paraId="7E310686" w14:textId="29A7DFDE" w:rsidR="00776A1F" w:rsidRDefault="00D8574B">
      <w:pPr>
        <w:pStyle w:val="P68B1DB1-Normal4"/>
        <w:spacing w:after="0"/>
        <w:jc w:val="both"/>
        <w:rPr>
          <w:rFonts w:cs="Times New Roman"/>
          <w:noProof/>
        </w:rPr>
      </w:pPr>
      <w:r>
        <w:rPr>
          <w:noProof/>
        </w:rPr>
        <w:t>Šā pasākuma mērķis ir paplašināt pasākumu TC-C13-i03 “Energoefektivitāte ēkās, ko izmanto pakalpojumu nozarē saskaņā ar 13. komponentu”. Pasākuma paplašinātā daļa palielina renovēto privāto pakalpojumu ēku platību.</w:t>
      </w:r>
    </w:p>
    <w:p w14:paraId="39D446C7" w14:textId="77777777" w:rsidR="00776A1F" w:rsidRDefault="00D8574B">
      <w:pPr>
        <w:pStyle w:val="P68B1DB1-Normal4"/>
        <w:spacing w:after="0"/>
        <w:jc w:val="both"/>
        <w:rPr>
          <w:rFonts w:cs="Times New Roman"/>
          <w:noProof/>
        </w:rPr>
      </w:pPr>
      <w:r>
        <w:rPr>
          <w:noProof/>
        </w:rPr>
        <w:t>Ieguldījumu īstenošanu pabeidz līdz 2026. gada 30. jūnijam.</w:t>
      </w:r>
    </w:p>
    <w:p w14:paraId="09DB76BB" w14:textId="795DCBD2" w:rsidR="00776A1F" w:rsidRDefault="00D8574B">
      <w:pPr>
        <w:pStyle w:val="P68B1DB1-Normal5"/>
        <w:keepNext/>
        <w:spacing w:before="240" w:after="0" w:line="259" w:lineRule="auto"/>
        <w:ind w:left="851"/>
        <w:jc w:val="both"/>
        <w:outlineLvl w:val="2"/>
        <w:rPr>
          <w:rFonts w:eastAsiaTheme="minorEastAsia" w:cs="Times New Roman"/>
          <w:noProof/>
        </w:rPr>
      </w:pPr>
      <w:bookmarkStart w:id="37" w:name="_Toc137472480"/>
      <w:r>
        <w:rPr>
          <w:noProof/>
        </w:rPr>
        <w:t>Ieguldījums RP-C21-i04-RAM: Sabiedrisko ēku energoefektivitāte</w:t>
      </w:r>
      <w:bookmarkEnd w:id="37"/>
      <w:r>
        <w:rPr>
          <w:noProof/>
        </w:rPr>
        <w:t xml:space="preserve"> Madeirā</w:t>
      </w:r>
    </w:p>
    <w:p w14:paraId="4366A173" w14:textId="69F8BE3B" w:rsidR="00776A1F" w:rsidRDefault="00D8574B">
      <w:pPr>
        <w:pStyle w:val="P68B1DB1-Normal4"/>
        <w:spacing w:before="40" w:after="0" w:line="259" w:lineRule="auto"/>
        <w:jc w:val="both"/>
        <w:rPr>
          <w:rFonts w:cs="Times New Roman"/>
          <w:noProof/>
        </w:rPr>
      </w:pPr>
      <w:r>
        <w:rPr>
          <w:noProof/>
        </w:rPr>
        <w:t>Šā ieguldījuma mērķis ir veicināt energorenovāciju, veicināt energoefektivitāti un resursefektivitāti un palielināt atjaunojamās enerģijas pašpatēriņu sabiedriskajās ēkās Madeirā.</w:t>
      </w:r>
    </w:p>
    <w:p w14:paraId="534C977C" w14:textId="236F0827" w:rsidR="00776A1F" w:rsidRDefault="00D8574B">
      <w:pPr>
        <w:pStyle w:val="P68B1DB1-Normal4"/>
        <w:spacing w:before="40" w:after="0" w:line="259" w:lineRule="auto"/>
        <w:jc w:val="both"/>
        <w:rPr>
          <w:rFonts w:cs="Times New Roman"/>
          <w:noProof/>
        </w:rPr>
      </w:pPr>
      <w:r>
        <w:rPr>
          <w:noProof/>
        </w:rPr>
        <w:t xml:space="preserve">Šīs investīcijas ietver pasākumus, kas veicina renovāciju, energoefektivitāti, dekarbonizāciju, ūdens izmantošanas efektivitāti un aprites ekonomiku sabiedriskajās ēkās Madeiras autonomajā apgabalā, nodrošinot vidējas pamatīgas renovācijas. </w:t>
      </w:r>
    </w:p>
    <w:p w14:paraId="3C5C60AA" w14:textId="77777777" w:rsidR="00776A1F" w:rsidRDefault="00D8574B">
      <w:pPr>
        <w:pStyle w:val="P68B1DB1-Normal4"/>
        <w:spacing w:before="40" w:after="0" w:line="259" w:lineRule="auto"/>
        <w:jc w:val="both"/>
        <w:rPr>
          <w:rFonts w:cs="Times New Roman"/>
          <w:noProof/>
        </w:rPr>
      </w:pPr>
      <w:r>
        <w:rPr>
          <w:noProof/>
        </w:rPr>
        <w:t xml:space="preserve">Visas ēkas, par kurām var pretendēt uz intervenci, ir sabiedriski izmantojamas, jo īpaši veselības aprūpes, izglītības un reģionālās valsts pārvaldes jomā. </w:t>
      </w:r>
    </w:p>
    <w:p w14:paraId="3EF533D2" w14:textId="5F948B86" w:rsidR="00776A1F" w:rsidRDefault="00D8574B">
      <w:pPr>
        <w:pStyle w:val="P68B1DB1-Normal4"/>
        <w:spacing w:before="40" w:after="0" w:line="259" w:lineRule="auto"/>
        <w:jc w:val="both"/>
        <w:rPr>
          <w:rFonts w:cs="Times New Roman"/>
          <w:noProof/>
        </w:rPr>
      </w:pPr>
      <w:r>
        <w:rPr>
          <w:noProof/>
        </w:rPr>
        <w:t>Ieguldījumu īstenošanu pabeidz līdz 2025. gada 31. decembrim.</w:t>
      </w:r>
    </w:p>
    <w:p w14:paraId="5362038B" w14:textId="78F3A9C9" w:rsidR="00776A1F" w:rsidRDefault="00D8574B">
      <w:pPr>
        <w:pStyle w:val="P68B1DB1-Normal5"/>
        <w:keepNext/>
        <w:spacing w:before="240" w:after="0" w:line="259" w:lineRule="auto"/>
        <w:ind w:left="851"/>
        <w:jc w:val="both"/>
        <w:outlineLvl w:val="2"/>
        <w:rPr>
          <w:rFonts w:eastAsiaTheme="minorEastAsia" w:cs="Times New Roman"/>
          <w:noProof/>
        </w:rPr>
      </w:pPr>
      <w:bookmarkStart w:id="38" w:name="_Toc137472481"/>
      <w:r>
        <w:rPr>
          <w:noProof/>
        </w:rPr>
        <w:t>RP-C21-r43 reforma: Nacionālā Enerģētiskās nabadzības observatorija</w:t>
      </w:r>
      <w:bookmarkEnd w:id="38"/>
      <w:r>
        <w:rPr>
          <w:noProof/>
        </w:rPr>
        <w:t xml:space="preserve"> </w:t>
      </w:r>
    </w:p>
    <w:p w14:paraId="722EBB4B" w14:textId="77777777" w:rsidR="00776A1F" w:rsidRDefault="00D8574B">
      <w:pPr>
        <w:pStyle w:val="P68B1DB1-Normal4"/>
        <w:spacing w:beforeLines="40" w:before="96" w:after="0" w:line="22" w:lineRule="atLeast"/>
        <w:jc w:val="both"/>
        <w:rPr>
          <w:rFonts w:cs="Times New Roman"/>
          <w:noProof/>
        </w:rPr>
      </w:pPr>
      <w:r>
        <w:rPr>
          <w:noProof/>
        </w:rPr>
        <w:t xml:space="preserve">Šīs reformas mērķis ir izveidot valsts, reģionālo un vietējo iestāžu struktūru, kas uzraudzītu enerģētiskās nabadzības situāciju un analizētu un izstrādātu valsts politiku tās izskaušanai Portugālē. </w:t>
      </w:r>
    </w:p>
    <w:p w14:paraId="05D42E40" w14:textId="672AEEFC" w:rsidR="00776A1F" w:rsidRDefault="00D8574B">
      <w:pPr>
        <w:pStyle w:val="P68B1DB1-Normal4"/>
        <w:spacing w:beforeLines="40" w:before="96" w:after="0" w:line="22" w:lineRule="atLeast"/>
        <w:jc w:val="both"/>
        <w:rPr>
          <w:rFonts w:eastAsia="MS Mincho" w:cs="Times New Roman"/>
          <w:noProof/>
        </w:rPr>
      </w:pPr>
      <w:r>
        <w:rPr>
          <w:noProof/>
        </w:rPr>
        <w:t xml:space="preserve">Ar reformu izveido Valsts enerģētiskās nabadzības observatoriju (ONPE), kas ir atbildīga par: </w:t>
      </w:r>
    </w:p>
    <w:p w14:paraId="37FF066C" w14:textId="57280600" w:rsidR="00776A1F" w:rsidRDefault="00D8574B">
      <w:pPr>
        <w:pStyle w:val="ListParagraph"/>
        <w:keepNext w:val="0"/>
        <w:numPr>
          <w:ilvl w:val="0"/>
          <w:numId w:val="86"/>
        </w:numPr>
        <w:spacing w:beforeLines="40" w:before="96" w:after="0" w:line="22" w:lineRule="atLeast"/>
        <w:rPr>
          <w:rFonts w:eastAsia="MS Mincho"/>
          <w:noProof/>
        </w:rPr>
      </w:pPr>
      <w:r>
        <w:rPr>
          <w:noProof/>
        </w:rPr>
        <w:t>Pārraudzīt, uzraudzīt, koordinēt un ziņot par ilgtermiņa enerģētiskās nabadzības stratēģijas (ELPPE) īstenošanu;</w:t>
      </w:r>
    </w:p>
    <w:p w14:paraId="4DA6276A" w14:textId="77777777" w:rsidR="00776A1F" w:rsidRDefault="00D8574B">
      <w:pPr>
        <w:pStyle w:val="ListParagraph"/>
        <w:keepNext w:val="0"/>
        <w:numPr>
          <w:ilvl w:val="0"/>
          <w:numId w:val="86"/>
        </w:numPr>
        <w:spacing w:beforeLines="40" w:before="96" w:after="0" w:line="22" w:lineRule="atLeast"/>
        <w:rPr>
          <w:noProof/>
        </w:rPr>
      </w:pPr>
      <w:r>
        <w:rPr>
          <w:noProof/>
        </w:rPr>
        <w:t>Ar enerģētisko nabadzību saistītā politikas darba koordinēšana saistībā ar nacionālā enerģētikas un klimata plāna (NEKP) un nacionālo sociālo klimata plānu izstrādi un īstenošanu;</w:t>
      </w:r>
    </w:p>
    <w:p w14:paraId="7A42E09A" w14:textId="357B042B" w:rsidR="00776A1F" w:rsidRDefault="00D8574B">
      <w:pPr>
        <w:pStyle w:val="ListParagraph"/>
        <w:keepNext w:val="0"/>
        <w:numPr>
          <w:ilvl w:val="0"/>
          <w:numId w:val="86"/>
        </w:numPr>
        <w:spacing w:beforeLines="40" w:before="96" w:after="0" w:line="22" w:lineRule="atLeast"/>
        <w:rPr>
          <w:rFonts w:eastAsia="MS Mincho"/>
          <w:noProof/>
        </w:rPr>
      </w:pPr>
      <w:r>
        <w:rPr>
          <w:noProof/>
        </w:rPr>
        <w:t>Ierosināt valdībai desmit gadu rīcības plānus (programmas 2030., 2040. un 2050. gadam), kā arī pārskatīt un pārskatīt ELPPE, kuru biežums ir attiecīgi trīs gadi un pieci gadi;</w:t>
      </w:r>
    </w:p>
    <w:p w14:paraId="72AF5EA4" w14:textId="77777777" w:rsidR="00776A1F" w:rsidRDefault="00D8574B">
      <w:pPr>
        <w:pStyle w:val="ListParagraph"/>
        <w:keepNext w:val="0"/>
        <w:numPr>
          <w:ilvl w:val="0"/>
          <w:numId w:val="86"/>
        </w:numPr>
        <w:spacing w:beforeLines="40" w:before="96" w:after="0" w:line="22" w:lineRule="atLeast"/>
        <w:rPr>
          <w:rFonts w:eastAsia="MS Mincho"/>
          <w:noProof/>
        </w:rPr>
      </w:pPr>
      <w:r>
        <w:rPr>
          <w:noProof/>
        </w:rPr>
        <w:t>Īstenot spēju veidošanas pasākumus publiskā un privātā, valsts, reģionālā un vietējā līmeņa aģentiem, kas iesaistīti ilgtermiņa enerģētiskās nabadzības stratēģijas īstenošanā;</w:t>
      </w:r>
    </w:p>
    <w:p w14:paraId="4CCEAC98" w14:textId="77777777" w:rsidR="00776A1F" w:rsidRDefault="00D8574B">
      <w:pPr>
        <w:pStyle w:val="ListParagraph"/>
        <w:keepNext w:val="0"/>
        <w:numPr>
          <w:ilvl w:val="0"/>
          <w:numId w:val="86"/>
        </w:numPr>
        <w:spacing w:beforeLines="40" w:before="96" w:after="0" w:line="22" w:lineRule="atLeast"/>
        <w:rPr>
          <w:noProof/>
        </w:rPr>
      </w:pPr>
      <w:r>
        <w:rPr>
          <w:noProof/>
        </w:rPr>
        <w:t>Enerģētiskās nabadzības skarto mājsaimniecību apzināšana un uzraudzība, izveidojot un īstenojot periodiskas apsekošanas rīku;</w:t>
      </w:r>
    </w:p>
    <w:p w14:paraId="2FC0162A" w14:textId="77777777" w:rsidR="00776A1F" w:rsidRDefault="00D8574B">
      <w:pPr>
        <w:pStyle w:val="ListParagraph"/>
        <w:keepNext w:val="0"/>
        <w:numPr>
          <w:ilvl w:val="0"/>
          <w:numId w:val="86"/>
        </w:numPr>
        <w:spacing w:beforeLines="40" w:before="96" w:after="0" w:line="22" w:lineRule="atLeast"/>
        <w:rPr>
          <w:rFonts w:eastAsia="MS Mincho"/>
          <w:noProof/>
        </w:rPr>
      </w:pPr>
      <w:r>
        <w:rPr>
          <w:noProof/>
        </w:rPr>
        <w:t>Ierosināt finansēšanas (vai fiskālu) instrumentu energoefektivitātes pasākumiem, kas paredzēti mājsaimniecībām, kuras skar enerģētiskā nabadzība;</w:t>
      </w:r>
    </w:p>
    <w:p w14:paraId="771F2604" w14:textId="77777777" w:rsidR="00776A1F" w:rsidRDefault="00D8574B">
      <w:pPr>
        <w:pStyle w:val="ListParagraph"/>
        <w:keepNext w:val="0"/>
        <w:numPr>
          <w:ilvl w:val="0"/>
          <w:numId w:val="86"/>
        </w:numPr>
        <w:spacing w:beforeLines="40" w:before="96" w:after="0" w:line="22" w:lineRule="atLeast"/>
        <w:rPr>
          <w:rFonts w:eastAsia="MS Mincho"/>
          <w:noProof/>
        </w:rPr>
      </w:pPr>
      <w:r>
        <w:rPr>
          <w:noProof/>
        </w:rPr>
        <w:t>Izstrādāt materiālus un kampaņas, lai uzlabotu energoprasmi, kas atbilst enerģētiskās nabadzības skarto mājsaimniecību profilam;</w:t>
      </w:r>
    </w:p>
    <w:p w14:paraId="010262B7" w14:textId="77777777" w:rsidR="00776A1F" w:rsidRDefault="00D8574B">
      <w:pPr>
        <w:pStyle w:val="ListParagraph"/>
        <w:keepNext w:val="0"/>
        <w:numPr>
          <w:ilvl w:val="0"/>
          <w:numId w:val="86"/>
        </w:numPr>
        <w:spacing w:beforeLines="40" w:before="96" w:after="0" w:line="22" w:lineRule="atLeast"/>
        <w:rPr>
          <w:rFonts w:eastAsia="MS Mincho"/>
          <w:noProof/>
        </w:rPr>
      </w:pPr>
      <w:r>
        <w:rPr>
          <w:noProof/>
        </w:rPr>
        <w:t xml:space="preserve">Veicināt un izplatīt darbu, kas saistīts ar enerģētiskās nabadzības parādību, tostarp izveidojot struktūru un ieinteresēto dalībnieku tīklu, kura mērķis ir risināt šo jautājumu. </w:t>
      </w:r>
    </w:p>
    <w:p w14:paraId="5391B250" w14:textId="270C4ECC" w:rsidR="00776A1F" w:rsidRDefault="00D8574B">
      <w:pPr>
        <w:pStyle w:val="P68B1DB1-Normal4"/>
        <w:spacing w:beforeLines="40" w:before="96" w:after="0" w:line="22" w:lineRule="atLeast"/>
        <w:jc w:val="both"/>
        <w:rPr>
          <w:rFonts w:eastAsia="@MS Mincho" w:cs="Times New Roman"/>
          <w:noProof/>
        </w:rPr>
      </w:pPr>
      <w:r>
        <w:rPr>
          <w:noProof/>
        </w:rPr>
        <w:t xml:space="preserve">ONPE savā pārvaldības struktūrā iekļauj i) pārvaldības vienību, kas ir atbildīga par ONPE darbības pārvaldību, ii) stratēģisko komiteju, kuru vada Vides un klimata pasākumu ministrija un kurā ir locekļi no attiecīgajām valdības jomām (piemēram, mājokļi, sociālais nodrošinājums, veselība, finanses, izglītība, teritoriālā kohēzija), un iii) padomdevēju komiteju, tostarp tādas izveidotas ieinteresētās personas kā universitātes, pašvaldības, vietējās enerģētikas aģentūras, nevalstiskās organizācijas, kas iesaistītas enerģētiskās nabadzības izskaušanas darbībās, energotīklu operatoriem, patērētājiem un nekustamā īpašuma apvienībām, nozaru apvienībām un privāto finanšu struktūrām. Reforma nodrošina, ka šīs struktūras sadarbojas un tām ir skaidri uzdevumi, lai sasniegtu ONPE pilnvarās noteiktos mērķus. Datu vākšanā nodrošina sadarbību starp ONPE un Portugāles statistikas iestādēm. </w:t>
      </w:r>
    </w:p>
    <w:p w14:paraId="17728ADF" w14:textId="315EB82E" w:rsidR="00776A1F" w:rsidRDefault="00D8574B">
      <w:pPr>
        <w:pStyle w:val="P68B1DB1-Normal4"/>
        <w:spacing w:beforeLines="40" w:before="96" w:after="0" w:line="22" w:lineRule="atLeast"/>
        <w:jc w:val="both"/>
        <w:rPr>
          <w:rFonts w:cs="Times New Roman"/>
          <w:noProof/>
        </w:rPr>
      </w:pPr>
      <w:r>
        <w:rPr>
          <w:noProof/>
        </w:rPr>
        <w:t>Reforma arī nodrošina, ka tiek izveidots finanšu instruments energoefektivitātes pasākumiem dzīvojamo ēku sektorā, lai risinātu enerģētiskās nabadzības problēmu apzinātajiem mājsaimniecību profiliem, kas pieņemts, stājoties spēkā tiesību aktam vai pieņemot lēmumu attiecīgajā finanšu iestādē.</w:t>
      </w:r>
    </w:p>
    <w:p w14:paraId="204649DB" w14:textId="77777777" w:rsidR="00776A1F" w:rsidRDefault="00D8574B">
      <w:pPr>
        <w:pStyle w:val="P68B1DB1-Normal4"/>
        <w:spacing w:beforeLines="40" w:before="96" w:after="0" w:line="22" w:lineRule="atLeast"/>
        <w:jc w:val="both"/>
        <w:rPr>
          <w:rFonts w:cs="Times New Roman"/>
          <w:noProof/>
        </w:rPr>
      </w:pPr>
      <w:r>
        <w:rPr>
          <w:noProof/>
        </w:rPr>
        <w:t xml:space="preserve">Šīs reformas īstenošanu pabeidz līdz 2025. gada 31. martam.  </w:t>
      </w:r>
    </w:p>
    <w:p w14:paraId="6F25AA6D" w14:textId="339B7EBE" w:rsidR="00776A1F" w:rsidRDefault="00D8574B">
      <w:pPr>
        <w:pStyle w:val="P68B1DB1-Normal5"/>
        <w:keepNext/>
        <w:spacing w:before="240" w:after="0" w:line="259" w:lineRule="auto"/>
        <w:ind w:left="851"/>
        <w:jc w:val="both"/>
        <w:outlineLvl w:val="2"/>
        <w:rPr>
          <w:rFonts w:eastAsiaTheme="minorEastAsia" w:cs="Times New Roman"/>
          <w:noProof/>
        </w:rPr>
      </w:pPr>
      <w:bookmarkStart w:id="39" w:name="_Toc137472482"/>
      <w:r>
        <w:rPr>
          <w:noProof/>
        </w:rPr>
        <w:t xml:space="preserve">RP-C21–r44 reforma: Energoefektivitātes vienas pieturas aģentūru izveide iedzīvotājiem (Iedzīvotāju enerģētikas telpas) </w:t>
      </w:r>
      <w:bookmarkEnd w:id="39"/>
    </w:p>
    <w:p w14:paraId="13080FDC" w14:textId="77777777" w:rsidR="00776A1F" w:rsidRDefault="00D8574B">
      <w:pPr>
        <w:pStyle w:val="P68B1DB1-Normal4"/>
        <w:spacing w:beforeLines="40" w:before="96" w:after="0" w:line="22" w:lineRule="atLeast"/>
        <w:jc w:val="both"/>
        <w:rPr>
          <w:rFonts w:cs="Times New Roman"/>
          <w:noProof/>
        </w:rPr>
      </w:pPr>
      <w:r>
        <w:rPr>
          <w:noProof/>
        </w:rPr>
        <w:t xml:space="preserve">Šīs reformas mērķis ir atbalstīt iedzīvotājus energoefektivitātes un atjaunojamās enerģijas pasākumu sagatavošanā un īstenošanā un pieņemt ilgtspējīgu rīcību attiecībā uz enerģijas izmantošanu, uzlabojot energoprasmi. </w:t>
      </w:r>
    </w:p>
    <w:p w14:paraId="375532EE" w14:textId="046F8E8A" w:rsidR="00776A1F" w:rsidRDefault="00D8574B">
      <w:pPr>
        <w:pStyle w:val="P68B1DB1-Normal4"/>
        <w:spacing w:beforeLines="40" w:before="96" w:after="0" w:line="22" w:lineRule="atLeast"/>
        <w:jc w:val="both"/>
        <w:rPr>
          <w:rFonts w:cs="Times New Roman"/>
          <w:noProof/>
        </w:rPr>
      </w:pPr>
      <w:r>
        <w:rPr>
          <w:noProof/>
        </w:rPr>
        <w:t>Pamatojoties uz izmēģinājuma projektu, kas izstrādāts saistībā ar ieguldījumiem TC-C13-I01.01, reforma izveidos vienas pieturas aģentūras iedzīvotājiem (Pilsoņu enerģētikas telpas</w:t>
      </w:r>
      <w:r>
        <w:rPr>
          <w:i/>
          <w:noProof/>
        </w:rPr>
        <w:t xml:space="preserve"> </w:t>
      </w:r>
      <w:r>
        <w:rPr>
          <w:noProof/>
        </w:rPr>
        <w:t xml:space="preserve">— </w:t>
      </w:r>
      <w:r>
        <w:rPr>
          <w:i/>
          <w:noProof/>
        </w:rPr>
        <w:t>Espaços Cidadão Energia</w:t>
      </w:r>
      <w:r>
        <w:rPr>
          <w:noProof/>
        </w:rPr>
        <w:t>), ko izveidojušas vietējās vai reģionālās pašvaldības vai citas vietējās struktūras un ko iekļauj pašvaldību klimata rīcības plānos saskaņā ar Likumu Nr. 98/2021 un piedāvā iedzīvotājiem virkni pakalpojumu, piemēram:</w:t>
      </w:r>
    </w:p>
    <w:p w14:paraId="5A8F9D4A" w14:textId="77777777" w:rsidR="00776A1F" w:rsidRDefault="00D8574B">
      <w:pPr>
        <w:pStyle w:val="ListParagraph"/>
        <w:keepNext w:val="0"/>
        <w:numPr>
          <w:ilvl w:val="0"/>
          <w:numId w:val="87"/>
        </w:numPr>
        <w:spacing w:beforeLines="40" w:before="96" w:after="0" w:line="22" w:lineRule="atLeast"/>
        <w:rPr>
          <w:noProof/>
        </w:rPr>
      </w:pPr>
      <w:r>
        <w:rPr>
          <w:noProof/>
        </w:rPr>
        <w:t>Informācijas un tehniskā atbalsta sniegšana, sākot no enerģijas rēķinu interpretācijas līdz ilgtspējīgai enerģijas izmantošanai un patērētāju tiesībām;</w:t>
      </w:r>
    </w:p>
    <w:p w14:paraId="52920F00" w14:textId="77777777" w:rsidR="00776A1F" w:rsidRDefault="00D8574B">
      <w:pPr>
        <w:pStyle w:val="ListParagraph"/>
        <w:keepNext w:val="0"/>
        <w:numPr>
          <w:ilvl w:val="0"/>
          <w:numId w:val="87"/>
        </w:numPr>
        <w:spacing w:beforeLines="40" w:before="96" w:after="0" w:line="22" w:lineRule="atLeast"/>
        <w:rPr>
          <w:noProof/>
        </w:rPr>
      </w:pPr>
      <w:r>
        <w:rPr>
          <w:noProof/>
        </w:rPr>
        <w:t>Konsultācijas, tostarp par enerģijas iepirkumu, aprīkojuma iegādi, energoefektivitātes un atjaunojamās enerģijas risinājumu izvēli, risinājumu īstenošanas komerciālo piedāvājumu atlasi;</w:t>
      </w:r>
    </w:p>
    <w:p w14:paraId="48565B26" w14:textId="77777777" w:rsidR="00776A1F" w:rsidRDefault="00D8574B">
      <w:pPr>
        <w:pStyle w:val="ListParagraph"/>
        <w:keepNext w:val="0"/>
        <w:numPr>
          <w:ilvl w:val="0"/>
          <w:numId w:val="87"/>
        </w:numPr>
        <w:spacing w:beforeLines="40" w:before="96" w:after="0" w:line="22" w:lineRule="atLeast"/>
        <w:rPr>
          <w:noProof/>
        </w:rPr>
      </w:pPr>
      <w:r>
        <w:rPr>
          <w:noProof/>
        </w:rPr>
        <w:t>Mājokļu energonovērtējums un investīciju priekšlikumi, lai palielinātu siltumkomfortu un samazinātu rēķinus par enerģiju;</w:t>
      </w:r>
    </w:p>
    <w:p w14:paraId="33F3AD14" w14:textId="77777777" w:rsidR="00776A1F" w:rsidRDefault="00D8574B">
      <w:pPr>
        <w:pStyle w:val="ListParagraph"/>
        <w:keepNext w:val="0"/>
        <w:numPr>
          <w:ilvl w:val="0"/>
          <w:numId w:val="87"/>
        </w:numPr>
        <w:spacing w:beforeLines="40" w:before="96" w:after="0" w:line="22" w:lineRule="atLeast"/>
        <w:rPr>
          <w:noProof/>
        </w:rPr>
      </w:pPr>
      <w:r>
        <w:rPr>
          <w:noProof/>
        </w:rPr>
        <w:t>Konsultācijas par piekļuvi stimuliem un finansēšanas instrumentiem — gan publiskiem, gan privātiem, valsts un vietējiem;</w:t>
      </w:r>
    </w:p>
    <w:p w14:paraId="26439DCD" w14:textId="77777777" w:rsidR="00776A1F" w:rsidRDefault="00D8574B">
      <w:pPr>
        <w:pStyle w:val="ListParagraph"/>
        <w:keepNext w:val="0"/>
        <w:numPr>
          <w:ilvl w:val="0"/>
          <w:numId w:val="87"/>
        </w:numPr>
        <w:spacing w:beforeLines="40" w:before="96" w:after="0" w:line="22" w:lineRule="atLeast"/>
        <w:rPr>
          <w:noProof/>
        </w:rPr>
      </w:pPr>
      <w:r>
        <w:rPr>
          <w:noProof/>
        </w:rPr>
        <w:t>Vākt datus par lietotājiem, lai tos kopīgotu ar Valsts enerģētiskās nabadzības observatoriju.</w:t>
      </w:r>
    </w:p>
    <w:p w14:paraId="0B098A88" w14:textId="214DA97F" w:rsidR="00776A1F" w:rsidRDefault="00D8574B">
      <w:pPr>
        <w:pStyle w:val="P68B1DB1-Normal4"/>
        <w:spacing w:beforeLines="40" w:before="96" w:after="0" w:line="22" w:lineRule="atLeast"/>
        <w:jc w:val="both"/>
        <w:rPr>
          <w:rFonts w:cs="Times New Roman"/>
          <w:i/>
          <w:noProof/>
        </w:rPr>
      </w:pPr>
      <w:r>
        <w:rPr>
          <w:noProof/>
        </w:rPr>
        <w:t>Veic spēju veidošanas pasākumus, lai nodrošinātu, ka vismaz trīssimt cilvēku tiek apmācīti pilsoņu enerģētikas telpu darbībai</w:t>
      </w:r>
      <w:r>
        <w:rPr>
          <w:i/>
          <w:noProof/>
        </w:rPr>
        <w:t>.</w:t>
      </w:r>
    </w:p>
    <w:p w14:paraId="08143AB5" w14:textId="77777777" w:rsidR="00776A1F" w:rsidRDefault="00D8574B">
      <w:pPr>
        <w:pStyle w:val="P68B1DB1-Normal4"/>
        <w:spacing w:beforeLines="40" w:before="96" w:after="0" w:line="22" w:lineRule="atLeast"/>
        <w:jc w:val="both"/>
        <w:rPr>
          <w:rFonts w:cs="Times New Roman"/>
          <w:noProof/>
        </w:rPr>
      </w:pPr>
      <w:r>
        <w:rPr>
          <w:noProof/>
        </w:rPr>
        <w:t xml:space="preserve">Šīs reformas īstenošanu pabeidz līdz 2025. gada 31. martam. </w:t>
      </w:r>
    </w:p>
    <w:p w14:paraId="52B18F1E" w14:textId="4BD6F41C" w:rsidR="00776A1F" w:rsidRDefault="00D8574B">
      <w:pPr>
        <w:pStyle w:val="P68B1DB1-Normal5"/>
        <w:keepNext/>
        <w:spacing w:before="240" w:after="0" w:line="259" w:lineRule="auto"/>
        <w:ind w:left="851"/>
        <w:jc w:val="both"/>
        <w:outlineLvl w:val="2"/>
        <w:rPr>
          <w:rFonts w:eastAsiaTheme="minorEastAsia" w:cs="Times New Roman"/>
          <w:noProof/>
        </w:rPr>
      </w:pPr>
      <w:bookmarkStart w:id="40" w:name="_Toc137472487"/>
      <w:r>
        <w:rPr>
          <w:noProof/>
        </w:rPr>
        <w:t>Ieguldījums RP-C21–i05: Atbalsts zaļās rūpniecības attīstībai</w:t>
      </w:r>
    </w:p>
    <w:bookmarkEnd w:id="40"/>
    <w:p w14:paraId="00CC59FA" w14:textId="4B5BBB1D" w:rsidR="00776A1F" w:rsidRDefault="00D8574B">
      <w:pPr>
        <w:pStyle w:val="P68B1DB1-Normal4"/>
        <w:spacing w:beforeLines="40" w:before="96" w:after="0" w:line="22" w:lineRule="atLeast"/>
        <w:jc w:val="both"/>
        <w:rPr>
          <w:rFonts w:cs="Times New Roman"/>
          <w:noProof/>
          <w:highlight w:val="yellow"/>
        </w:rPr>
      </w:pPr>
      <w:r>
        <w:rPr>
          <w:noProof/>
        </w:rPr>
        <w:t>Šo uzņēmumiem paredzēto investīciju mērķis ir palielināt atjaunīgās enerģijas, dekarbonizācijas un energoefektivitātes tehnoloģiju ražošanas jaudu saskaņā ar NEKP 2030. gadam mērķrādītājiem un Eiropas zaļā kursa industriālā plāna (COM (2023) 62 final) mērķiem.</w:t>
      </w:r>
    </w:p>
    <w:p w14:paraId="556C247F" w14:textId="1E2A984E" w:rsidR="00776A1F" w:rsidRDefault="00D8574B">
      <w:pPr>
        <w:pStyle w:val="P68B1DB1-Normal4"/>
        <w:spacing w:beforeLines="40" w:before="96" w:after="0" w:line="22" w:lineRule="atLeast"/>
        <w:jc w:val="both"/>
        <w:rPr>
          <w:rFonts w:cs="Times New Roman"/>
          <w:noProof/>
        </w:rPr>
      </w:pPr>
      <w:r>
        <w:rPr>
          <w:noProof/>
        </w:rPr>
        <w:t xml:space="preserve">Investīcijas ir dotācijas, kas paredzētas atsevišķiem uzņēmumiem vai projektiem, un ar tām atbalsta rūpnieciskās investīcijas tādu stratēģisku tehnoloģiju ražošanā, kuras ir tieši saistītas ar saules fotoelementu un saules siltumenerģijas tehnoloģijām, elektrolīzeriem un kurināmā elementiem, sauszemes vēja un atkrastes atjaunīgajiem energoresursiem, ilgtspējīgu biogāzi/biometānu, akumulatoriem un uzglabāšanu, oglekļa uztveršanu un uzglabāšanu, siltumsūkņiem, energoefektivitāti, ģeotermālo enerģiju vai tīkla risinājumiem.  </w:t>
      </w:r>
    </w:p>
    <w:p w14:paraId="30C0F048" w14:textId="78A9077F" w:rsidR="00776A1F" w:rsidRDefault="00D8574B">
      <w:pPr>
        <w:pStyle w:val="P68B1DB1-Normal4"/>
        <w:spacing w:beforeLines="40" w:before="96" w:after="0" w:line="22" w:lineRule="atLeast"/>
        <w:jc w:val="both"/>
        <w:rPr>
          <w:rFonts w:cs="Times New Roman"/>
          <w:noProof/>
        </w:rPr>
      </w:pPr>
      <w:r>
        <w:rPr>
          <w:noProof/>
        </w:rPr>
        <w:t>Lai nodrošinātu, ka pasākums atbilst principam “nenodari būtisku kaitējumu” saskaņā ar Atveseļošanas un noturības mehānismu, kā noteikts tehniskajās norādēs “nenodari būtisku kaitējumu” (2021/C58/01), atbilstības kritēriji, kas ietverti turpmāko uzaicinājumu iesniegt projektus darba uzdevumā:</w:t>
      </w:r>
    </w:p>
    <w:p w14:paraId="74CED351" w14:textId="01F86180" w:rsidR="00776A1F" w:rsidRDefault="00D8574B">
      <w:pPr>
        <w:pStyle w:val="ListParagraph"/>
        <w:keepNext w:val="0"/>
        <w:numPr>
          <w:ilvl w:val="0"/>
          <w:numId w:val="118"/>
        </w:numPr>
        <w:spacing w:line="240" w:lineRule="auto"/>
        <w:rPr>
          <w:noProof/>
        </w:rPr>
      </w:pPr>
      <w:r>
        <w:rPr>
          <w:noProof/>
        </w:rPr>
        <w:t>izslēgt no atbilstības šādu darbību un aktīvu sarakstu: darbības un aktīvi, kas saistīti ar fosilajiem kurināmajiem, tostarp pakārtota izmantošana</w:t>
      </w:r>
      <w:r>
        <w:rPr>
          <w:rStyle w:val="FootnoteReference"/>
          <w:noProof/>
        </w:rPr>
        <w:footnoteReference w:id="78"/>
      </w:r>
      <w:r>
        <w:rPr>
          <w:noProof/>
        </w:rPr>
        <w:t>; darbības un aktīvi saskaņā ar ES emisijas kvotu tirdzniecības sistēmu (ETS), sasniedzot prognozētās siltumnīcefekta gāzu emisijas, kas nav zemākas par attiecīgajām līmeņatzīmēm,</w:t>
      </w:r>
      <w:r>
        <w:rPr>
          <w:rStyle w:val="FootnoteReference"/>
          <w:noProof/>
        </w:rPr>
        <w:footnoteReference w:id="79"/>
      </w:r>
      <w:r>
        <w:rPr>
          <w:noProof/>
        </w:rPr>
        <w:t xml:space="preserve"> un mehāniskās bioloģiskās attīrīšanas iekārtām</w:t>
      </w:r>
      <w:r>
        <w:rPr>
          <w:rStyle w:val="FootnoteReference"/>
          <w:noProof/>
        </w:rPr>
        <w:footnoteReference w:id="80"/>
      </w:r>
      <w:r>
        <w:rPr>
          <w:noProof/>
        </w:rPr>
        <w:t>; III) darbības un aktīvi, kas saistīti ar atkritumu poligoniem, sadedzināšanas iekārtām</w:t>
      </w:r>
      <w:r>
        <w:rPr>
          <w:rStyle w:val="FootnoteReference"/>
          <w:noProof/>
        </w:rPr>
        <w:footnoteReference w:id="81"/>
      </w:r>
      <w:r>
        <w:rPr>
          <w:noProof/>
        </w:rPr>
        <w:t xml:space="preserve"> un mehāniski bioloģiskās apstrādes iekārtām</w:t>
      </w:r>
      <w:r>
        <w:rPr>
          <w:rStyle w:val="FootnoteReference"/>
          <w:noProof/>
        </w:rPr>
        <w:footnoteReference w:id="82"/>
      </w:r>
      <w:r>
        <w:rPr>
          <w:noProof/>
        </w:rPr>
        <w:t xml:space="preserve">; un </w:t>
      </w:r>
    </w:p>
    <w:p w14:paraId="3D8DD079" w14:textId="77777777" w:rsidR="00776A1F" w:rsidRDefault="00D8574B">
      <w:pPr>
        <w:pStyle w:val="ListParagraph"/>
        <w:numPr>
          <w:ilvl w:val="0"/>
          <w:numId w:val="74"/>
        </w:numPr>
        <w:spacing w:beforeLines="40" w:before="96" w:after="0" w:line="240" w:lineRule="auto"/>
        <w:rPr>
          <w:noProof/>
        </w:rPr>
      </w:pPr>
      <w:r>
        <w:rPr>
          <w:noProof/>
        </w:rPr>
        <w:t>pieprasīt, lai saņēmējs ievēro attiecīgos ES un valsts tiesību aktus vides jomā.</w:t>
      </w:r>
    </w:p>
    <w:p w14:paraId="04838A27" w14:textId="77777777" w:rsidR="00776A1F" w:rsidRDefault="00D8574B">
      <w:pPr>
        <w:pStyle w:val="P68B1DB1-Normal4"/>
        <w:spacing w:beforeLines="40" w:before="96" w:after="0" w:line="22" w:lineRule="atLeast"/>
        <w:jc w:val="both"/>
        <w:rPr>
          <w:rFonts w:eastAsia="MS Mincho" w:cs="Times New Roman"/>
          <w:noProof/>
        </w:rPr>
      </w:pPr>
      <w:r>
        <w:rPr>
          <w:noProof/>
        </w:rPr>
        <w:t xml:space="preserve">Šo investīciju īstenošanu pabeidz līdz 2026. gada 30. jūnijam.  </w:t>
      </w:r>
    </w:p>
    <w:p w14:paraId="2F9D54F1" w14:textId="2C2676E2"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RP-C21–r45 reforma: Zaļās prasmes</w:t>
      </w:r>
    </w:p>
    <w:p w14:paraId="41D07A31" w14:textId="03311566" w:rsidR="00776A1F" w:rsidRDefault="00D8574B">
      <w:pPr>
        <w:pStyle w:val="P68B1DB1-Normal4"/>
        <w:spacing w:beforeLines="40" w:before="96" w:after="0" w:line="22" w:lineRule="atLeast"/>
        <w:jc w:val="both"/>
        <w:rPr>
          <w:rFonts w:cs="Times New Roman"/>
          <w:noProof/>
        </w:rPr>
      </w:pPr>
      <w:r>
        <w:rPr>
          <w:noProof/>
        </w:rPr>
        <w:t xml:space="preserve">Šīs reformas mērķis ir izveidot ilgtermiņa profesionālās izglītības piedāvājumu zaļo prasmju attīstīšanai, atzīšanai, validēšanai un sertificēšanai, lai novērstu bezdarba risku, veicinātu darbvietu saglabāšanu un stimulētu jaunu darbvietu radīšanu. </w:t>
      </w:r>
    </w:p>
    <w:p w14:paraId="75EC7F11" w14:textId="0661E934" w:rsidR="00776A1F" w:rsidRDefault="00D8574B">
      <w:pPr>
        <w:pStyle w:val="P68B1DB1-Normal4"/>
        <w:spacing w:beforeLines="40" w:before="96" w:after="0" w:line="22" w:lineRule="atLeast"/>
        <w:jc w:val="both"/>
        <w:rPr>
          <w:rFonts w:cs="Times New Roman"/>
          <w:noProof/>
        </w:rPr>
      </w:pPr>
      <w:r>
        <w:rPr>
          <w:noProof/>
        </w:rPr>
        <w:t>Reforma sastāv no šādiem elementiem:</w:t>
      </w:r>
    </w:p>
    <w:p w14:paraId="0CD3A424" w14:textId="41E7B03D" w:rsidR="00776A1F" w:rsidRDefault="00D8574B">
      <w:pPr>
        <w:pStyle w:val="ListParagraph"/>
        <w:keepNext w:val="0"/>
        <w:numPr>
          <w:ilvl w:val="0"/>
          <w:numId w:val="88"/>
        </w:numPr>
        <w:spacing w:beforeLines="40" w:before="96" w:after="0" w:line="22" w:lineRule="atLeast"/>
        <w:rPr>
          <w:noProof/>
        </w:rPr>
      </w:pPr>
      <w:r>
        <w:rPr>
          <w:noProof/>
        </w:rPr>
        <w:t>Zaļā darba un prasmju programma: nodrošināt profesionālo apmācību un pārkvalifikāciju 12500 darba ņēmējiem, kas iesaistīti enerģētikas pārkārtošanas procesos, ko veic darba devēji, darba ņēmējiem, kuriem fosilā kurināmā nozares slēgšanas dēļ draud bezdarbs, kā arī bezdarbniekiem. To īsteno Nodarbinātības un profesionālās izglītības institūts, izmantojot īstermiņa un vidēja termiņa apmācību, un tajā galvenā uzmanība būtu jāpievērš zaļo prasmju attīstīšanai.</w:t>
      </w:r>
    </w:p>
    <w:p w14:paraId="480A983D" w14:textId="34B135A1" w:rsidR="00776A1F" w:rsidRDefault="00D8574B">
      <w:pPr>
        <w:pStyle w:val="ListParagraph"/>
        <w:keepNext w:val="0"/>
        <w:numPr>
          <w:ilvl w:val="0"/>
          <w:numId w:val="88"/>
        </w:numPr>
        <w:spacing w:beforeLines="40" w:before="96" w:after="0" w:line="22" w:lineRule="atLeast"/>
        <w:rPr>
          <w:noProof/>
        </w:rPr>
      </w:pPr>
      <w:r>
        <w:rPr>
          <w:noProof/>
        </w:rPr>
        <w:t xml:space="preserve">Kursi Enerģētikas pārkārtošanas mācību centrā: ilgtermiņa apmācības nodrošināšana vēl 12500 personu enerģētikas pārkārtošanas un klimatrīcības jomā, tostarp atjaunojamo energoresursu enerģijas, zaļā ūdeņraža, sintētisko nebioloģisko degvielu un energoefektivitātes jomā. </w:t>
      </w:r>
    </w:p>
    <w:p w14:paraId="492E8053" w14:textId="095C1539" w:rsidR="00776A1F" w:rsidRDefault="00D8574B">
      <w:pPr>
        <w:pStyle w:val="P68B1DB1-Normal4"/>
        <w:spacing w:beforeLines="40" w:before="96" w:after="0" w:line="22" w:lineRule="atLeast"/>
        <w:jc w:val="both"/>
        <w:rPr>
          <w:noProof/>
        </w:rPr>
      </w:pPr>
      <w:r>
        <w:rPr>
          <w:noProof/>
        </w:rPr>
        <w:t xml:space="preserve">Papildus zaļā darba un prasmju programmas atbalsta saņēmējiem prioritāti piešķir tiem atbalsta saņēmējiem, kuri vēlas apgūt prasmes, kas atzītas par būtiskām atjaunojamo energoresursu (tostarp ūdeņraža) un energoefektivitātes projektu īstenošanai. </w:t>
      </w:r>
    </w:p>
    <w:p w14:paraId="2E4CC163" w14:textId="3B761BEC" w:rsidR="00776A1F" w:rsidRDefault="00D8574B">
      <w:pPr>
        <w:pStyle w:val="P68B1DB1-Normal4"/>
        <w:spacing w:beforeLines="40" w:before="96" w:after="0" w:line="22" w:lineRule="atLeast"/>
        <w:jc w:val="both"/>
        <w:rPr>
          <w:rFonts w:eastAsiaTheme="minorEastAsia" w:cs="Times New Roman"/>
          <w:noProof/>
        </w:rPr>
      </w:pPr>
      <w:r>
        <w:rPr>
          <w:noProof/>
        </w:rPr>
        <w:t xml:space="preserve">Apmācības ceļus izstrādā saskaņā ar tirgus un nozares apvienību apzinātajām vajadzībām. Atjaunojamās enerģijas un energoefektivitātes dalībnieki nosaka, kuras prasmes tiek uzskatītas par būtiskām, pamatojoties uz pieprasījumu darba tirgū. Apmācības saturs atspoguļo šīs vajadzības. Mācību piedāvājumu izstrādā Enerģētikas pārkārtošanas mācību centrs. </w:t>
      </w:r>
      <w:bookmarkStart w:id="41" w:name="_Int_OV5GmRrb"/>
      <w:bookmarkStart w:id="42" w:name="_Int_knsy2AsN"/>
      <w:bookmarkEnd w:id="41"/>
      <w:bookmarkEnd w:id="42"/>
    </w:p>
    <w:p w14:paraId="1A64A2BF" w14:textId="77777777" w:rsidR="00776A1F" w:rsidRDefault="00D8574B">
      <w:pPr>
        <w:pStyle w:val="P68B1DB1-Normal4"/>
        <w:spacing w:beforeLines="40" w:before="96" w:after="0" w:line="22" w:lineRule="atLeast"/>
        <w:jc w:val="both"/>
        <w:rPr>
          <w:rFonts w:cs="Times New Roman"/>
          <w:noProof/>
        </w:rPr>
      </w:pPr>
      <w:r>
        <w:rPr>
          <w:noProof/>
        </w:rPr>
        <w:t xml:space="preserve">Reformas īstenošanu pabeidz līdz 2025. gada 31. decembrim.  </w:t>
      </w:r>
    </w:p>
    <w:p w14:paraId="52BA1BAC" w14:textId="753C1FAF"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RP-C21-r46 reforma: Atjaunīgā ūdeņraža tiesiskais regulējums</w:t>
      </w:r>
    </w:p>
    <w:p w14:paraId="48C489B3" w14:textId="77777777" w:rsidR="00776A1F" w:rsidRDefault="00D8574B">
      <w:pPr>
        <w:pStyle w:val="P68B1DB1-Normal4"/>
        <w:spacing w:before="40" w:after="0" w:line="259" w:lineRule="auto"/>
        <w:jc w:val="both"/>
        <w:rPr>
          <w:rFonts w:cs="Times New Roman"/>
          <w:noProof/>
        </w:rPr>
      </w:pPr>
      <w:r>
        <w:rPr>
          <w:noProof/>
        </w:rPr>
        <w:t>Šīs reformas mērķis ir veicināt atjaunīgā ūdeņraža izmantošanu kā daļu no visaptverošākas pārejas stratēģijas uz dekarbonizētu ekonomiku. Šīs reformas mērķis ir arī radīt apstākļus dabasgāzes tīkla dekarbonizācijai un palīdzēt attīstīt atjaunīgā ūdeņraža vērtības ķēdi.</w:t>
      </w:r>
    </w:p>
    <w:p w14:paraId="36E3674D" w14:textId="1E98692D" w:rsidR="00776A1F" w:rsidRDefault="00D8574B">
      <w:pPr>
        <w:pStyle w:val="P68B1DB1-Normal4"/>
        <w:spacing w:before="40" w:after="0" w:line="259" w:lineRule="auto"/>
        <w:jc w:val="both"/>
        <w:rPr>
          <w:rFonts w:cs="Times New Roman"/>
          <w:noProof/>
        </w:rPr>
      </w:pPr>
      <w:r>
        <w:rPr>
          <w:noProof/>
        </w:rPr>
        <w:t xml:space="preserve">Reforma ietver Valsts gāzes pārvades tīkla regulas un Valsts gāzes sadales tīkla regulas pārskatīšanu, kas jāapstiprina Enerģētikas un ģeoloģijas ģenerāldirektorātam (proti, Rīkojums Nr. 806-B/2022 un Rīkojums Nr. 806-C/2022). Abās grozītajās regulās nosaka tehniskos kritērijus un darbības aspektus atjaunīgā ūdeņraža ražošanai, sertifikācijai, transportēšanai, uzglabāšanai, noplūdes novēršanai un attiecīgā gadījumā ievadīšanai gāzes tīklā, definējot struktūru, kas atbild par iesūknēšanas pārvaldību, un nosaka kritērijus, saskaņā ar kuriem netiek pārsniegta maksimāli pieļaujamā ūdeņraža koncentrācija gāzes tīklā (saskaņā ar pārskatīto Portugāles Ūdeņraža stratēģiju). Tās arī nosaka atjaunīgā ūdeņraža tiešos lietotājus saskaņā ar ES ūdeņraža stratēģiju, pievēršoties grūti dekarbonizējamiem lietojumiem rūpniecības un transporta nozarē, un noteikumus, lai nodrošinātu pārredzamību attiecībā uz rēķinu sagatavošanas sistēmu, apkures jaudu un gāzes kvalitāti (piemēram, augstākā kaloriskā vērtība (GCV), Wobbe indekss (sadegšanas kvalitātes rādītājs) un papildu komponentu (piemēram, CO2, ogļūdeņradis, H2O, sērs u. c.) klātbūtnes pārredzamību.  </w:t>
      </w:r>
    </w:p>
    <w:p w14:paraId="4CFED58E" w14:textId="3EFE5584" w:rsidR="00776A1F" w:rsidRDefault="00D8574B">
      <w:pPr>
        <w:pStyle w:val="P68B1DB1-Normal4"/>
        <w:spacing w:before="40" w:after="0" w:line="259" w:lineRule="auto"/>
        <w:jc w:val="both"/>
        <w:rPr>
          <w:rFonts w:cs="Times New Roman"/>
          <w:noProof/>
        </w:rPr>
      </w:pPr>
      <w:r>
        <w:rPr>
          <w:noProof/>
        </w:rPr>
        <w:t>Turklāt administratīvu vai juridisku aktu publicē Oficiālajā Vēstnesī Diário da República, un tas stājas spēkā, nosakot, ka par atjaunīgā ūdeņraža ražošanas iekārtām uzskata tikai tādas rūpniecības vienības, kas atbilst Atjaunojamo energoresursu direktīvas un tās deleģēto aktu (2018/2001/ES) prasībām. Tiesību aktā arī nosaka procedūru, kas jāievēro pieteikumu iesniedzējiem, kuri iesniedz licences pieteikumu par atjaunīgo gāzu ražošanu, pieprasot, lai tie, kas iesniedz licences pieteikumu, iesniegtu deklarāciju, lai uzņemtos saistības izpildīt no atjaunojamajiem energoresursiem iegūtas enerģijas izmantošanas prasības, kā noteikts Atjaunojamo energoresursu direktīvā un tās deleģētajos aktos (2018/2001/ES), un nodrošināt saražotā ūdeņraža atjaunīgo izcelsmi.</w:t>
      </w:r>
    </w:p>
    <w:p w14:paraId="67538798" w14:textId="16C7329E" w:rsidR="00776A1F" w:rsidRDefault="00D8574B">
      <w:pPr>
        <w:pStyle w:val="P68B1DB1-Normal4"/>
        <w:spacing w:before="40" w:after="0" w:line="259" w:lineRule="auto"/>
        <w:jc w:val="both"/>
        <w:rPr>
          <w:rFonts w:cs="Times New Roman"/>
          <w:noProof/>
        </w:rPr>
      </w:pPr>
      <w:r>
        <w:rPr>
          <w:noProof/>
        </w:rPr>
        <w:t>Iepriekš minētajā administratīvajā vai tiesību aktā ir arī noteikts, ka pirms atjaunīgā ūdeņraža ražošanas uzsākšanas, lai saņemtu “rūpniecības iekārtas uzstādīšanas un ekspluatācijas atļauju”, pieteikuma iesniedzējam attiecīgā gadījumā jāiesniedz galīgais līgums par tās atjaunīgās enerģijas iegādi, ko tas patērē ražošanas procesā, kā arī informācija, kas vajadzīga, lai pierādītu, ka deklarācijā noteiktās saistības ir izpildītas.</w:t>
      </w:r>
    </w:p>
    <w:p w14:paraId="0A85B859" w14:textId="77777777" w:rsidR="00776A1F" w:rsidRDefault="00D8574B">
      <w:pPr>
        <w:pStyle w:val="P68B1DB1-Normal4"/>
        <w:spacing w:before="40" w:after="0" w:line="259" w:lineRule="auto"/>
        <w:jc w:val="both"/>
        <w:rPr>
          <w:rFonts w:eastAsiaTheme="minorEastAsia" w:cs="Times New Roman"/>
          <w:noProof/>
        </w:rPr>
      </w:pPr>
      <w:r>
        <w:rPr>
          <w:noProof/>
        </w:rPr>
        <w:t>Reformas īstenošanu pabeidz līdz 2024. gada 30. jūnijam.</w:t>
      </w:r>
    </w:p>
    <w:p w14:paraId="6FC4D499" w14:textId="16F151BF" w:rsidR="00776A1F" w:rsidRDefault="00D8574B">
      <w:pPr>
        <w:pStyle w:val="P68B1DB1-Normal5"/>
        <w:keepNext/>
        <w:spacing w:before="240" w:after="0" w:line="259" w:lineRule="auto"/>
        <w:ind w:left="851"/>
        <w:jc w:val="both"/>
        <w:outlineLvl w:val="2"/>
        <w:rPr>
          <w:rFonts w:eastAsiaTheme="minorEastAsia"/>
          <w:noProof/>
        </w:rPr>
      </w:pPr>
      <w:bookmarkStart w:id="43" w:name="bookmark30"/>
      <w:r>
        <w:rPr>
          <w:noProof/>
        </w:rPr>
        <w:t>RP-C21-r47 reforma: Ilgtspējīga biometāna</w:t>
      </w:r>
      <w:bookmarkEnd w:id="43"/>
      <w:r>
        <w:rPr>
          <w:noProof/>
        </w:rPr>
        <w:t xml:space="preserve"> un biometāna rīcības plāna pirmā izsole</w:t>
      </w:r>
    </w:p>
    <w:p w14:paraId="6D1CD5D5" w14:textId="1350F59D" w:rsidR="00776A1F" w:rsidRDefault="00D8574B">
      <w:pPr>
        <w:pStyle w:val="P68B1DB1-Normal4"/>
        <w:spacing w:before="40" w:after="0" w:line="259" w:lineRule="auto"/>
        <w:jc w:val="both"/>
        <w:rPr>
          <w:rFonts w:cs="Times New Roman"/>
          <w:noProof/>
        </w:rPr>
      </w:pPr>
      <w:r>
        <w:rPr>
          <w:noProof/>
        </w:rPr>
        <w:t xml:space="preserve">Šīs reformas mērķis ir veicināt un veicināt ilgtspējīga biometāna ražošanu un patēriņu, radot nepieciešamos apstākļus biometāna ekonomikas attīstībai Portugālē. </w:t>
      </w:r>
    </w:p>
    <w:p w14:paraId="06444E15" w14:textId="479A0C14" w:rsidR="00776A1F" w:rsidRDefault="00D8574B">
      <w:pPr>
        <w:pStyle w:val="P68B1DB1-Normal4"/>
        <w:spacing w:before="40" w:after="0" w:line="259" w:lineRule="auto"/>
        <w:jc w:val="both"/>
        <w:rPr>
          <w:rFonts w:cs="Times New Roman"/>
          <w:noProof/>
        </w:rPr>
      </w:pPr>
      <w:r>
        <w:rPr>
          <w:noProof/>
        </w:rPr>
        <w:t>Reforma ietver pirmās izsoles sākšanu par ilgtspējīga biometāna centralizētu iegādi, ko veic vairumtirgotājs (CURg) saskaņā ar valdības 4. janvāra Rīkojumu Nr. 15/2023. Izsoles mērķis ir iegādāties 150 GWh gadā biometāna ievadīšanai valsts gāzes tīklā. Reforma ietver arī Biometāna rīcības plāna pieņemšanu, kurā izklāsta stratēģiju biometāna attīstībai Portugālē. Rīcības plānā ierosina darbības, lai nodrošinātu labvēlīgu tiesisko regulējumu apvienojumā ar valsts politikas pasākumu kopumu, kas atbalsta biometāna iekšējā tirgus izveidi, lai atbalstītu ražošanu un veicinātu patēriņu.</w:t>
      </w:r>
    </w:p>
    <w:p w14:paraId="05743F4B" w14:textId="77777777" w:rsidR="00776A1F" w:rsidRDefault="00D8574B">
      <w:pPr>
        <w:pStyle w:val="P68B1DB1-Normal4"/>
        <w:spacing w:before="40" w:after="0" w:line="259" w:lineRule="auto"/>
        <w:jc w:val="both"/>
        <w:rPr>
          <w:rFonts w:eastAsiaTheme="minorEastAsia" w:cs="Times New Roman"/>
          <w:noProof/>
        </w:rPr>
      </w:pPr>
      <w:r>
        <w:rPr>
          <w:noProof/>
        </w:rPr>
        <w:t>Reformas īstenošanu pabeidz līdz 2024. gada 31. martam.</w:t>
      </w:r>
    </w:p>
    <w:p w14:paraId="69A70CF0" w14:textId="37012EB1"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RP-C21–r48 reforma: Atjaunojamo energoresursu enerģijas projektiem piemērojamā tiesiskā un normatīvā regulējuma vienkāršošana</w:t>
      </w:r>
    </w:p>
    <w:p w14:paraId="48A84454" w14:textId="77777777" w:rsidR="00776A1F" w:rsidRDefault="00D8574B">
      <w:pPr>
        <w:pStyle w:val="P68B1DB1-Bodytext2020"/>
        <w:spacing w:before="40" w:after="0" w:line="259" w:lineRule="auto"/>
        <w:ind w:firstLine="0"/>
        <w:jc w:val="both"/>
        <w:rPr>
          <w:rFonts w:cs="Times New Roman"/>
          <w:b/>
          <w:noProof/>
        </w:rPr>
      </w:pPr>
      <w:r>
        <w:rPr>
          <w:noProof/>
        </w:rPr>
        <w:t xml:space="preserve">Šīs reformas mērķis ir veicināt atjaunīgās enerģijas projektus, vienkāršojot tiesisko regulējumu un tiesisko regulējumu attiecībā uz atjaunīgās enerģijas atļauju piešķiršanu un apmācību tiem, kas nodarbojas ar atļauju izsniegšanu un attiecīgo digitālo rīku. </w:t>
      </w:r>
    </w:p>
    <w:p w14:paraId="7A522EFE" w14:textId="77777777" w:rsidR="00776A1F" w:rsidRDefault="00D8574B">
      <w:pPr>
        <w:pStyle w:val="P68B1DB1-Bodytext2020"/>
        <w:spacing w:before="40" w:after="0" w:line="259" w:lineRule="auto"/>
        <w:ind w:firstLine="0"/>
        <w:jc w:val="both"/>
        <w:rPr>
          <w:rFonts w:cs="Times New Roman"/>
          <w:b/>
          <w:noProof/>
        </w:rPr>
      </w:pPr>
      <w:r>
        <w:rPr>
          <w:noProof/>
        </w:rPr>
        <w:t>Reforma ietver:</w:t>
      </w:r>
    </w:p>
    <w:p w14:paraId="3DE1B65E" w14:textId="44219824" w:rsidR="00776A1F" w:rsidRDefault="00D8574B">
      <w:pPr>
        <w:pStyle w:val="ListParagraph"/>
        <w:keepNext w:val="0"/>
        <w:numPr>
          <w:ilvl w:val="0"/>
          <w:numId w:val="89"/>
        </w:numPr>
        <w:spacing w:before="40" w:after="0" w:line="259" w:lineRule="auto"/>
        <w:rPr>
          <w:noProof/>
        </w:rPr>
      </w:pPr>
      <w:r>
        <w:rPr>
          <w:noProof/>
        </w:rPr>
        <w:t>Stājas spēkā leģislatīvais akts, ar ko izveido Atjaunojamās enerģijas projektu licencēšanas misijas vienību 2030. gadam (“Umer 2030”). Umer 2030 uzdevums cita starpā ir:</w:t>
      </w:r>
    </w:p>
    <w:p w14:paraId="171E03CD" w14:textId="77777777" w:rsidR="00776A1F" w:rsidRDefault="00D8574B">
      <w:pPr>
        <w:pStyle w:val="ListParagraph"/>
        <w:keepNext w:val="0"/>
        <w:numPr>
          <w:ilvl w:val="1"/>
          <w:numId w:val="89"/>
        </w:numPr>
        <w:spacing w:before="40" w:after="0" w:line="259" w:lineRule="auto"/>
        <w:rPr>
          <w:noProof/>
        </w:rPr>
      </w:pPr>
      <w:r>
        <w:rPr>
          <w:noProof/>
        </w:rPr>
        <w:t>Nodrošināt, ka tiek sasniegti pārskatītā nacionālā enerģētikas un klimata plāna 2030. gadam mērķi, un paātrināt atjaunīgās enerģijas projektu īstenošanu Portugālē;</w:t>
      </w:r>
    </w:p>
    <w:p w14:paraId="7584862B" w14:textId="77777777" w:rsidR="00776A1F" w:rsidRDefault="00D8574B">
      <w:pPr>
        <w:pStyle w:val="ListParagraph"/>
        <w:keepNext w:val="0"/>
        <w:numPr>
          <w:ilvl w:val="1"/>
          <w:numId w:val="89"/>
        </w:numPr>
        <w:spacing w:before="40" w:after="0" w:line="259" w:lineRule="auto"/>
        <w:rPr>
          <w:noProof/>
        </w:rPr>
      </w:pPr>
      <w:r>
        <w:rPr>
          <w:noProof/>
        </w:rPr>
        <w:t xml:space="preserve">Izstrādāt procedūru rokasgrāmatu, lai atbalstītu un vienkāršotu pašpatēriņa un atjaunojamās enerģijas kopienu licencēšanas procedūru; </w:t>
      </w:r>
    </w:p>
    <w:p w14:paraId="781C1063" w14:textId="77777777" w:rsidR="00776A1F" w:rsidRDefault="00D8574B">
      <w:pPr>
        <w:pStyle w:val="ListParagraph"/>
        <w:keepNext w:val="0"/>
        <w:numPr>
          <w:ilvl w:val="1"/>
          <w:numId w:val="89"/>
        </w:numPr>
        <w:spacing w:before="40" w:after="0" w:line="259" w:lineRule="auto"/>
        <w:rPr>
          <w:noProof/>
        </w:rPr>
      </w:pPr>
      <w:r>
        <w:rPr>
          <w:noProof/>
        </w:rPr>
        <w:t xml:space="preserve">Izstrādāt, īstenot un pārvaldīt </w:t>
      </w:r>
      <w:r>
        <w:rPr>
          <w:i/>
          <w:noProof/>
        </w:rPr>
        <w:t>vienas pieturas aģentūru</w:t>
      </w:r>
      <w:r>
        <w:rPr>
          <w:noProof/>
        </w:rPr>
        <w:t xml:space="preserve"> atjaunojamās enerģijas projektu licencēšanai un uzraudzībai (RP-C14-i02);</w:t>
      </w:r>
    </w:p>
    <w:p w14:paraId="67AD8E0A" w14:textId="77777777" w:rsidR="00776A1F" w:rsidRDefault="00D8574B">
      <w:pPr>
        <w:pStyle w:val="ListParagraph"/>
        <w:keepNext w:val="0"/>
        <w:numPr>
          <w:ilvl w:val="1"/>
          <w:numId w:val="89"/>
        </w:numPr>
        <w:spacing w:before="40" w:after="0" w:line="259" w:lineRule="auto"/>
        <w:rPr>
          <w:noProof/>
        </w:rPr>
      </w:pPr>
      <w:r>
        <w:rPr>
          <w:noProof/>
        </w:rPr>
        <w:t>Izstrādāt priekšlikumu nozaru programmai attiecībā uz atjaunojamiem mērķiem;</w:t>
      </w:r>
    </w:p>
    <w:p w14:paraId="082EFB04" w14:textId="77777777" w:rsidR="00776A1F" w:rsidRDefault="00D8574B">
      <w:pPr>
        <w:pStyle w:val="ListParagraph"/>
        <w:keepNext w:val="0"/>
        <w:numPr>
          <w:ilvl w:val="1"/>
          <w:numId w:val="89"/>
        </w:numPr>
        <w:spacing w:before="40" w:after="0" w:line="259" w:lineRule="auto"/>
        <w:rPr>
          <w:noProof/>
        </w:rPr>
      </w:pPr>
      <w:r>
        <w:rPr>
          <w:noProof/>
        </w:rPr>
        <w:t>Konsolidēt tiesisko regulējumu un tiesisko regulējumu, kas piemērojams elektroenerģijas un vides licencēšanai atjaunojamās enerģijas un akumulācijas projektiem.</w:t>
      </w:r>
    </w:p>
    <w:p w14:paraId="0D6072B7" w14:textId="77777777" w:rsidR="00776A1F" w:rsidRDefault="00D8574B">
      <w:pPr>
        <w:pStyle w:val="P68B1DB1-Bodytext2020"/>
        <w:widowControl/>
        <w:numPr>
          <w:ilvl w:val="0"/>
          <w:numId w:val="89"/>
        </w:numPr>
        <w:shd w:val="clear" w:color="auto" w:fill="auto"/>
        <w:spacing w:before="40" w:after="0" w:line="259" w:lineRule="auto"/>
        <w:jc w:val="both"/>
        <w:rPr>
          <w:rFonts w:eastAsiaTheme="minorEastAsia" w:cs="Times New Roman"/>
          <w:b/>
          <w:noProof/>
        </w:rPr>
      </w:pPr>
      <w:r>
        <w:rPr>
          <w:noProof/>
        </w:rPr>
        <w:t>Reforma ietver arī noteikumu izstrādi par pašvaldību licencēšanu atjaunojamās enerģijas un uzkrāšanas projektiem, grozot ministrijas Rīkojumu Nr. 113/2015, kurā noteikti attiecīgie elementi, kas jāiesniedz pašvaldības atjaunīgās enerģijas projektu licencēšanas procedūrai.</w:t>
      </w:r>
    </w:p>
    <w:p w14:paraId="481D9B0A" w14:textId="77777777" w:rsidR="00776A1F" w:rsidRDefault="00D8574B">
      <w:pPr>
        <w:pStyle w:val="P68B1DB1-Bodytext2020"/>
        <w:widowControl/>
        <w:numPr>
          <w:ilvl w:val="0"/>
          <w:numId w:val="89"/>
        </w:numPr>
        <w:shd w:val="clear" w:color="auto" w:fill="auto"/>
        <w:spacing w:before="40" w:after="0" w:line="259" w:lineRule="auto"/>
        <w:jc w:val="both"/>
        <w:rPr>
          <w:rFonts w:cs="Times New Roman"/>
          <w:b/>
          <w:noProof/>
        </w:rPr>
      </w:pPr>
      <w:r>
        <w:rPr>
          <w:noProof/>
        </w:rPr>
        <w:t>Reforma paredz arī grafiku jaunas atjaunojamo energoresursu enerģijas jaudas piešķiršanai, īpašu uzmanību pievēršot ģeogrāfiskajiem apgabaliem, kas izriet no nozares programmas “Atjaunojamie reģioni”.</w:t>
      </w:r>
    </w:p>
    <w:p w14:paraId="32D1B031" w14:textId="77777777" w:rsidR="00776A1F" w:rsidRDefault="00D8574B">
      <w:pPr>
        <w:pStyle w:val="P68B1DB1-Bodytext2020"/>
        <w:widowControl/>
        <w:numPr>
          <w:ilvl w:val="0"/>
          <w:numId w:val="89"/>
        </w:numPr>
        <w:shd w:val="clear" w:color="auto" w:fill="auto"/>
        <w:spacing w:before="40" w:after="0" w:line="259" w:lineRule="auto"/>
        <w:jc w:val="both"/>
        <w:rPr>
          <w:rFonts w:cs="Times New Roman"/>
          <w:b/>
          <w:noProof/>
        </w:rPr>
      </w:pPr>
      <w:r>
        <w:rPr>
          <w:noProof/>
        </w:rPr>
        <w:t xml:space="preserve">Reforma ietver arī apmācību 500 centrālās, reģionālās un vietējās publiskās pārvaldes vadītājiem un tehniķiem saistībā ar atļauju piešķiršanas procedūrām atjaunojamās enerģijas projektiem un enerģijas uzkrāšanu. </w:t>
      </w:r>
    </w:p>
    <w:p w14:paraId="31610E4F" w14:textId="77777777" w:rsidR="00776A1F" w:rsidRDefault="00D8574B">
      <w:pPr>
        <w:pStyle w:val="P68B1DB1-Normal4"/>
        <w:spacing w:before="40" w:after="0" w:line="259" w:lineRule="auto"/>
        <w:jc w:val="both"/>
        <w:rPr>
          <w:rFonts w:cs="Times New Roman"/>
          <w:noProof/>
        </w:rPr>
      </w:pPr>
      <w:r>
        <w:rPr>
          <w:noProof/>
        </w:rPr>
        <w:t>Reformas īstenošanu pabeidz līdz 2024. gada 30. jūnijam.</w:t>
      </w:r>
    </w:p>
    <w:p w14:paraId="2D61E7C0" w14:textId="436900C9" w:rsidR="00776A1F" w:rsidRDefault="00D8574B">
      <w:pPr>
        <w:pStyle w:val="P68B1DB1-Normal5"/>
        <w:keepNext/>
        <w:spacing w:before="240" w:after="0" w:line="259" w:lineRule="auto"/>
        <w:ind w:left="851"/>
        <w:jc w:val="both"/>
        <w:outlineLvl w:val="2"/>
        <w:rPr>
          <w:rFonts w:eastAsiaTheme="minorEastAsia" w:cs="Times New Roman"/>
          <w:noProof/>
        </w:rPr>
      </w:pPr>
      <w:bookmarkStart w:id="44" w:name="_Hlk140157845"/>
      <w:r>
        <w:rPr>
          <w:noProof/>
        </w:rPr>
        <w:t xml:space="preserve">Ieguldījumu RP-C21– </w:t>
      </w:r>
      <w:bookmarkEnd w:id="44"/>
      <w:r>
        <w:rPr>
          <w:noProof/>
        </w:rPr>
        <w:t>i06 Palielinātais pasākums: Ūdeņradis un atjaunīgās gāzes</w:t>
      </w:r>
    </w:p>
    <w:p w14:paraId="20046906" w14:textId="77777777" w:rsidR="00776A1F" w:rsidRDefault="00D8574B">
      <w:pPr>
        <w:pStyle w:val="P68B1DB1-Normal4"/>
        <w:spacing w:before="40" w:after="0" w:line="259" w:lineRule="auto"/>
        <w:jc w:val="both"/>
        <w:rPr>
          <w:rFonts w:cs="Times New Roman"/>
          <w:noProof/>
        </w:rPr>
      </w:pPr>
      <w:r>
        <w:rPr>
          <w:noProof/>
        </w:rPr>
        <w:t xml:space="preserve">Šā ieguldījuma mērķis ir palielināt esošo ieguldījumu C14 </w:t>
      </w:r>
      <w:r>
        <w:rPr>
          <w:i/>
          <w:noProof/>
        </w:rPr>
        <w:t xml:space="preserve">-i01: Ūdeņradis un atjaunīgās gāzes </w:t>
      </w:r>
      <w:r>
        <w:rPr>
          <w:noProof/>
        </w:rPr>
        <w:t>saskaņā ar 14. komponentu.</w:t>
      </w:r>
    </w:p>
    <w:p w14:paraId="643DCE77" w14:textId="77777777" w:rsidR="00776A1F" w:rsidRDefault="00D8574B">
      <w:pPr>
        <w:pStyle w:val="P68B1DB1-Bodytext2020"/>
        <w:spacing w:before="40" w:after="0" w:line="259" w:lineRule="auto"/>
        <w:ind w:firstLine="0"/>
        <w:jc w:val="both"/>
        <w:rPr>
          <w:rFonts w:eastAsiaTheme="minorEastAsia" w:cs="Times New Roman"/>
          <w:b/>
          <w:noProof/>
        </w:rPr>
      </w:pPr>
      <w:r>
        <w:rPr>
          <w:noProof/>
        </w:rPr>
        <w:t>Pasākuma paplašinātā daļa palielina atjaunīgā ūdeņraža un atjaunīgās gāzes ražošanas jaudu. Pasākums ietver darbības, kuru mērķis ir veicināt atjaunīgo gāzu ražošanu, uzglabāšanu, transportēšanu un sadali un kuru mērķis ir palielināt atjaunīgo gāzu devumu enerģijas patēriņā, samazināt SEG emisijas, samazināt energoatkarību un uzlabot energoapgādes drošību.</w:t>
      </w:r>
    </w:p>
    <w:p w14:paraId="3226896B" w14:textId="77777777" w:rsidR="00776A1F" w:rsidRDefault="00D8574B">
      <w:pPr>
        <w:pStyle w:val="P68B1DB1-Bodytext2020"/>
        <w:spacing w:before="40" w:after="0" w:line="259" w:lineRule="auto"/>
        <w:ind w:firstLine="0"/>
        <w:jc w:val="both"/>
        <w:rPr>
          <w:rFonts w:eastAsiaTheme="minorEastAsia" w:cs="Times New Roman"/>
          <w:b/>
          <w:noProof/>
        </w:rPr>
      </w:pPr>
      <w:r>
        <w:rPr>
          <w:noProof/>
        </w:rPr>
        <w:t xml:space="preserve">Atbalsta dažādus lietojumus, piemēram, atjaunīgo gāzu izmantošanu transportam un atjaunīgo gāzu ievadīšanu dabasgāzes tīklā. </w:t>
      </w:r>
    </w:p>
    <w:p w14:paraId="0B728DB7" w14:textId="77777777" w:rsidR="00776A1F" w:rsidRDefault="00D8574B">
      <w:pPr>
        <w:pStyle w:val="P68B1DB1-Bodytext2020"/>
        <w:spacing w:before="40" w:after="0" w:line="259" w:lineRule="auto"/>
        <w:ind w:firstLine="0"/>
        <w:jc w:val="both"/>
        <w:rPr>
          <w:rFonts w:eastAsiaTheme="minorEastAsia" w:cs="Times New Roman"/>
          <w:b/>
          <w:noProof/>
        </w:rPr>
      </w:pPr>
      <w:r>
        <w:rPr>
          <w:noProof/>
        </w:rPr>
        <w:t xml:space="preserve">Atjaunīgā ūdeņraža ražošanai izmanto tikai elektrolīzi. </w:t>
      </w:r>
    </w:p>
    <w:p w14:paraId="44B34FAA" w14:textId="77777777" w:rsidR="00776A1F" w:rsidRDefault="00D8574B">
      <w:pPr>
        <w:pStyle w:val="P68B1DB1-Bodytext2020"/>
        <w:spacing w:before="40" w:after="0" w:line="259" w:lineRule="auto"/>
        <w:ind w:firstLine="0"/>
        <w:jc w:val="both"/>
        <w:rPr>
          <w:rFonts w:eastAsiaTheme="minorEastAsia" w:cs="Times New Roman"/>
          <w:b/>
          <w:noProof/>
        </w:rPr>
      </w:pPr>
      <w:r>
        <w:rPr>
          <w:noProof/>
        </w:rPr>
        <w:t xml:space="preserve">Citu atjaunīgo gāzu ražošanā izmanto citas tehnoloģijas: termoķīmiskie un hidrotermiskie procesi (tikai ilgtspējīga biometāna ražošanai); bioloģiskie procesi (biofotolīze un fermentācija); biogāzes bagātināšanu no biomasas materiālu anaerobās noārdīšanās izmanto tikai ilgtspējīga biometāna ražošanai (biogāzes ražošanu varētu atbalstīt, ja tā ietver arī biogāzes modernizēšanu par ilgtspējīgu biometānu); un d) metanizāciju veic tikai no bioatkritumiem. </w:t>
      </w:r>
    </w:p>
    <w:p w14:paraId="2E0410B7" w14:textId="77C7C6FA" w:rsidR="00776A1F" w:rsidRDefault="00D8574B">
      <w:pPr>
        <w:pStyle w:val="P68B1DB1-Bodytext2020"/>
        <w:spacing w:before="40" w:after="0" w:line="259" w:lineRule="auto"/>
        <w:ind w:firstLine="0"/>
        <w:jc w:val="both"/>
        <w:rPr>
          <w:rFonts w:eastAsiaTheme="minorEastAsia" w:cs="Times New Roman"/>
          <w:b/>
          <w:noProof/>
        </w:rPr>
      </w:pPr>
      <w:r>
        <w:rPr>
          <w:noProof/>
        </w:rPr>
        <w:t xml:space="preserve">Atjaunīgā ūdeņraža ražošanai ir jāatbilst Atjaunojamo energoresursu direktīvai un tās deleģētajiem aktiem (2018/2001/ES). </w:t>
      </w:r>
    </w:p>
    <w:p w14:paraId="6D01FBCB" w14:textId="34B7C01C" w:rsidR="00776A1F" w:rsidRDefault="00D8574B">
      <w:pPr>
        <w:pStyle w:val="P68B1DB1-Bodytext2020"/>
        <w:spacing w:before="40" w:after="0" w:line="259" w:lineRule="auto"/>
        <w:ind w:firstLine="0"/>
        <w:jc w:val="both"/>
        <w:rPr>
          <w:rFonts w:eastAsiaTheme="minorEastAsia" w:cs="Times New Roman"/>
          <w:b/>
          <w:noProof/>
        </w:rPr>
      </w:pPr>
      <w:r>
        <w:rPr>
          <w:noProof/>
        </w:rPr>
        <w:t xml:space="preserve">Investīcijām ir ļoti īpaša uzmanība, un to mērķis ir palielināt uzstādīto jaudu atjaunīgā ūdeņraža un citu atjaunīgo gāzu ražošanai, tostarp uzstādīto jaudu elektrolīzeros atjaunīgā ūdeņraža ražošanai. Projektu īsteno, izsludinot atklātu(-s) uzaicinājumu(-us) iesniegt piedāvājumus, lai atbalstītu projektus, nepārsniedzot EUR 15000000 vienam projektam. </w:t>
      </w:r>
    </w:p>
    <w:p w14:paraId="0025873F" w14:textId="77777777" w:rsidR="00776A1F" w:rsidRDefault="00D8574B">
      <w:pPr>
        <w:pStyle w:val="P68B1DB1-Bodytext2020"/>
        <w:spacing w:before="40" w:after="0" w:line="259" w:lineRule="auto"/>
        <w:ind w:firstLine="0"/>
        <w:jc w:val="both"/>
        <w:rPr>
          <w:rFonts w:eastAsiaTheme="minorEastAsia" w:cs="Times New Roman"/>
          <w:b/>
          <w:noProof/>
        </w:rPr>
      </w:pPr>
      <w:r>
        <w:rPr>
          <w:noProof/>
        </w:rPr>
        <w:t>Šis pasākums atbalsta nobriedušas tehnoloģijas (TRL &gt; 8), kas cita starpā veicina ne tikai atjaunīgā ūdeņraža ražošanu, bet arī citu atjaunīgo gāzu ražošanu, izmantojot sadzīves atkritumu organiskā komponenta, notekūdeņu attīrīšanas iekārtu dūņu, lauksaimniecības un rūpniecības notekūdeņu (izņemot plastmasas atkritumus) enerģijas reģenerāciju. Šā ieguldījuma ietvaros nav paredzēta reciklēta oglekļa kurināmā ražošana.</w:t>
      </w:r>
    </w:p>
    <w:p w14:paraId="46B6D36C" w14:textId="77777777" w:rsidR="00776A1F" w:rsidRDefault="00D8574B">
      <w:pPr>
        <w:pStyle w:val="P68B1DB1-Bodytext2020"/>
        <w:spacing w:before="40" w:after="0" w:line="259" w:lineRule="auto"/>
        <w:ind w:firstLine="0"/>
        <w:jc w:val="both"/>
        <w:rPr>
          <w:rFonts w:eastAsiaTheme="minorEastAsia" w:cs="Times New Roman"/>
          <w:b/>
          <w:noProof/>
        </w:rPr>
      </w:pPr>
      <w:r>
        <w:rPr>
          <w:noProof/>
        </w:rPr>
        <w:t>Ieguldījumu īstenošanu pabeidz līdz 2026. gada 30. jūnijam.</w:t>
      </w:r>
    </w:p>
    <w:p w14:paraId="1D5BE002" w14:textId="08876800" w:rsidR="00776A1F" w:rsidRDefault="00D8574B">
      <w:pPr>
        <w:pStyle w:val="P68B1DB1-Normal5"/>
        <w:keepNext/>
        <w:spacing w:before="240" w:after="0" w:line="259" w:lineRule="auto"/>
        <w:ind w:left="851"/>
        <w:jc w:val="both"/>
        <w:outlineLvl w:val="2"/>
        <w:rPr>
          <w:rFonts w:eastAsiaTheme="minorEastAsia" w:cs="Times New Roman"/>
          <w:noProof/>
        </w:rPr>
      </w:pPr>
      <w:bookmarkStart w:id="45" w:name="bookmark45"/>
      <w:r>
        <w:rPr>
          <w:noProof/>
        </w:rPr>
        <w:t>Ieguldījums RP-C21–07: Tehniskie pētījumi par atkrastes enerģijas potenciālu</w:t>
      </w:r>
      <w:bookmarkEnd w:id="45"/>
    </w:p>
    <w:p w14:paraId="68AD5D6E" w14:textId="77777777" w:rsidR="00776A1F" w:rsidRDefault="00D8574B">
      <w:pPr>
        <w:pStyle w:val="P68B1DB1-Bodytext2020"/>
        <w:spacing w:before="40" w:after="0" w:line="259" w:lineRule="auto"/>
        <w:ind w:firstLine="0"/>
        <w:jc w:val="both"/>
        <w:rPr>
          <w:rFonts w:eastAsiaTheme="minorEastAsia" w:cs="Times New Roman"/>
          <w:noProof/>
        </w:rPr>
      </w:pPr>
      <w:bookmarkStart w:id="46" w:name="_Hlk137476371"/>
      <w:r>
        <w:rPr>
          <w:noProof/>
        </w:rPr>
        <w:t xml:space="preserve">Šī ieguldījuma mērķis ir ļaut Portugāles valstij rīkot konkursa procedūras peldošas atkrastes vēja enerģijas jaudas uzstādīšanai. </w:t>
      </w:r>
    </w:p>
    <w:p w14:paraId="023D26BD" w14:textId="77777777" w:rsidR="00776A1F" w:rsidRDefault="00D8574B">
      <w:pPr>
        <w:pStyle w:val="P68B1DB1-Bodytext2020"/>
        <w:spacing w:before="40" w:after="0" w:line="259" w:lineRule="auto"/>
        <w:ind w:firstLine="0"/>
        <w:jc w:val="both"/>
        <w:rPr>
          <w:rFonts w:eastAsiaTheme="minorEastAsia" w:cs="Times New Roman"/>
          <w:noProof/>
        </w:rPr>
      </w:pPr>
      <w:r>
        <w:rPr>
          <w:noProof/>
        </w:rPr>
        <w:t xml:space="preserve">Ieguldījumu veido augstas izšķirtspējas ģeofizisko, ģeotehnisko, vēja, viļņu un strāvas pētījumu izstrāde vismaz 2 000 km² platībā Atlantijas okeānā. Pētījumi pēc to pabeigšanas kalpo par pamatu turpmāku izsoļu sākšanai attiecībā uz atkrastes teritorijām, kas uzskaitītas Valsts jūras telpiskās plānošanas situācijas plānā (PSOEM). </w:t>
      </w:r>
    </w:p>
    <w:p w14:paraId="609A2BBF" w14:textId="28DEB11B" w:rsidR="00776A1F" w:rsidRDefault="00D8574B">
      <w:pPr>
        <w:pStyle w:val="P68B1DB1-Bodytext2020"/>
        <w:spacing w:before="40" w:after="0" w:line="259" w:lineRule="auto"/>
        <w:ind w:firstLine="0"/>
        <w:jc w:val="both"/>
        <w:rPr>
          <w:rFonts w:eastAsiaTheme="minorEastAsia" w:cs="Times New Roman"/>
          <w:noProof/>
        </w:rPr>
      </w:pPr>
      <w:r>
        <w:rPr>
          <w:noProof/>
        </w:rPr>
        <w:t xml:space="preserve">Ieguldījumu īstenošanu pabeidz līdz 2026. gada 30. jūnijam. </w:t>
      </w:r>
    </w:p>
    <w:bookmarkEnd w:id="46"/>
    <w:p w14:paraId="42F0CC47" w14:textId="36768B60"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RP-C21–08: Tīkla elastība un uzglabāšana</w:t>
      </w:r>
    </w:p>
    <w:p w14:paraId="2AD9942A" w14:textId="77777777" w:rsidR="00776A1F" w:rsidRDefault="00D8574B">
      <w:pPr>
        <w:pStyle w:val="P68B1DB1-Bodytext2020"/>
        <w:spacing w:before="40" w:after="0" w:line="259" w:lineRule="auto"/>
        <w:ind w:firstLine="0"/>
        <w:jc w:val="both"/>
        <w:rPr>
          <w:rFonts w:eastAsiaTheme="minorEastAsia" w:cs="Times New Roman"/>
          <w:noProof/>
        </w:rPr>
      </w:pPr>
      <w:r>
        <w:rPr>
          <w:noProof/>
        </w:rPr>
        <w:t xml:space="preserve">Šo investīciju mērķis ir palielināt publiskā elektrotīkla elastību, ļaujot optimizēt un elastīgi pārvaldīt elektroenerģijas sistēmu, ņemot vērā arī paredzamo atjaunīgās elektroenerģijas ražošanas un patēriņa pieaugumu. </w:t>
      </w:r>
    </w:p>
    <w:p w14:paraId="7815D6F6" w14:textId="0347E7C2" w:rsidR="00776A1F" w:rsidRDefault="00D8574B">
      <w:pPr>
        <w:pStyle w:val="P68B1DB1-Bodytext2020"/>
        <w:spacing w:before="40" w:after="0" w:line="259" w:lineRule="auto"/>
        <w:ind w:firstLine="0"/>
        <w:jc w:val="both"/>
        <w:rPr>
          <w:rFonts w:eastAsiaTheme="minorEastAsia" w:cs="Times New Roman"/>
          <w:noProof/>
        </w:rPr>
      </w:pPr>
      <w:r>
        <w:rPr>
          <w:noProof/>
        </w:rPr>
        <w:t>Investīcijas ietver atbalstu vismaz 500 MW enerģijas uzkrāšanas jaudas uzstādīšanai elektrotīklā (gan pārvades, gan sadales līmenī). Uzkrāšanas jaudu piešķir, pamatojoties uz to apgabalu iepriekšēju identifikāciju, kuriem visvairāk vajadzīga palīdzība, piemēram, teritorijas, kurās ir visvairāk tīkla ierobežojumu vai kurās ir vislielākais atjaunīgās enerģijas īpatsvars. Projektus atbalsta līdz 20 % apmērā no attiecināmajām izmaksām.</w:t>
      </w:r>
    </w:p>
    <w:p w14:paraId="78E4950C" w14:textId="77777777" w:rsidR="00776A1F" w:rsidRDefault="00D8574B">
      <w:pPr>
        <w:pStyle w:val="P68B1DB1-Bodytext2020"/>
        <w:spacing w:before="40" w:after="0" w:line="259" w:lineRule="auto"/>
        <w:ind w:firstLine="0"/>
        <w:jc w:val="both"/>
        <w:rPr>
          <w:rFonts w:eastAsiaTheme="minorEastAsia" w:cs="Times New Roman"/>
          <w:noProof/>
        </w:rPr>
      </w:pPr>
      <w:r>
        <w:rPr>
          <w:noProof/>
        </w:rPr>
        <w:t>Šo investīciju īstenošanu pabeidz līdz 2025. gada 31. decembrim.</w:t>
      </w:r>
    </w:p>
    <w:p w14:paraId="60EBD781" w14:textId="7CCDA1C9" w:rsidR="00776A1F" w:rsidRDefault="00D8574B">
      <w:pPr>
        <w:pStyle w:val="P68B1DB1-Normal5"/>
        <w:keepNext/>
        <w:spacing w:before="240" w:after="0" w:line="259" w:lineRule="auto"/>
        <w:ind w:left="851"/>
        <w:jc w:val="both"/>
        <w:outlineLvl w:val="2"/>
        <w:rPr>
          <w:rFonts w:eastAsiaTheme="minorEastAsia" w:cs="Times New Roman"/>
          <w:noProof/>
        </w:rPr>
      </w:pPr>
      <w:bookmarkStart w:id="47" w:name="_Toc137472488"/>
      <w:r>
        <w:rPr>
          <w:noProof/>
        </w:rPr>
        <w:t xml:space="preserve">Ieguldījums RP-C21–i09: Vienas pieturas aģentūra atjaunojamās </w:t>
      </w:r>
      <w:bookmarkEnd w:id="47"/>
      <w:r>
        <w:rPr>
          <w:noProof/>
        </w:rPr>
        <w:t>enerģijas projektu licencēšanai un uzraudzībai</w:t>
      </w:r>
    </w:p>
    <w:p w14:paraId="52B75311" w14:textId="7CBD5A8C" w:rsidR="00776A1F" w:rsidRDefault="00D8574B">
      <w:pPr>
        <w:pStyle w:val="P68B1DB1-Normal4"/>
        <w:spacing w:beforeLines="40" w:before="96" w:after="0" w:line="22" w:lineRule="atLeast"/>
        <w:jc w:val="both"/>
        <w:rPr>
          <w:rFonts w:cs="Times New Roman"/>
          <w:noProof/>
        </w:rPr>
      </w:pPr>
      <w:r>
        <w:rPr>
          <w:noProof/>
        </w:rPr>
        <w:t xml:space="preserve">Šā ieguldījuma mērķis ir veicināt atjaunojamās enerģijas projektu attīstību, izveidojot digitālu vienas pieturas aģentūru atjaunīgās enerģijas projektu atļauju piešķiršanai un uzraudzībai. </w:t>
      </w:r>
    </w:p>
    <w:p w14:paraId="5DFA9FE5" w14:textId="6B59B56A" w:rsidR="00776A1F" w:rsidRDefault="00D8574B">
      <w:pPr>
        <w:pStyle w:val="P68B1DB1-Normal4"/>
        <w:spacing w:beforeLines="40" w:before="96" w:after="0" w:line="22" w:lineRule="atLeast"/>
        <w:jc w:val="both"/>
        <w:rPr>
          <w:rFonts w:cs="Times New Roman"/>
          <w:noProof/>
        </w:rPr>
      </w:pPr>
      <w:r>
        <w:rPr>
          <w:noProof/>
        </w:rPr>
        <w:t>Investīcijas ietver vienas pieturas aģentūras digitālās platformas izstrādi un darbības uzsākšanu. Platformai ir šādas funkcijas:</w:t>
      </w:r>
    </w:p>
    <w:p w14:paraId="72D50388" w14:textId="364D295F" w:rsidR="00776A1F" w:rsidRDefault="00D8574B">
      <w:pPr>
        <w:pStyle w:val="ListParagraph"/>
        <w:keepNext w:val="0"/>
        <w:numPr>
          <w:ilvl w:val="0"/>
          <w:numId w:val="91"/>
        </w:numPr>
        <w:spacing w:beforeLines="40" w:before="96" w:after="0" w:line="22" w:lineRule="atLeast"/>
        <w:rPr>
          <w:rFonts w:eastAsia="MS Mincho"/>
          <w:noProof/>
        </w:rPr>
      </w:pPr>
      <w:r>
        <w:rPr>
          <w:noProof/>
        </w:rPr>
        <w:t>Licencēšanas modulis pašpatēriņa projektiem un atjaunojamo energoresursu energokopienām, kā arī uzglabāšanai sistēmās aiz skaitītāja;</w:t>
      </w:r>
    </w:p>
    <w:p w14:paraId="70F57575" w14:textId="53348937" w:rsidR="00776A1F" w:rsidRDefault="00D8574B">
      <w:pPr>
        <w:pStyle w:val="ListParagraph"/>
        <w:keepNext w:val="0"/>
        <w:numPr>
          <w:ilvl w:val="0"/>
          <w:numId w:val="91"/>
        </w:numPr>
        <w:spacing w:beforeLines="40" w:before="96" w:after="0" w:line="22" w:lineRule="atLeast"/>
        <w:rPr>
          <w:rFonts w:eastAsia="MS Mincho"/>
          <w:noProof/>
        </w:rPr>
      </w:pPr>
      <w:r>
        <w:rPr>
          <w:noProof/>
        </w:rPr>
        <w:t>Licencēšanas modulis centralizētajiem tikai tīkla atjaunīgās enerģijas projektiem un uzkrāšanas sistēmām zem skaitītāja;</w:t>
      </w:r>
    </w:p>
    <w:p w14:paraId="13A80FDA" w14:textId="77777777" w:rsidR="00776A1F" w:rsidRDefault="00D8574B">
      <w:pPr>
        <w:pStyle w:val="ListParagraph"/>
        <w:keepNext w:val="0"/>
        <w:numPr>
          <w:ilvl w:val="0"/>
          <w:numId w:val="91"/>
        </w:numPr>
        <w:spacing w:beforeLines="40" w:before="96" w:after="0" w:line="22" w:lineRule="atLeast"/>
        <w:rPr>
          <w:rFonts w:eastAsia="MS Mincho"/>
          <w:noProof/>
        </w:rPr>
      </w:pPr>
      <w:r>
        <w:rPr>
          <w:noProof/>
        </w:rPr>
        <w:t xml:space="preserve">Licencēšanas modulis projektiem, kas paredzēti tikai uzglabāšanai; </w:t>
      </w:r>
    </w:p>
    <w:p w14:paraId="3174EBE6" w14:textId="31F04ED3" w:rsidR="00776A1F" w:rsidRDefault="00D8574B">
      <w:pPr>
        <w:pStyle w:val="ListParagraph"/>
        <w:keepNext w:val="0"/>
        <w:numPr>
          <w:ilvl w:val="0"/>
          <w:numId w:val="91"/>
        </w:numPr>
        <w:spacing w:beforeLines="40" w:before="96" w:after="0" w:line="22" w:lineRule="atLeast"/>
        <w:rPr>
          <w:rFonts w:eastAsia="MS Mincho"/>
          <w:noProof/>
        </w:rPr>
      </w:pPr>
      <w:r>
        <w:rPr>
          <w:noProof/>
        </w:rPr>
        <w:t>Atjaunojamo energoresursu enerģijas projektu novērošanas un statistikas modulis.</w:t>
      </w:r>
    </w:p>
    <w:p w14:paraId="6D8A97E4" w14:textId="33FAB76E" w:rsidR="00776A1F" w:rsidRDefault="00D8574B">
      <w:pPr>
        <w:pStyle w:val="P68B1DB1-Normal4"/>
        <w:spacing w:beforeLines="40" w:before="96" w:after="0" w:line="22" w:lineRule="atLeast"/>
        <w:jc w:val="both"/>
        <w:rPr>
          <w:rFonts w:eastAsia="MS Mincho" w:cs="Times New Roman"/>
          <w:noProof/>
        </w:rPr>
      </w:pPr>
      <w:r>
        <w:rPr>
          <w:noProof/>
        </w:rPr>
        <w:t xml:space="preserve">Vienas pieturas aģentūru izstrādā divos posmos: </w:t>
      </w:r>
    </w:p>
    <w:p w14:paraId="78F1EEA6" w14:textId="77777777" w:rsidR="00776A1F" w:rsidRDefault="00D8574B">
      <w:pPr>
        <w:pStyle w:val="ListParagraph"/>
        <w:keepNext w:val="0"/>
        <w:numPr>
          <w:ilvl w:val="0"/>
          <w:numId w:val="92"/>
        </w:numPr>
        <w:spacing w:beforeLines="40" w:before="96" w:after="0" w:line="22" w:lineRule="atLeast"/>
        <w:rPr>
          <w:rFonts w:eastAsia="MS Mincho"/>
          <w:noProof/>
        </w:rPr>
      </w:pPr>
      <w:r>
        <w:rPr>
          <w:noProof/>
        </w:rPr>
        <w:t xml:space="preserve">Pirmajā posmā digitālajā platformā darbojas trīs licencēšanas moduļi, kas ļauj lietotājiem uzraudzīt dažādus licencēšanas procedūras posmus (tostarp izstrādes, nodošanas ekspluatācijā, testēšanas un palaišanas posmus). Platforma iepazīstina ar prasībām un termiņiem, kas saistīti ar atjaunīgās enerģijas projektu licencēšanu. </w:t>
      </w:r>
    </w:p>
    <w:p w14:paraId="745D5B00" w14:textId="77777777" w:rsidR="00776A1F" w:rsidRDefault="00D8574B">
      <w:pPr>
        <w:pStyle w:val="ListParagraph"/>
        <w:keepNext w:val="0"/>
        <w:numPr>
          <w:ilvl w:val="0"/>
          <w:numId w:val="92"/>
        </w:numPr>
        <w:spacing w:beforeLines="40" w:before="96" w:after="0" w:line="22" w:lineRule="atLeast"/>
        <w:rPr>
          <w:noProof/>
        </w:rPr>
      </w:pPr>
      <w:r>
        <w:rPr>
          <w:noProof/>
        </w:rPr>
        <w:t xml:space="preserve">Otrajā posmā digitālajai platformai ir arī novērošanas un statistikas moduļi, kas ļauj lietotājiem ievadīt datus un apmainīties ar dokumentiem, kas saistīti ar licencēšanas procedūrām, kā arī ar licencētā projekta īstenošanu. Platforma ietver attālinātas novērošanas (satelītattēlveides) funkcijas, lai uzlabotu valsts iestāžu veikto projektu īstenošanas uzraudzību. </w:t>
      </w:r>
    </w:p>
    <w:p w14:paraId="3C790337" w14:textId="0383A6A5" w:rsidR="00776A1F" w:rsidRDefault="00D8574B">
      <w:pPr>
        <w:pStyle w:val="P68B1DB1-Normal4"/>
        <w:spacing w:beforeLines="40" w:before="96" w:after="0" w:line="22" w:lineRule="atLeast"/>
        <w:jc w:val="both"/>
        <w:rPr>
          <w:rFonts w:eastAsiaTheme="minorEastAsia" w:cs="Times New Roman"/>
          <w:noProof/>
        </w:rPr>
      </w:pPr>
      <w:r>
        <w:rPr>
          <w:noProof/>
        </w:rPr>
        <w:t xml:space="preserve">Turklāt ieguldījums ietver esošo atļauju izsniegšanas dokumentu dematerializāciju (digitalizāciju, arhivēšanu un likvidēšanu), kā to noteicis Enerģētikas un ģeoloģijas ģenerāldirektorāts. </w:t>
      </w:r>
    </w:p>
    <w:p w14:paraId="097D2455" w14:textId="77777777" w:rsidR="00776A1F" w:rsidRDefault="00D8574B">
      <w:pPr>
        <w:pStyle w:val="P68B1DB1-Normal4"/>
        <w:spacing w:beforeLines="40" w:before="96" w:after="0" w:line="22" w:lineRule="atLeast"/>
        <w:jc w:val="both"/>
        <w:rPr>
          <w:rFonts w:eastAsia="MS Mincho" w:cs="Times New Roman"/>
          <w:noProof/>
        </w:rPr>
      </w:pPr>
      <w:r>
        <w:rPr>
          <w:noProof/>
        </w:rPr>
        <w:t>Vienas pieturas aģentūra atbilst “Eiropas Datu centru energoefektivitātes rīcības kodeksam”.</w:t>
      </w:r>
    </w:p>
    <w:p w14:paraId="20E79212" w14:textId="77777777" w:rsidR="00776A1F" w:rsidRDefault="00D8574B">
      <w:pPr>
        <w:pStyle w:val="P68B1DB1-Normal4"/>
        <w:spacing w:beforeLines="40" w:before="96" w:after="0" w:line="22" w:lineRule="atLeast"/>
        <w:jc w:val="both"/>
        <w:rPr>
          <w:rFonts w:cs="Times New Roman"/>
          <w:noProof/>
        </w:rPr>
      </w:pPr>
      <w:r>
        <w:rPr>
          <w:noProof/>
        </w:rPr>
        <w:t xml:space="preserve">Šo investīciju īstenošanu pabeidz līdz 2025. gada 30. jūnijam.    </w:t>
      </w:r>
    </w:p>
    <w:p w14:paraId="359C93E7" w14:textId="1F1F1DB0"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RP-C21-i10-RAA: Stimulu sistēma atjaunojamās enerģijas uzkrāšanas sistēmu iegādei un uzstādīšanai Azoru salās</w:t>
      </w:r>
    </w:p>
    <w:p w14:paraId="52E2CCD9" w14:textId="77777777" w:rsidR="00776A1F" w:rsidRDefault="00D8574B">
      <w:pPr>
        <w:pStyle w:val="P68B1DB1-Normal4"/>
        <w:spacing w:before="40" w:after="0" w:line="259" w:lineRule="auto"/>
        <w:jc w:val="both"/>
        <w:rPr>
          <w:rFonts w:cs="Times New Roman"/>
          <w:noProof/>
        </w:rPr>
      </w:pPr>
      <w:r>
        <w:rPr>
          <w:noProof/>
        </w:rPr>
        <w:t xml:space="preserve">Šā ieguldījuma mērķis ir veicināt enerģētikas pārkārtošanu Azoru salās, palīdzot palielināt arhipelāga enerģētisko neatkarību. </w:t>
      </w:r>
    </w:p>
    <w:p w14:paraId="61D9890E" w14:textId="77777777" w:rsidR="00776A1F" w:rsidRDefault="00D8574B">
      <w:pPr>
        <w:pStyle w:val="P68B1DB1-Normal4"/>
        <w:spacing w:before="40" w:after="0" w:line="259" w:lineRule="auto"/>
        <w:jc w:val="both"/>
        <w:rPr>
          <w:rFonts w:cs="Times New Roman"/>
          <w:noProof/>
        </w:rPr>
      </w:pPr>
      <w:r>
        <w:rPr>
          <w:noProof/>
        </w:rPr>
        <w:t xml:space="preserve">Investīcijas ietver stimulu sistēmu tādu uzglabāšanas sistēmu iegādei un uzstādīšanai, kuru mērķis ir no atjaunojamiem enerģijas avotiem iegūtas elektroenerģijas uzkrāšana mājsaimniecību, uzņēmumu, kooperatīvu, bezpeļņas organizāciju un labdarības iestāžu pašpatēriņam. Ieguldījums atbilst reģionālajam likumdošanas dekrētam 12/2023/A, ar ko ieviesa līdz 85 % stimulu enerģijas uzkrāšanas sistēmu iegādei un uzstādīšanai, ja tās ir paredzētas, lai papildinātu fotoelementu sistēmas, kas iegādātas saskaņā ar ANP (C14-i03-RAA), kas ir stimulu programma, kuru finansē no ANP (C14-i03-RAA). </w:t>
      </w:r>
    </w:p>
    <w:p w14:paraId="716BD153" w14:textId="77777777" w:rsidR="00776A1F" w:rsidRDefault="00D8574B">
      <w:pPr>
        <w:pStyle w:val="P68B1DB1-Normal4"/>
        <w:spacing w:before="40" w:after="0" w:line="259" w:lineRule="auto"/>
        <w:jc w:val="both"/>
        <w:rPr>
          <w:rFonts w:cs="Times New Roman"/>
          <w:noProof/>
        </w:rPr>
      </w:pPr>
      <w:r>
        <w:rPr>
          <w:noProof/>
        </w:rPr>
        <w:t xml:space="preserve">Šo investīciju īstenošanu pabeidz līdz 2025. gada 31. decembrim.  </w:t>
      </w:r>
    </w:p>
    <w:p w14:paraId="47B7A438" w14:textId="07C2A7E2"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RP-C21-i11-RAM: Stimulu sistēma atjaunojamo energoresursu enerģijas ražošanai un uzglabāšanai Madeirā un Porto Santo</w:t>
      </w:r>
    </w:p>
    <w:p w14:paraId="6B23E104" w14:textId="3138E54B" w:rsidR="00776A1F" w:rsidRDefault="00D8574B">
      <w:pPr>
        <w:pStyle w:val="P68B1DB1-Normal4"/>
        <w:spacing w:before="40" w:after="0" w:line="259" w:lineRule="auto"/>
        <w:jc w:val="both"/>
        <w:rPr>
          <w:rFonts w:cs="Times New Roman"/>
          <w:noProof/>
        </w:rPr>
      </w:pPr>
      <w:r>
        <w:rPr>
          <w:noProof/>
        </w:rPr>
        <w:t xml:space="preserve">Šo investīciju mērķis ir veicināt enerģētikas pārkārtošanu Madeiras autonomajā reģionā, tostarp Porto Santo salā, tādējādi palīdzot palielināt tā enerģētisko neatkarību. </w:t>
      </w:r>
    </w:p>
    <w:p w14:paraId="5A7C4D23" w14:textId="2D9E8807" w:rsidR="00776A1F" w:rsidRDefault="00D8574B">
      <w:pPr>
        <w:pStyle w:val="P68B1DB1-Normal4"/>
        <w:spacing w:before="40" w:after="0" w:line="259" w:lineRule="auto"/>
        <w:jc w:val="both"/>
        <w:rPr>
          <w:rFonts w:cs="Times New Roman"/>
          <w:noProof/>
        </w:rPr>
      </w:pPr>
      <w:r>
        <w:rPr>
          <w:noProof/>
        </w:rPr>
        <w:t>Investīcijas ietver stimulu sistēmu, lai mājsaimniecības, mikrouzņēmumi, mazie un vidējie uzņēmumi un bezpeļņas iestādes iegādātos un uzstādītu atjaunīgās elektroenerģijas ražošanas un uzkrāšanas sistēmas pašpatēriņam, kā arī lai iegādātos un uzstādītu iekārtas karstā ūdens ražošanai un siltuma ražošanai, izmantojot atjaunojamos energoresursus.</w:t>
      </w:r>
    </w:p>
    <w:p w14:paraId="6DA82D20" w14:textId="77777777" w:rsidR="00776A1F" w:rsidRDefault="00D8574B">
      <w:pPr>
        <w:pStyle w:val="P68B1DB1-Normal4"/>
        <w:spacing w:before="40" w:after="0" w:line="259" w:lineRule="auto"/>
        <w:jc w:val="both"/>
        <w:rPr>
          <w:rFonts w:cs="Times New Roman"/>
          <w:noProof/>
        </w:rPr>
      </w:pPr>
      <w:r>
        <w:rPr>
          <w:noProof/>
        </w:rPr>
        <w:t>Visas fiziskās un juridiskās personas, kurām pieder ēka Madeiras autonomajā reģionā, izņemot autonomo reģionālo administrāciju, vietējo administrāciju un valsts tiešo administrāciju, ir tiesīgas saņemt neatmaksājamas dotācijas.</w:t>
      </w:r>
    </w:p>
    <w:p w14:paraId="67D816AA" w14:textId="77777777" w:rsidR="00776A1F" w:rsidRDefault="00D8574B">
      <w:pPr>
        <w:pStyle w:val="P68B1DB1-Normal4"/>
        <w:spacing w:before="40" w:after="0" w:line="259" w:lineRule="auto"/>
        <w:jc w:val="both"/>
        <w:rPr>
          <w:rFonts w:cs="Times New Roman"/>
          <w:noProof/>
        </w:rPr>
      </w:pPr>
      <w:r>
        <w:rPr>
          <w:noProof/>
        </w:rPr>
        <w:t xml:space="preserve">Šo investīciju īstenošanu pabeidz līdz 2026. gada 31. martam.  </w:t>
      </w:r>
    </w:p>
    <w:p w14:paraId="28B947D6" w14:textId="51AF2C64" w:rsidR="00776A1F" w:rsidRDefault="00D8574B">
      <w:pPr>
        <w:pStyle w:val="P68B1DB1-Normal5"/>
        <w:keepNext/>
        <w:spacing w:before="240" w:after="0" w:line="259" w:lineRule="auto"/>
        <w:ind w:left="851"/>
        <w:jc w:val="both"/>
        <w:outlineLvl w:val="2"/>
        <w:rPr>
          <w:rFonts w:eastAsiaTheme="minorEastAsia" w:cs="Times New Roman"/>
          <w:noProof/>
        </w:rPr>
      </w:pPr>
      <w:bookmarkStart w:id="48" w:name="_Toc137472490"/>
      <w:r>
        <w:rPr>
          <w:noProof/>
        </w:rPr>
        <w:t>Ieguldījums RP-C21-i12: Izvērsts pasākums: Sabiedriskā transporta dekarbonizācija</w:t>
      </w:r>
      <w:bookmarkEnd w:id="48"/>
    </w:p>
    <w:p w14:paraId="6705B588" w14:textId="77777777" w:rsidR="00776A1F" w:rsidRDefault="00D8574B">
      <w:pPr>
        <w:pStyle w:val="P68B1DB1-Normal4"/>
        <w:spacing w:before="40" w:after="0" w:line="259" w:lineRule="auto"/>
        <w:jc w:val="both"/>
        <w:rPr>
          <w:rFonts w:cs="Times New Roman"/>
          <w:noProof/>
        </w:rPr>
      </w:pPr>
      <w:r>
        <w:rPr>
          <w:noProof/>
        </w:rPr>
        <w:t>Ieguldījuma mērķis ir paplašināt TC-C15-i05: Sabiedriskā transporta dekarbonizācija saskaņā ar 15. komponentu.</w:t>
      </w:r>
    </w:p>
    <w:p w14:paraId="6112059C" w14:textId="168CF149" w:rsidR="00776A1F" w:rsidRDefault="00D8574B">
      <w:pPr>
        <w:pStyle w:val="P68B1DB1-Normal4"/>
        <w:spacing w:before="40" w:after="0" w:line="259" w:lineRule="auto"/>
        <w:jc w:val="both"/>
        <w:rPr>
          <w:rFonts w:cs="Times New Roman"/>
          <w:noProof/>
        </w:rPr>
      </w:pPr>
      <w:r>
        <w:rPr>
          <w:noProof/>
        </w:rPr>
        <w:t>Palielinātā pasākuma daļa palielina sabiedriskajā transportā izmantoto jauno bezemisiju autobusu skaitu. Ieguldījumu darbības jomu paplašina no Lisabonas un Portu lielpilsētu teritorijām līdz visai Portugāles kontinentālajai teritorijai un ietver arī uzlādes vai uzpildes staciju uzstādīšanu.</w:t>
      </w:r>
    </w:p>
    <w:p w14:paraId="6ED94F94" w14:textId="381133EB" w:rsidR="00776A1F" w:rsidRDefault="00D8574B">
      <w:pPr>
        <w:pStyle w:val="P68B1DB1-Normal5"/>
        <w:keepNext/>
        <w:spacing w:before="240" w:after="0" w:line="259" w:lineRule="auto"/>
        <w:ind w:left="851"/>
        <w:jc w:val="both"/>
        <w:outlineLvl w:val="2"/>
        <w:rPr>
          <w:rFonts w:eastAsiaTheme="minorEastAsia" w:cs="Times New Roman"/>
          <w:noProof/>
        </w:rPr>
      </w:pPr>
      <w:bookmarkStart w:id="49" w:name="_Toc137472491"/>
      <w:r>
        <w:rPr>
          <w:noProof/>
        </w:rPr>
        <w:t>Ieguldījums RP-C21-i13-RAM: Transporta dekarbonizācija</w:t>
      </w:r>
      <w:bookmarkEnd w:id="49"/>
    </w:p>
    <w:p w14:paraId="21CED56E" w14:textId="77777777" w:rsidR="00776A1F" w:rsidRDefault="00D8574B">
      <w:pPr>
        <w:pStyle w:val="P68B1DB1-Normal4"/>
        <w:spacing w:before="40" w:after="0" w:line="259" w:lineRule="auto"/>
        <w:jc w:val="both"/>
        <w:rPr>
          <w:rFonts w:cs="Times New Roman"/>
          <w:noProof/>
        </w:rPr>
      </w:pPr>
      <w:r>
        <w:rPr>
          <w:noProof/>
        </w:rPr>
        <w:t xml:space="preserve">Šā pasākuma mērķis ir veicināt transporta dekarbonizāciju Madeiras autonomajā reģionā. </w:t>
      </w:r>
    </w:p>
    <w:p w14:paraId="16DEAFC2" w14:textId="77777777" w:rsidR="00776A1F" w:rsidRDefault="00D8574B">
      <w:pPr>
        <w:pStyle w:val="P68B1DB1-Normal4"/>
        <w:spacing w:before="40" w:after="0" w:line="259" w:lineRule="auto"/>
        <w:jc w:val="both"/>
        <w:rPr>
          <w:rFonts w:cs="Times New Roman"/>
          <w:noProof/>
        </w:rPr>
      </w:pPr>
      <w:r>
        <w:rPr>
          <w:noProof/>
        </w:rPr>
        <w:t>Ieguldījums ietver:</w:t>
      </w:r>
    </w:p>
    <w:p w14:paraId="7809744C" w14:textId="065D66D6" w:rsidR="00776A1F" w:rsidRDefault="00D8574B">
      <w:pPr>
        <w:pStyle w:val="P68B1DB1-Normal4"/>
        <w:spacing w:before="40" w:after="0" w:line="259" w:lineRule="auto"/>
        <w:jc w:val="both"/>
        <w:rPr>
          <w:rFonts w:cs="Times New Roman"/>
          <w:noProof/>
        </w:rPr>
      </w:pPr>
      <w:r>
        <w:rPr>
          <w:noProof/>
        </w:rPr>
        <w:t>I) 26 bezemisiju autobusu (ar elektrību vai ūdeņradi darbināmu) iegādi sabiedriskajam pasažieru transportam un tūrisma pakalpojumiem.</w:t>
      </w:r>
    </w:p>
    <w:p w14:paraId="1DBF8B1C" w14:textId="53E2B8FF" w:rsidR="00776A1F" w:rsidRDefault="00D8574B">
      <w:pPr>
        <w:pStyle w:val="P68B1DB1-Normal4"/>
        <w:spacing w:before="40" w:after="0" w:line="259" w:lineRule="auto"/>
        <w:jc w:val="both"/>
        <w:rPr>
          <w:rFonts w:cs="Times New Roman"/>
          <w:noProof/>
        </w:rPr>
      </w:pPr>
      <w:r>
        <w:rPr>
          <w:noProof/>
        </w:rPr>
        <w:t xml:space="preserve">II) Autobusu ekspluatācijai nepieciešamo uzlādes punktu uzstādīšana. </w:t>
      </w:r>
    </w:p>
    <w:p w14:paraId="5848829E" w14:textId="7927C66D" w:rsidR="00776A1F" w:rsidRDefault="00D8574B">
      <w:pPr>
        <w:pStyle w:val="P68B1DB1-Normal4"/>
        <w:spacing w:before="40" w:after="0" w:line="259" w:lineRule="auto"/>
        <w:jc w:val="both"/>
        <w:rPr>
          <w:rFonts w:cs="Times New Roman"/>
          <w:noProof/>
        </w:rPr>
      </w:pPr>
      <w:r>
        <w:rPr>
          <w:noProof/>
        </w:rPr>
        <w:t xml:space="preserve">III) Shēma transportlīdzekļu nodošanai metāllūžņos ar nosacījumu, ka tos aizstāj ar elektrisko transportlīdzekļu iegādi, paredzot maksimālo finansiālo ieguldījumu EUR 6000 apmērā par katru metāllūžņos nodotu transportlīdzekli un stimulus atkarībā no dažādām sociālekonomiskajām kategorijām. </w:t>
      </w:r>
    </w:p>
    <w:p w14:paraId="70C7D23E" w14:textId="77777777" w:rsidR="00776A1F" w:rsidRDefault="00D8574B">
      <w:pPr>
        <w:pStyle w:val="P68B1DB1-Normal4"/>
        <w:spacing w:before="40" w:after="0" w:line="259" w:lineRule="auto"/>
        <w:jc w:val="both"/>
        <w:rPr>
          <w:rFonts w:cs="Times New Roman"/>
          <w:noProof/>
        </w:rPr>
      </w:pPr>
      <w:r>
        <w:rPr>
          <w:noProof/>
        </w:rPr>
        <w:t xml:space="preserve">Šo investīciju īstenošanu pabeidz līdz 2026. gada 31. martam.  </w:t>
      </w:r>
    </w:p>
    <w:p w14:paraId="1AA9D1E2" w14:textId="05F4472D"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 xml:space="preserve">Ieguldījums RP-C21–i14: Autobusa ātrais tranzīts Braga </w:t>
      </w:r>
    </w:p>
    <w:p w14:paraId="7FE597E6" w14:textId="77777777" w:rsidR="00776A1F" w:rsidRDefault="00D8574B">
      <w:pPr>
        <w:pStyle w:val="P68B1DB1-Normal4"/>
        <w:spacing w:before="40" w:after="0" w:line="259" w:lineRule="auto"/>
        <w:jc w:val="both"/>
        <w:rPr>
          <w:rFonts w:cs="Times New Roman"/>
          <w:noProof/>
        </w:rPr>
      </w:pPr>
      <w:r>
        <w:rPr>
          <w:noProof/>
        </w:rPr>
        <w:t>Šā ieguldījuma mērķis ir uzlabot ilgtspējīgu sabiedrisko transportu Bragā.</w:t>
      </w:r>
    </w:p>
    <w:p w14:paraId="260159BA" w14:textId="08272C53" w:rsidR="00776A1F" w:rsidRDefault="00D8574B">
      <w:pPr>
        <w:pStyle w:val="P68B1DB1-Normal4"/>
        <w:spacing w:before="40" w:after="0" w:line="259" w:lineRule="auto"/>
        <w:jc w:val="both"/>
        <w:rPr>
          <w:rFonts w:cs="Times New Roman"/>
          <w:noProof/>
        </w:rPr>
      </w:pPr>
      <w:r>
        <w:rPr>
          <w:noProof/>
        </w:rPr>
        <w:t>Investīcijas ietver jaunas autobusu ātrās tranzīta sistēmas izveidi Bragas pilsētā. Sistēma galvenokārt darbojas īpašās joslās un tikai ar bezemisiju (elektriskiem vai ar ūdeņradi darbināmiem) autobusiem. Izbūvē divas līnijas: dzeltenā līnija starp vilciena staciju un Avenida Robert Smith un Sarkano līniju starp vilciena staciju un Bragas slimnīcu.</w:t>
      </w:r>
    </w:p>
    <w:p w14:paraId="1CDC0220" w14:textId="36D380BF" w:rsidR="00776A1F" w:rsidRDefault="00D8574B">
      <w:pPr>
        <w:pStyle w:val="P68B1DB1-Normal4"/>
        <w:spacing w:before="40" w:after="0" w:line="259" w:lineRule="auto"/>
        <w:jc w:val="both"/>
        <w:rPr>
          <w:rFonts w:cs="Times New Roman"/>
          <w:noProof/>
        </w:rPr>
      </w:pPr>
      <w:r>
        <w:rPr>
          <w:noProof/>
        </w:rPr>
        <w:t xml:space="preserve">Ieguldījums ietver arī desmit bezemisiju autobusu iegādi, tostarp līniju ekspluatācijai nepieciešamo uzlādes staciju iegādi.  </w:t>
      </w:r>
    </w:p>
    <w:p w14:paraId="3F4A3907" w14:textId="77777777" w:rsidR="00776A1F" w:rsidRDefault="00D8574B">
      <w:pPr>
        <w:pStyle w:val="P68B1DB1-Normal4"/>
        <w:spacing w:before="40" w:after="0" w:line="259" w:lineRule="auto"/>
        <w:jc w:val="both"/>
        <w:rPr>
          <w:rFonts w:cs="Times New Roman"/>
          <w:noProof/>
        </w:rPr>
      </w:pPr>
      <w:r>
        <w:rPr>
          <w:noProof/>
        </w:rPr>
        <w:t xml:space="preserve">Šo investīciju īstenošanu pabeidz līdz 2026. gada 30. jūnijam.  </w:t>
      </w:r>
    </w:p>
    <w:p w14:paraId="39CFA3B4" w14:textId="075B3B54" w:rsidR="00776A1F" w:rsidRDefault="00D8574B">
      <w:pPr>
        <w:pStyle w:val="P68B1DB1-Normal5"/>
        <w:keepNext/>
        <w:spacing w:before="240" w:after="0" w:line="259" w:lineRule="auto"/>
        <w:ind w:left="851"/>
        <w:jc w:val="both"/>
        <w:outlineLvl w:val="2"/>
        <w:rPr>
          <w:rFonts w:eastAsiaTheme="minorEastAsia" w:cs="Times New Roman"/>
          <w:noProof/>
        </w:rPr>
      </w:pPr>
      <w:bookmarkStart w:id="50" w:name="_Toc137472492"/>
      <w:r>
        <w:rPr>
          <w:noProof/>
        </w:rPr>
        <w:t xml:space="preserve">Ieguldījums RP-C21-i15-RAA: Divu elektrisko </w:t>
      </w:r>
      <w:bookmarkEnd w:id="50"/>
      <w:r>
        <w:rPr>
          <w:noProof/>
        </w:rPr>
        <w:t>prāmju iegāde</w:t>
      </w:r>
    </w:p>
    <w:p w14:paraId="6DC814CB" w14:textId="77777777" w:rsidR="00776A1F" w:rsidRDefault="00D8574B">
      <w:pPr>
        <w:pStyle w:val="P68B1DB1-Normal4"/>
        <w:spacing w:before="40" w:after="0" w:line="259" w:lineRule="auto"/>
        <w:jc w:val="both"/>
        <w:rPr>
          <w:rFonts w:cs="Times New Roman"/>
          <w:noProof/>
        </w:rPr>
      </w:pPr>
      <w:r>
        <w:rPr>
          <w:noProof/>
        </w:rPr>
        <w:t xml:space="preserve">Šā ieguldījuma mērķis ir veicināt transporta dekarbonizāciju un iekšējo mobilitāti Azoru salu autonomajā reģionā. </w:t>
      </w:r>
    </w:p>
    <w:p w14:paraId="2FD2AFE0" w14:textId="487179FD" w:rsidR="00776A1F" w:rsidRDefault="00D8574B">
      <w:pPr>
        <w:pStyle w:val="P68B1DB1-Normal4"/>
        <w:spacing w:before="40" w:after="0" w:line="259" w:lineRule="auto"/>
        <w:jc w:val="both"/>
        <w:rPr>
          <w:rFonts w:cs="Times New Roman"/>
          <w:noProof/>
        </w:rPr>
      </w:pPr>
      <w:r>
        <w:rPr>
          <w:noProof/>
        </w:rPr>
        <w:t>Ieguldījumu veido divu elektrisko prāmju iegāde valsts uzņēmumam Atlanticoline S.A. pasažieru un transportlīdzekļu pārvadāšanai starp Pico, Faial un São Jorge salām. Prāmju ietilpība ir vismaz 200 un 100 pasažieri.</w:t>
      </w:r>
    </w:p>
    <w:p w14:paraId="40B1EF3B" w14:textId="77777777" w:rsidR="00776A1F" w:rsidRDefault="00D8574B">
      <w:pPr>
        <w:pStyle w:val="P68B1DB1-Normal4"/>
        <w:spacing w:before="40" w:after="0" w:line="259" w:lineRule="auto"/>
        <w:jc w:val="both"/>
        <w:rPr>
          <w:rFonts w:cs="Times New Roman"/>
          <w:noProof/>
        </w:rPr>
      </w:pPr>
      <w:r>
        <w:rPr>
          <w:noProof/>
        </w:rPr>
        <w:t xml:space="preserve">Šo investīciju īstenošanu pabeidz līdz 2025. gada 31. decembrim. </w:t>
      </w:r>
    </w:p>
    <w:p w14:paraId="72E1DF93" w14:textId="6FEAFE37"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Ieguldījums RP-C21–i16: Nazaré Funicular</w:t>
      </w:r>
    </w:p>
    <w:p w14:paraId="5E4AFA32" w14:textId="77777777" w:rsidR="00776A1F" w:rsidRDefault="00D8574B">
      <w:pPr>
        <w:pStyle w:val="P68B1DB1-Normal4"/>
        <w:spacing w:before="40" w:after="0" w:line="259" w:lineRule="auto"/>
        <w:jc w:val="both"/>
        <w:rPr>
          <w:rFonts w:cs="Times New Roman"/>
          <w:noProof/>
        </w:rPr>
      </w:pPr>
      <w:r>
        <w:rPr>
          <w:noProof/>
        </w:rPr>
        <w:t xml:space="preserve">Šā ieguldījuma mērķis ir nodrošināt ilgtspējīgu sabiedrisko transportu Nazarē. </w:t>
      </w:r>
    </w:p>
    <w:p w14:paraId="7D6D2A4D" w14:textId="77777777" w:rsidR="00776A1F" w:rsidRDefault="00D8574B">
      <w:pPr>
        <w:pStyle w:val="P68B1DB1-Normal4"/>
        <w:spacing w:before="40" w:after="0" w:line="259" w:lineRule="auto"/>
        <w:jc w:val="both"/>
        <w:rPr>
          <w:rFonts w:cs="Times New Roman"/>
          <w:noProof/>
        </w:rPr>
      </w:pPr>
      <w:r>
        <w:rPr>
          <w:noProof/>
        </w:rPr>
        <w:t>Ieguldījums ietver aptuveni 200 metru gara mehāniskā transporta risinājuma (funikulāra) īstenošanu starp Praiju un Pedreneiras apgabalu. Funikulārs ir integrēts sabiedriskā transporta tīklā, un tas ir pieejams velosipēdiem un personām ar ierobežotām pārvietošanās spējām.</w:t>
      </w:r>
    </w:p>
    <w:p w14:paraId="39B86464" w14:textId="77777777" w:rsidR="00776A1F" w:rsidRDefault="00D8574B">
      <w:pPr>
        <w:pStyle w:val="P68B1DB1-Normal4"/>
        <w:spacing w:before="40" w:after="0" w:line="259" w:lineRule="auto"/>
        <w:jc w:val="both"/>
        <w:rPr>
          <w:rFonts w:cs="Times New Roman"/>
          <w:noProof/>
        </w:rPr>
        <w:sectPr w:rsidR="00776A1F" w:rsidSect="00E00EDD">
          <w:headerReference w:type="even" r:id="rId368"/>
          <w:headerReference w:type="default" r:id="rId369"/>
          <w:footerReference w:type="even" r:id="rId370"/>
          <w:footerReference w:type="default" r:id="rId371"/>
          <w:headerReference w:type="first" r:id="rId372"/>
          <w:footerReference w:type="first" r:id="rId373"/>
          <w:pgSz w:w="11906" w:h="16838"/>
          <w:pgMar w:top="1134" w:right="1134" w:bottom="1134" w:left="1134" w:header="567" w:footer="567" w:gutter="0"/>
          <w:cols w:space="708"/>
          <w:docGrid w:linePitch="360"/>
        </w:sectPr>
      </w:pPr>
      <w:r>
        <w:rPr>
          <w:noProof/>
        </w:rPr>
        <w:t>Šo investīciju īstenošanu pabeidz līdz 2026. gada 31. martam.</w:t>
      </w:r>
    </w:p>
    <w:p w14:paraId="0274D0A2" w14:textId="267B412C"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U.2. Atskaites punkti, mērķrādītāji, citi rādītāji un neatmaksājamā finansiālā atbalsta uzraudzības un īstenošanas grafiks</w:t>
      </w:r>
    </w:p>
    <w:p w14:paraId="7DFE2BC4" w14:textId="77777777" w:rsidR="00776A1F" w:rsidRDefault="00776A1F">
      <w:pPr>
        <w:spacing w:after="0"/>
        <w:jc w:val="both"/>
        <w:rPr>
          <w:rFonts w:ascii="Times New Roman"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776A1F" w14:paraId="2FB90E61" w14:textId="77777777">
        <w:trPr>
          <w:trHeight w:val="910"/>
          <w:tblHeader/>
        </w:trPr>
        <w:tc>
          <w:tcPr>
            <w:tcW w:w="1135" w:type="dxa"/>
            <w:vMerge w:val="restart"/>
            <w:shd w:val="clear" w:color="auto" w:fill="BDD6EE"/>
            <w:vAlign w:val="center"/>
            <w:hideMark/>
          </w:tcPr>
          <w:p w14:paraId="6370AB5A"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vAlign w:val="center"/>
            <w:hideMark/>
          </w:tcPr>
          <w:p w14:paraId="746A88F0"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vAlign w:val="center"/>
            <w:hideMark/>
          </w:tcPr>
          <w:p w14:paraId="361458F2"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701" w:type="dxa"/>
            <w:vMerge w:val="restart"/>
            <w:shd w:val="clear" w:color="auto" w:fill="BDD6EE"/>
            <w:vAlign w:val="center"/>
            <w:hideMark/>
          </w:tcPr>
          <w:p w14:paraId="45A51C32"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275" w:type="dxa"/>
            <w:vMerge w:val="restart"/>
            <w:shd w:val="clear" w:color="auto" w:fill="BDD6EE"/>
            <w:vAlign w:val="center"/>
            <w:hideMark/>
          </w:tcPr>
          <w:p w14:paraId="6A3793A9"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977" w:type="dxa"/>
            <w:gridSpan w:val="3"/>
            <w:shd w:val="clear" w:color="auto" w:fill="BDD6EE"/>
            <w:vAlign w:val="center"/>
            <w:hideMark/>
          </w:tcPr>
          <w:p w14:paraId="7128B101"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vAlign w:val="center"/>
            <w:hideMark/>
          </w:tcPr>
          <w:p w14:paraId="411B61CF" w14:textId="77777777" w:rsidR="00776A1F" w:rsidRDefault="00D8574B">
            <w:pPr>
              <w:pStyle w:val="P68B1DB1-Normal6"/>
              <w:spacing w:after="0" w:line="240" w:lineRule="auto"/>
              <w:jc w:val="center"/>
              <w:rPr>
                <w:rFonts w:eastAsia="Times New Roman" w:cs="Times New Roman"/>
                <w:noProof/>
              </w:rPr>
            </w:pPr>
            <w:r>
              <w:rPr>
                <w:noProof/>
              </w:rPr>
              <w:t>Orientējošs pabeigšanas termiņš</w:t>
            </w:r>
          </w:p>
        </w:tc>
        <w:tc>
          <w:tcPr>
            <w:tcW w:w="3969" w:type="dxa"/>
            <w:vMerge w:val="restart"/>
            <w:shd w:val="clear" w:color="auto" w:fill="BDD6EE"/>
            <w:vAlign w:val="center"/>
            <w:hideMark/>
          </w:tcPr>
          <w:p w14:paraId="52841226"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1758BE16" w14:textId="77777777">
        <w:trPr>
          <w:trHeight w:val="470"/>
          <w:tblHeader/>
        </w:trPr>
        <w:tc>
          <w:tcPr>
            <w:tcW w:w="1135" w:type="dxa"/>
            <w:vMerge/>
            <w:vAlign w:val="center"/>
            <w:hideMark/>
          </w:tcPr>
          <w:p w14:paraId="69695928"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098E3D09"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30C82C28" w14:textId="77777777" w:rsidR="00776A1F" w:rsidRDefault="00776A1F">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0A52C29E" w14:textId="77777777" w:rsidR="00776A1F" w:rsidRDefault="00776A1F">
            <w:pPr>
              <w:spacing w:after="0" w:line="240" w:lineRule="auto"/>
              <w:jc w:val="center"/>
              <w:rPr>
                <w:rFonts w:ascii="Times New Roman" w:eastAsia="Times New Roman" w:hAnsi="Times New Roman" w:cs="Times New Roman"/>
                <w:b/>
                <w:noProof/>
                <w:sz w:val="18"/>
              </w:rPr>
            </w:pPr>
          </w:p>
        </w:tc>
        <w:tc>
          <w:tcPr>
            <w:tcW w:w="1275" w:type="dxa"/>
            <w:vMerge/>
            <w:vAlign w:val="center"/>
            <w:hideMark/>
          </w:tcPr>
          <w:p w14:paraId="2400D0D6" w14:textId="77777777" w:rsidR="00776A1F" w:rsidRDefault="00776A1F">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E586660"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vAlign w:val="center"/>
            <w:hideMark/>
          </w:tcPr>
          <w:p w14:paraId="305C5967"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992" w:type="dxa"/>
            <w:shd w:val="clear" w:color="auto" w:fill="BDD6EE"/>
            <w:vAlign w:val="center"/>
            <w:hideMark/>
          </w:tcPr>
          <w:p w14:paraId="61DE86CD"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vAlign w:val="center"/>
            <w:hideMark/>
          </w:tcPr>
          <w:p w14:paraId="30E66421"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119C10EB" w14:textId="77777777" w:rsidR="00776A1F" w:rsidRDefault="00D8574B">
            <w:pPr>
              <w:pStyle w:val="P68B1DB1-Normal6"/>
              <w:spacing w:after="0" w:line="240" w:lineRule="auto"/>
              <w:jc w:val="center"/>
              <w:rPr>
                <w:rFonts w:eastAsia="Times New Roman" w:cs="Times New Roman"/>
                <w:noProof/>
              </w:rPr>
            </w:pPr>
            <w:r>
              <w:rPr>
                <w:noProof/>
              </w:rPr>
              <w:t>Gadā</w:t>
            </w:r>
          </w:p>
        </w:tc>
        <w:tc>
          <w:tcPr>
            <w:tcW w:w="3969" w:type="dxa"/>
            <w:vMerge/>
            <w:vAlign w:val="center"/>
            <w:hideMark/>
          </w:tcPr>
          <w:p w14:paraId="2B41D36D" w14:textId="77777777" w:rsidR="00776A1F" w:rsidRDefault="00776A1F">
            <w:pPr>
              <w:spacing w:after="0" w:line="240" w:lineRule="auto"/>
              <w:jc w:val="both"/>
              <w:rPr>
                <w:rFonts w:ascii="Times New Roman" w:eastAsia="Times New Roman" w:hAnsi="Times New Roman" w:cs="Times New Roman"/>
                <w:b/>
                <w:noProof/>
                <w:sz w:val="18"/>
              </w:rPr>
            </w:pPr>
          </w:p>
        </w:tc>
      </w:tr>
      <w:tr w:rsidR="00776A1F" w14:paraId="1B415B45" w14:textId="77777777">
        <w:trPr>
          <w:trHeight w:val="430"/>
        </w:trPr>
        <w:tc>
          <w:tcPr>
            <w:tcW w:w="1135" w:type="dxa"/>
            <w:shd w:val="clear" w:color="auto" w:fill="C4EFCE"/>
            <w:vAlign w:val="center"/>
          </w:tcPr>
          <w:p w14:paraId="42812264" w14:textId="024AEF5D" w:rsidR="00776A1F" w:rsidRDefault="00D8574B">
            <w:pPr>
              <w:pStyle w:val="P68B1DB1-Normal11"/>
              <w:spacing w:after="0" w:line="240" w:lineRule="auto"/>
              <w:jc w:val="center"/>
              <w:rPr>
                <w:rFonts w:eastAsia="Times New Roman" w:cstheme="minorHAnsi"/>
                <w:noProof/>
              </w:rPr>
            </w:pPr>
            <w:r>
              <w:rPr>
                <w:noProof/>
              </w:rPr>
              <w:t>21.1</w:t>
            </w:r>
          </w:p>
        </w:tc>
        <w:tc>
          <w:tcPr>
            <w:tcW w:w="1276" w:type="dxa"/>
            <w:shd w:val="clear" w:color="auto" w:fill="C4EFCE"/>
            <w:noWrap/>
            <w:vAlign w:val="center"/>
          </w:tcPr>
          <w:p w14:paraId="6F112C58" w14:textId="0FCD6E79" w:rsidR="00776A1F" w:rsidRDefault="00D8574B">
            <w:pPr>
              <w:pStyle w:val="P68B1DB1-Normal12"/>
              <w:spacing w:after="0" w:line="240" w:lineRule="auto"/>
              <w:jc w:val="center"/>
              <w:rPr>
                <w:rFonts w:eastAsia="Times New Roman" w:cstheme="minorHAnsi"/>
                <w:noProof/>
              </w:rPr>
            </w:pPr>
            <w:r>
              <w:rPr>
                <w:noProof/>
              </w:rPr>
              <w:t>RP-C21-i01</w:t>
            </w:r>
          </w:p>
        </w:tc>
        <w:tc>
          <w:tcPr>
            <w:tcW w:w="1134" w:type="dxa"/>
            <w:shd w:val="clear" w:color="auto" w:fill="C4EFCE"/>
            <w:noWrap/>
            <w:vAlign w:val="center"/>
          </w:tcPr>
          <w:p w14:paraId="00DF19E5" w14:textId="5713C776"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9F1054A" w14:textId="2CD7F0DB" w:rsidR="00776A1F" w:rsidRDefault="00D8574B">
            <w:pPr>
              <w:pStyle w:val="P68B1DB1-Normal12"/>
              <w:spacing w:after="0" w:line="240" w:lineRule="auto"/>
              <w:jc w:val="center"/>
              <w:rPr>
                <w:rFonts w:eastAsia="Times New Roman" w:cstheme="minorHAnsi"/>
                <w:noProof/>
              </w:rPr>
            </w:pPr>
            <w:r>
              <w:rPr>
                <w:noProof/>
              </w:rPr>
              <w:t>Finansiāls atbalsts vienkāršotiem rūpniecības dekarbonizācijas projektiem</w:t>
            </w:r>
          </w:p>
        </w:tc>
        <w:tc>
          <w:tcPr>
            <w:tcW w:w="1275" w:type="dxa"/>
            <w:shd w:val="clear" w:color="auto" w:fill="C4EFCE"/>
            <w:noWrap/>
            <w:vAlign w:val="center"/>
          </w:tcPr>
          <w:p w14:paraId="7E64A9F8" w14:textId="7B347046"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76D97C60" w14:textId="733FC61D"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1085590D" w14:textId="21F3462D" w:rsidR="00776A1F" w:rsidRDefault="00D8574B">
            <w:pPr>
              <w:pStyle w:val="P68B1DB1-Normal12"/>
              <w:spacing w:after="0" w:line="240" w:lineRule="auto"/>
              <w:jc w:val="center"/>
              <w:rPr>
                <w:rFonts w:eastAsia="Times New Roman" w:cstheme="minorHAnsi"/>
                <w:noProof/>
              </w:rPr>
            </w:pPr>
            <w:r>
              <w:rPr>
                <w:noProof/>
              </w:rPr>
              <w:t>310</w:t>
            </w:r>
          </w:p>
        </w:tc>
        <w:tc>
          <w:tcPr>
            <w:tcW w:w="992" w:type="dxa"/>
            <w:shd w:val="clear" w:color="auto" w:fill="C4EFCE"/>
            <w:noWrap/>
            <w:vAlign w:val="center"/>
          </w:tcPr>
          <w:p w14:paraId="66B60A08" w14:textId="70EBD20F" w:rsidR="00776A1F" w:rsidRDefault="00D8574B">
            <w:pPr>
              <w:pStyle w:val="P68B1DB1-Normal12"/>
              <w:spacing w:after="0" w:line="240" w:lineRule="auto"/>
              <w:jc w:val="center"/>
              <w:rPr>
                <w:rFonts w:eastAsia="Times New Roman" w:cstheme="minorHAnsi"/>
                <w:noProof/>
              </w:rPr>
            </w:pPr>
            <w:r>
              <w:rPr>
                <w:noProof/>
              </w:rPr>
              <w:t>810</w:t>
            </w:r>
          </w:p>
        </w:tc>
        <w:tc>
          <w:tcPr>
            <w:tcW w:w="567" w:type="dxa"/>
            <w:shd w:val="clear" w:color="auto" w:fill="C4EFCE"/>
            <w:noWrap/>
            <w:vAlign w:val="center"/>
          </w:tcPr>
          <w:p w14:paraId="70ABCB97" w14:textId="6E42FAD2"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09AE5546" w14:textId="1A9D3DD5"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000A03D3" w14:textId="05550CD8" w:rsidR="00776A1F" w:rsidRDefault="00D8574B">
            <w:pPr>
              <w:pStyle w:val="P68B1DB1-Normal12"/>
              <w:spacing w:after="0" w:line="240" w:lineRule="auto"/>
              <w:jc w:val="both"/>
              <w:rPr>
                <w:rFonts w:eastAsia="Times New Roman" w:cstheme="minorHAnsi"/>
                <w:noProof/>
              </w:rPr>
            </w:pPr>
            <w:r>
              <w:rPr>
                <w:noProof/>
              </w:rPr>
              <w:t>To projektu skaits, kuri saņēmuši finansiālu atbalstu rūpniecības dekarbonizācijai un kuri attiecas uz vismaz vienu no šādām jomām: mazoglekļa procesi un tehnoloģijas; energoefektivitātes pasākumu pieņemšana; un atjaunojamās enerģijas un enerģijas uzkrāšanas iekļaušana. Attiecībā uz atbalstītajām rūpnieciskajām iekārtām nodrošina tiešo un netiešo SEG emisiju samazinājumu vidēji par 30 % projektiem, kas atbilst intervences jomai 024ter, un atbilstību tehniskajiem norādījumiem “nenodari būtisku kaitējumu” (2021/C58/01), tostarp attiecībā uz iekārtām, uz kurām attiecas ES emisijas kvotu tirdzniecības sistēma, lai nodrošinātu, ka atbalstītās iekārtas sasniedz prognozētās SEG emisijas, kas ir mazākas par Komisijas Īstenošanas regulā (ES) 2021/447 noteikto bezmaksas kvotu iedalei noteikto līmeņatzīmi.</w:t>
            </w:r>
          </w:p>
        </w:tc>
      </w:tr>
      <w:tr w:rsidR="00776A1F" w14:paraId="2C3FFB3B" w14:textId="77777777">
        <w:trPr>
          <w:trHeight w:val="430"/>
        </w:trPr>
        <w:tc>
          <w:tcPr>
            <w:tcW w:w="1135" w:type="dxa"/>
            <w:shd w:val="clear" w:color="auto" w:fill="C4EFCE"/>
            <w:vAlign w:val="center"/>
          </w:tcPr>
          <w:p w14:paraId="0747785A" w14:textId="48735E30" w:rsidR="00776A1F" w:rsidRDefault="00D8574B">
            <w:pPr>
              <w:pStyle w:val="P68B1DB1-Normal11"/>
              <w:spacing w:after="0" w:line="240" w:lineRule="auto"/>
              <w:jc w:val="center"/>
              <w:rPr>
                <w:rFonts w:eastAsia="Times New Roman" w:cstheme="minorHAnsi"/>
                <w:noProof/>
              </w:rPr>
            </w:pPr>
            <w:r>
              <w:rPr>
                <w:noProof/>
              </w:rPr>
              <w:t>21.2</w:t>
            </w:r>
          </w:p>
        </w:tc>
        <w:tc>
          <w:tcPr>
            <w:tcW w:w="1276" w:type="dxa"/>
            <w:shd w:val="clear" w:color="auto" w:fill="C4EFCE"/>
            <w:noWrap/>
            <w:vAlign w:val="center"/>
          </w:tcPr>
          <w:p w14:paraId="5BE0D3A2" w14:textId="6FC836BB" w:rsidR="00776A1F" w:rsidRDefault="00D8574B">
            <w:pPr>
              <w:pStyle w:val="P68B1DB1-Normal12"/>
              <w:spacing w:after="0" w:line="240" w:lineRule="auto"/>
              <w:jc w:val="center"/>
              <w:rPr>
                <w:rFonts w:eastAsia="Times New Roman"/>
                <w:noProof/>
              </w:rPr>
            </w:pPr>
            <w:r>
              <w:rPr>
                <w:noProof/>
              </w:rPr>
              <w:t>RP-C21-i02</w:t>
            </w:r>
          </w:p>
        </w:tc>
        <w:tc>
          <w:tcPr>
            <w:tcW w:w="1134" w:type="dxa"/>
            <w:shd w:val="clear" w:color="auto" w:fill="C4EFCE"/>
            <w:noWrap/>
            <w:vAlign w:val="center"/>
          </w:tcPr>
          <w:p w14:paraId="5B23DDDE" w14:textId="3F052B9B"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A037CB2" w14:textId="4466B745" w:rsidR="00776A1F" w:rsidRDefault="00D8574B">
            <w:pPr>
              <w:pStyle w:val="P68B1DB1-Normal12"/>
              <w:spacing w:after="0" w:line="240" w:lineRule="auto"/>
              <w:jc w:val="center"/>
              <w:rPr>
                <w:rFonts w:eastAsia="Times New Roman" w:cstheme="minorHAnsi"/>
                <w:noProof/>
              </w:rPr>
            </w:pPr>
            <w:r>
              <w:rPr>
                <w:noProof/>
              </w:rPr>
              <w:t>Privāto dzīvojamo ēku energoefektivitātes renovācija</w:t>
            </w:r>
          </w:p>
        </w:tc>
        <w:tc>
          <w:tcPr>
            <w:tcW w:w="1275" w:type="dxa"/>
            <w:shd w:val="clear" w:color="auto" w:fill="C4EFCE"/>
            <w:noWrap/>
            <w:vAlign w:val="center"/>
          </w:tcPr>
          <w:p w14:paraId="42D3737C" w14:textId="3391A35D"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022613" w14:textId="753503B1" w:rsidR="00776A1F" w:rsidRDefault="00D8574B">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E7B926C" w14:textId="0DDBA67F"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5AD2C2C" w14:textId="1AD9FE5B" w:rsidR="00776A1F" w:rsidRDefault="00D8574B">
            <w:pPr>
              <w:pStyle w:val="P68B1DB1-Normal12"/>
              <w:spacing w:after="0" w:line="240" w:lineRule="auto"/>
              <w:jc w:val="center"/>
              <w:rPr>
                <w:rFonts w:eastAsia="Times New Roman" w:cstheme="minorHAnsi"/>
                <w:noProof/>
              </w:rPr>
            </w:pPr>
            <w:r>
              <w:rPr>
                <w:noProof/>
              </w:rPr>
              <w:t>6 588 000</w:t>
            </w:r>
          </w:p>
        </w:tc>
        <w:tc>
          <w:tcPr>
            <w:tcW w:w="567" w:type="dxa"/>
            <w:shd w:val="clear" w:color="auto" w:fill="C4EFCE"/>
            <w:noWrap/>
            <w:vAlign w:val="center"/>
          </w:tcPr>
          <w:p w14:paraId="3F848666" w14:textId="13CEF6EA"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5A24DEE7" w14:textId="05E31959"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450107E" w14:textId="77777777" w:rsidR="00776A1F" w:rsidRDefault="00D8574B">
            <w:pPr>
              <w:pStyle w:val="P68B1DB1-Bodytext1013"/>
              <w:spacing w:after="0" w:line="240" w:lineRule="auto"/>
              <w:jc w:val="both"/>
              <w:rPr>
                <w:rFonts w:cstheme="minorBidi"/>
                <w:noProof/>
              </w:rPr>
            </w:pPr>
            <w:r>
              <w:rPr>
                <w:noProof/>
              </w:rPr>
              <w:t>Renovēto privāto dzīvojamo ēku platība. Ar energoefektivitātes renovāciju vidēji panāk vismaz vidēja līmeņa renovāciju, kā noteikts Komisijas Ieteikumā (ES) 2019/786 par ēku renovāciju.</w:t>
            </w:r>
          </w:p>
          <w:p w14:paraId="53883AAE" w14:textId="07B5302D" w:rsidR="00776A1F" w:rsidRDefault="00D8574B">
            <w:pPr>
              <w:pStyle w:val="P68B1DB1-Normal12"/>
              <w:spacing w:after="0" w:line="240" w:lineRule="auto"/>
              <w:jc w:val="both"/>
              <w:rPr>
                <w:rFonts w:eastAsia="Times New Roman"/>
                <w:noProof/>
              </w:rPr>
            </w:pPr>
            <w:r>
              <w:rPr>
                <w:noProof/>
              </w:rPr>
              <w:t>60 % no platības, kas renovēta saskaņā ar šo ieguldījumu, ir daudzdzīvokļu ēkās.</w:t>
            </w:r>
          </w:p>
        </w:tc>
      </w:tr>
      <w:tr w:rsidR="00776A1F" w14:paraId="43A42DC3" w14:textId="77777777">
        <w:trPr>
          <w:trHeight w:val="430"/>
        </w:trPr>
        <w:tc>
          <w:tcPr>
            <w:tcW w:w="1135" w:type="dxa"/>
            <w:shd w:val="clear" w:color="auto" w:fill="C4EFCE"/>
            <w:vAlign w:val="center"/>
          </w:tcPr>
          <w:p w14:paraId="212EC2F2" w14:textId="10638F5D" w:rsidR="00776A1F" w:rsidRDefault="00D8574B">
            <w:pPr>
              <w:pStyle w:val="P68B1DB1-Normal11"/>
              <w:spacing w:after="0" w:line="240" w:lineRule="auto"/>
              <w:jc w:val="center"/>
              <w:rPr>
                <w:rFonts w:eastAsia="Times New Roman" w:cstheme="minorHAnsi"/>
                <w:noProof/>
              </w:rPr>
            </w:pPr>
            <w:r>
              <w:rPr>
                <w:noProof/>
              </w:rPr>
              <w:t>21.3</w:t>
            </w:r>
          </w:p>
        </w:tc>
        <w:tc>
          <w:tcPr>
            <w:tcW w:w="1276" w:type="dxa"/>
            <w:shd w:val="clear" w:color="auto" w:fill="C4EFCE"/>
            <w:noWrap/>
            <w:vAlign w:val="center"/>
          </w:tcPr>
          <w:p w14:paraId="19F97C7B" w14:textId="567F96C9" w:rsidR="00776A1F" w:rsidRDefault="00D8574B">
            <w:pPr>
              <w:pStyle w:val="P68B1DB1-Normal12"/>
              <w:spacing w:after="0" w:line="240" w:lineRule="auto"/>
              <w:jc w:val="center"/>
              <w:rPr>
                <w:rFonts w:eastAsia="Times New Roman" w:cstheme="minorHAnsi"/>
                <w:noProof/>
              </w:rPr>
            </w:pPr>
            <w:r>
              <w:rPr>
                <w:noProof/>
              </w:rPr>
              <w:t>RP-C21-i02</w:t>
            </w:r>
          </w:p>
        </w:tc>
        <w:tc>
          <w:tcPr>
            <w:tcW w:w="1134" w:type="dxa"/>
            <w:shd w:val="clear" w:color="auto" w:fill="C4EFCE"/>
            <w:noWrap/>
            <w:vAlign w:val="center"/>
          </w:tcPr>
          <w:p w14:paraId="132947DD" w14:textId="77C8791A"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1B6A035" w14:textId="694C7A54" w:rsidR="00776A1F" w:rsidRDefault="00D8574B">
            <w:pPr>
              <w:pStyle w:val="P68B1DB1-Normal12"/>
              <w:spacing w:after="0" w:line="240" w:lineRule="auto"/>
              <w:jc w:val="center"/>
              <w:rPr>
                <w:rFonts w:eastAsia="Times New Roman" w:cstheme="minorHAnsi"/>
                <w:noProof/>
              </w:rPr>
            </w:pPr>
            <w:r>
              <w:rPr>
                <w:noProof/>
              </w:rPr>
              <w:t>Papildu atjaunīgās enerģijas ražošanas jauda pašpatēriņam un izmantošanai privāto dzīvojamo ēku sektorā</w:t>
            </w:r>
          </w:p>
        </w:tc>
        <w:tc>
          <w:tcPr>
            <w:tcW w:w="1275" w:type="dxa"/>
            <w:shd w:val="clear" w:color="auto" w:fill="C4EFCE"/>
            <w:noWrap/>
            <w:vAlign w:val="center"/>
          </w:tcPr>
          <w:p w14:paraId="462CF090" w14:textId="485EB454"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159FF3" w14:textId="7438D3FA" w:rsidR="00776A1F" w:rsidRDefault="00D8574B">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9A60CBC" w14:textId="43291961"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24371DF" w14:textId="1ABF65F2" w:rsidR="00776A1F" w:rsidRDefault="00D8574B">
            <w:pPr>
              <w:pStyle w:val="P68B1DB1-Normal12"/>
              <w:spacing w:after="0" w:line="240" w:lineRule="auto"/>
              <w:jc w:val="center"/>
              <w:rPr>
                <w:rFonts w:eastAsia="Times New Roman" w:cstheme="minorHAnsi"/>
                <w:noProof/>
              </w:rPr>
            </w:pPr>
            <w:r>
              <w:rPr>
                <w:noProof/>
              </w:rPr>
              <w:t>10</w:t>
            </w:r>
          </w:p>
        </w:tc>
        <w:tc>
          <w:tcPr>
            <w:tcW w:w="567" w:type="dxa"/>
            <w:shd w:val="clear" w:color="auto" w:fill="C4EFCE"/>
            <w:noWrap/>
            <w:vAlign w:val="center"/>
          </w:tcPr>
          <w:p w14:paraId="10744F3B" w14:textId="3BB6C83C"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59104E64" w14:textId="6E2C7F09"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C1262EC" w14:textId="61BF6995" w:rsidR="00776A1F" w:rsidRDefault="00D8574B">
            <w:pPr>
              <w:pStyle w:val="P68B1DB1-Bodytext1013"/>
              <w:spacing w:after="0" w:line="240" w:lineRule="auto"/>
              <w:jc w:val="both"/>
              <w:rPr>
                <w:rFonts w:cstheme="minorBidi"/>
                <w:noProof/>
              </w:rPr>
            </w:pPr>
            <w:r>
              <w:rPr>
                <w:noProof/>
              </w:rPr>
              <w:t>Papildu atjaunīgās enerģijas ražošanas jauda (piemēram, fotoelementu paneļi un akumulatori, kad šī tehnoloģija nobriedusi), kas uzstādīta pašpatēriņam un izmantošanai privāto dzīvojamo ēku sektorā.</w:t>
            </w:r>
          </w:p>
          <w:p w14:paraId="619C48DD" w14:textId="545238A6" w:rsidR="00776A1F" w:rsidRDefault="00776A1F">
            <w:pPr>
              <w:spacing w:after="0" w:line="240" w:lineRule="auto"/>
              <w:jc w:val="both"/>
              <w:rPr>
                <w:rFonts w:eastAsia="Times New Roman"/>
                <w:noProof/>
                <w:sz w:val="16"/>
              </w:rPr>
            </w:pPr>
          </w:p>
        </w:tc>
      </w:tr>
      <w:tr w:rsidR="00776A1F" w14:paraId="73882A16" w14:textId="77777777">
        <w:trPr>
          <w:trHeight w:val="430"/>
        </w:trPr>
        <w:tc>
          <w:tcPr>
            <w:tcW w:w="1135" w:type="dxa"/>
            <w:shd w:val="clear" w:color="auto" w:fill="C4EFCE"/>
            <w:vAlign w:val="center"/>
          </w:tcPr>
          <w:p w14:paraId="15BBD858" w14:textId="5C3A7649" w:rsidR="00776A1F" w:rsidRDefault="00D8574B">
            <w:pPr>
              <w:pStyle w:val="P68B1DB1-Normal11"/>
              <w:spacing w:after="0" w:line="240" w:lineRule="auto"/>
              <w:jc w:val="center"/>
              <w:rPr>
                <w:rFonts w:eastAsia="Times New Roman" w:cstheme="minorHAnsi"/>
                <w:noProof/>
              </w:rPr>
            </w:pPr>
            <w:r>
              <w:rPr>
                <w:noProof/>
              </w:rPr>
              <w:t>21.4</w:t>
            </w:r>
          </w:p>
        </w:tc>
        <w:tc>
          <w:tcPr>
            <w:tcW w:w="1276" w:type="dxa"/>
            <w:shd w:val="clear" w:color="auto" w:fill="C4EFCE"/>
            <w:noWrap/>
            <w:vAlign w:val="center"/>
          </w:tcPr>
          <w:p w14:paraId="62676A47" w14:textId="49D8AEF4" w:rsidR="00776A1F" w:rsidRDefault="00D8574B">
            <w:pPr>
              <w:pStyle w:val="P68B1DB1-Normal12"/>
              <w:spacing w:after="0" w:line="240" w:lineRule="auto"/>
              <w:jc w:val="center"/>
              <w:rPr>
                <w:rFonts w:eastAsia="Times New Roman" w:cstheme="minorHAnsi"/>
                <w:noProof/>
              </w:rPr>
            </w:pPr>
            <w:r>
              <w:rPr>
                <w:noProof/>
              </w:rPr>
              <w:t>RP-C21-i03</w:t>
            </w:r>
          </w:p>
        </w:tc>
        <w:tc>
          <w:tcPr>
            <w:tcW w:w="1134" w:type="dxa"/>
            <w:shd w:val="clear" w:color="auto" w:fill="C4EFCE"/>
            <w:noWrap/>
            <w:vAlign w:val="center"/>
          </w:tcPr>
          <w:p w14:paraId="34651C7B" w14:textId="18BC97B7"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60269BC" w14:textId="16150F7D" w:rsidR="00776A1F" w:rsidRDefault="00D8574B">
            <w:pPr>
              <w:pStyle w:val="P68B1DB1-Normal12"/>
              <w:spacing w:after="0" w:line="240" w:lineRule="auto"/>
              <w:jc w:val="center"/>
              <w:rPr>
                <w:rFonts w:eastAsia="Times New Roman" w:cstheme="minorHAnsi"/>
                <w:noProof/>
              </w:rPr>
            </w:pPr>
            <w:r>
              <w:rPr>
                <w:noProof/>
              </w:rPr>
              <w:t>Pakalpojumu ēku energoefektivitātes renovācija</w:t>
            </w:r>
          </w:p>
        </w:tc>
        <w:tc>
          <w:tcPr>
            <w:tcW w:w="1275" w:type="dxa"/>
            <w:shd w:val="clear" w:color="auto" w:fill="C4EFCE"/>
            <w:noWrap/>
            <w:vAlign w:val="center"/>
          </w:tcPr>
          <w:p w14:paraId="459F1CF9" w14:textId="40FFF73E"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2767D5" w14:textId="36BCCE48" w:rsidR="00776A1F" w:rsidRDefault="00D8574B">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6C71504" w14:textId="4B820CEF" w:rsidR="00776A1F" w:rsidRDefault="00D8574B">
            <w:pPr>
              <w:pStyle w:val="P68B1DB1-Normal12"/>
              <w:spacing w:after="0" w:line="240" w:lineRule="auto"/>
              <w:jc w:val="center"/>
              <w:rPr>
                <w:rFonts w:eastAsia="Times New Roman"/>
                <w:noProof/>
              </w:rPr>
            </w:pPr>
            <w:r>
              <w:rPr>
                <w:noProof/>
              </w:rPr>
              <w:t>360,000</w:t>
            </w:r>
          </w:p>
        </w:tc>
        <w:tc>
          <w:tcPr>
            <w:tcW w:w="992" w:type="dxa"/>
            <w:shd w:val="clear" w:color="auto" w:fill="C4EFCE"/>
            <w:noWrap/>
            <w:vAlign w:val="center"/>
          </w:tcPr>
          <w:p w14:paraId="4E7E34F6" w14:textId="24377808" w:rsidR="00776A1F" w:rsidRDefault="00D8574B">
            <w:pPr>
              <w:pStyle w:val="P68B1DB1-Normal12"/>
              <w:spacing w:after="0" w:line="240" w:lineRule="auto"/>
              <w:jc w:val="center"/>
              <w:rPr>
                <w:rFonts w:eastAsia="Times New Roman"/>
                <w:noProof/>
              </w:rPr>
            </w:pPr>
            <w:r>
              <w:rPr>
                <w:noProof/>
              </w:rPr>
              <w:t>1 060 000</w:t>
            </w:r>
          </w:p>
        </w:tc>
        <w:tc>
          <w:tcPr>
            <w:tcW w:w="567" w:type="dxa"/>
            <w:shd w:val="clear" w:color="auto" w:fill="C4EFCE"/>
            <w:noWrap/>
            <w:vAlign w:val="center"/>
          </w:tcPr>
          <w:p w14:paraId="5AC29A9B" w14:textId="18572D01"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76B212F5" w14:textId="63663A41"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3D5C6F9" w14:textId="23A297C7" w:rsidR="00776A1F" w:rsidRDefault="00D8574B">
            <w:pPr>
              <w:pStyle w:val="P68B1DB1-Bodytext1013"/>
              <w:spacing w:after="0" w:line="240" w:lineRule="auto"/>
              <w:jc w:val="both"/>
              <w:rPr>
                <w:rFonts w:cstheme="minorBidi"/>
                <w:noProof/>
              </w:rPr>
            </w:pPr>
            <w:r>
              <w:rPr>
                <w:noProof/>
              </w:rPr>
              <w:t>Kopējā to ēku platība, kuras izmanto pakalpojumu sektorā un kurās veic energoefektivitātes renovāciju.</w:t>
            </w:r>
          </w:p>
          <w:p w14:paraId="288E3B5D" w14:textId="3DBE8827" w:rsidR="00776A1F" w:rsidRDefault="00D8574B">
            <w:pPr>
              <w:pStyle w:val="P68B1DB1-Normal12"/>
              <w:spacing w:after="0" w:line="240" w:lineRule="auto"/>
              <w:jc w:val="both"/>
              <w:rPr>
                <w:rFonts w:eastAsia="Times New Roman" w:cstheme="minorHAnsi"/>
                <w:noProof/>
              </w:rPr>
            </w:pPr>
            <w:r>
              <w:rPr>
                <w:noProof/>
              </w:rPr>
              <w:t>Ar energoefektivitātes renovāciju vidēji panāk vismaz vidēja līmeņa renovāciju, kā noteikts Komisijas Ieteikumā (ES) 2019/786 par ēku renovāciju.</w:t>
            </w:r>
          </w:p>
        </w:tc>
      </w:tr>
      <w:tr w:rsidR="00776A1F" w14:paraId="51B258CA" w14:textId="77777777">
        <w:trPr>
          <w:trHeight w:val="430"/>
        </w:trPr>
        <w:tc>
          <w:tcPr>
            <w:tcW w:w="1135" w:type="dxa"/>
            <w:shd w:val="clear" w:color="auto" w:fill="C4EFCE"/>
            <w:vAlign w:val="center"/>
          </w:tcPr>
          <w:p w14:paraId="2644F217" w14:textId="22F80D52" w:rsidR="00776A1F" w:rsidRDefault="00D8574B">
            <w:pPr>
              <w:pStyle w:val="P68B1DB1-Normal11"/>
              <w:spacing w:after="0" w:line="240" w:lineRule="auto"/>
              <w:jc w:val="center"/>
              <w:rPr>
                <w:rFonts w:eastAsia="Times New Roman" w:cstheme="minorHAnsi"/>
                <w:noProof/>
              </w:rPr>
            </w:pPr>
            <w:r>
              <w:rPr>
                <w:noProof/>
              </w:rPr>
              <w:t>21.5</w:t>
            </w:r>
          </w:p>
        </w:tc>
        <w:tc>
          <w:tcPr>
            <w:tcW w:w="1276" w:type="dxa"/>
            <w:shd w:val="clear" w:color="auto" w:fill="C4EFCE"/>
            <w:noWrap/>
            <w:vAlign w:val="center"/>
          </w:tcPr>
          <w:p w14:paraId="3E081706" w14:textId="65AC1B46" w:rsidR="00776A1F" w:rsidRDefault="00D8574B">
            <w:pPr>
              <w:pStyle w:val="P68B1DB1-Bodytext1013"/>
              <w:rPr>
                <w:rFonts w:cstheme="minorHAnsi"/>
                <w:noProof/>
              </w:rPr>
            </w:pPr>
            <w:r>
              <w:rPr>
                <w:noProof/>
              </w:rPr>
              <w:t>RP-21-i04-RAM</w:t>
            </w:r>
          </w:p>
        </w:tc>
        <w:tc>
          <w:tcPr>
            <w:tcW w:w="1134" w:type="dxa"/>
            <w:shd w:val="clear" w:color="auto" w:fill="C4EFCE"/>
            <w:noWrap/>
            <w:vAlign w:val="center"/>
          </w:tcPr>
          <w:p w14:paraId="576823A2" w14:textId="761EF1D1"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12BF19D" w14:textId="12ED4A50" w:rsidR="00776A1F" w:rsidRDefault="00D8574B">
            <w:pPr>
              <w:pStyle w:val="P68B1DB1-Normal12"/>
              <w:spacing w:after="0" w:line="240" w:lineRule="auto"/>
              <w:jc w:val="center"/>
              <w:rPr>
                <w:rFonts w:eastAsia="Times New Roman"/>
                <w:noProof/>
              </w:rPr>
            </w:pPr>
            <w:r>
              <w:rPr>
                <w:noProof/>
              </w:rPr>
              <w:t>Papildu atjaunīgās enerģijas ražošanas jauda pašpatēriņam un atjaunojamās enerģijas izmantošanai sabiedrībā renovētās sabiedriskās ēkās</w:t>
            </w:r>
          </w:p>
        </w:tc>
        <w:tc>
          <w:tcPr>
            <w:tcW w:w="1275" w:type="dxa"/>
            <w:shd w:val="clear" w:color="auto" w:fill="C4EFCE"/>
            <w:noWrap/>
            <w:vAlign w:val="center"/>
          </w:tcPr>
          <w:p w14:paraId="1DE1063A" w14:textId="66359CB1"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5CB8B204" w14:textId="31C920AC" w:rsidR="00776A1F" w:rsidRDefault="00D8574B">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34922037" w14:textId="7CAC268A" w:rsidR="00776A1F" w:rsidRDefault="00D8574B">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64EAB2DF" w14:textId="7012C39E" w:rsidR="00776A1F" w:rsidRDefault="00D8574B">
            <w:pPr>
              <w:pStyle w:val="P68B1DB1-Normal12"/>
              <w:spacing w:after="0" w:line="240" w:lineRule="auto"/>
              <w:jc w:val="center"/>
              <w:rPr>
                <w:rFonts w:eastAsia="Times New Roman" w:cstheme="minorHAnsi"/>
                <w:noProof/>
              </w:rPr>
            </w:pPr>
            <w:r>
              <w:rPr>
                <w:noProof/>
              </w:rPr>
              <w:t>1.3</w:t>
            </w:r>
          </w:p>
        </w:tc>
        <w:tc>
          <w:tcPr>
            <w:tcW w:w="567" w:type="dxa"/>
            <w:shd w:val="clear" w:color="auto" w:fill="C4EFCE"/>
            <w:noWrap/>
            <w:vAlign w:val="center"/>
          </w:tcPr>
          <w:p w14:paraId="1ADD0D80" w14:textId="19F06FDD"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2D5B9DF9" w14:textId="38003732"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EC83552" w14:textId="34489AEE" w:rsidR="00776A1F" w:rsidRDefault="00D8574B">
            <w:pPr>
              <w:pStyle w:val="P68B1DB1-Bodytext1013"/>
              <w:spacing w:after="0" w:line="240" w:lineRule="auto"/>
              <w:jc w:val="both"/>
              <w:rPr>
                <w:rFonts w:cstheme="minorBidi"/>
                <w:noProof/>
              </w:rPr>
            </w:pPr>
            <w:r>
              <w:rPr>
                <w:noProof/>
              </w:rPr>
              <w:t>Papildu atjaunīgās enerģijas ražošanas jauda pašpatēriņam sabiedriskajās ēkās.</w:t>
            </w:r>
          </w:p>
        </w:tc>
      </w:tr>
      <w:tr w:rsidR="00776A1F" w14:paraId="468840B8" w14:textId="77777777">
        <w:trPr>
          <w:trHeight w:val="1519"/>
        </w:trPr>
        <w:tc>
          <w:tcPr>
            <w:tcW w:w="1135" w:type="dxa"/>
            <w:shd w:val="clear" w:color="auto" w:fill="C4EFCE"/>
            <w:vAlign w:val="center"/>
          </w:tcPr>
          <w:p w14:paraId="48117054" w14:textId="0841057E" w:rsidR="00776A1F" w:rsidRDefault="00D8574B">
            <w:pPr>
              <w:pStyle w:val="P68B1DB1-Normal11"/>
              <w:spacing w:after="0" w:line="240" w:lineRule="auto"/>
              <w:jc w:val="center"/>
              <w:rPr>
                <w:rFonts w:eastAsia="Times New Roman" w:cstheme="minorHAnsi"/>
                <w:noProof/>
              </w:rPr>
            </w:pPr>
            <w:r>
              <w:rPr>
                <w:noProof/>
              </w:rPr>
              <w:t>21.6</w:t>
            </w:r>
          </w:p>
        </w:tc>
        <w:tc>
          <w:tcPr>
            <w:tcW w:w="1276" w:type="dxa"/>
            <w:shd w:val="clear" w:color="auto" w:fill="C4EFCE"/>
            <w:noWrap/>
            <w:vAlign w:val="center"/>
          </w:tcPr>
          <w:p w14:paraId="600F3363" w14:textId="417C60DB" w:rsidR="00776A1F" w:rsidRDefault="00D8574B">
            <w:pPr>
              <w:pStyle w:val="P68B1DB1-Normal12"/>
              <w:spacing w:after="0" w:line="240" w:lineRule="auto"/>
              <w:jc w:val="center"/>
              <w:rPr>
                <w:rFonts w:eastAsia="Times New Roman" w:cstheme="minorHAnsi"/>
                <w:noProof/>
              </w:rPr>
            </w:pPr>
            <w:r>
              <w:rPr>
                <w:noProof/>
              </w:rPr>
              <w:t>RP-21-i04-RAM</w:t>
            </w:r>
          </w:p>
        </w:tc>
        <w:tc>
          <w:tcPr>
            <w:tcW w:w="1134" w:type="dxa"/>
            <w:shd w:val="clear" w:color="auto" w:fill="C4EFCE"/>
            <w:noWrap/>
            <w:vAlign w:val="center"/>
          </w:tcPr>
          <w:p w14:paraId="423333E2" w14:textId="5B9C803B"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15A338D" w14:textId="1DF04D00" w:rsidR="00776A1F" w:rsidRDefault="00D8574B">
            <w:pPr>
              <w:pStyle w:val="P68B1DB1-Normal12"/>
              <w:spacing w:after="0" w:line="240" w:lineRule="auto"/>
              <w:jc w:val="center"/>
              <w:rPr>
                <w:rFonts w:eastAsia="Times New Roman" w:cstheme="minorHAnsi"/>
                <w:noProof/>
              </w:rPr>
            </w:pPr>
            <w:r>
              <w:rPr>
                <w:noProof/>
              </w:rPr>
              <w:t>Energoefektivitātes renovācija sabiedrisko pakalpojumu ēkās</w:t>
            </w:r>
          </w:p>
        </w:tc>
        <w:tc>
          <w:tcPr>
            <w:tcW w:w="1275" w:type="dxa"/>
            <w:shd w:val="clear" w:color="auto" w:fill="C4EFCE"/>
            <w:noWrap/>
            <w:vAlign w:val="center"/>
          </w:tcPr>
          <w:p w14:paraId="3C7888E1" w14:textId="26C6AC41"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72805B6" w14:textId="2ECAF662" w:rsidR="00776A1F" w:rsidRDefault="00D8574B">
            <w:pPr>
              <w:pStyle w:val="P68B1DB1-Normal12"/>
              <w:spacing w:after="0" w:line="240" w:lineRule="auto"/>
              <w:jc w:val="center"/>
              <w:rPr>
                <w:rFonts w:eastAsia="Times New Roman" w:cstheme="minorHAnsi"/>
                <w:noProof/>
              </w:rPr>
            </w:pPr>
            <w:r>
              <w:rPr>
                <w:noProof/>
              </w:rPr>
              <w:t>M</w:t>
            </w:r>
            <w:r>
              <w:rPr>
                <w:noProof/>
                <w:vertAlign w:val="superscript"/>
              </w:rPr>
              <w:t>2</w:t>
            </w:r>
          </w:p>
        </w:tc>
        <w:tc>
          <w:tcPr>
            <w:tcW w:w="992" w:type="dxa"/>
            <w:shd w:val="clear" w:color="auto" w:fill="C4EFCE"/>
            <w:noWrap/>
            <w:vAlign w:val="center"/>
          </w:tcPr>
          <w:p w14:paraId="55701F7C" w14:textId="5FDE8DB7" w:rsidR="00776A1F" w:rsidRDefault="00D8574B">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4974C85D" w14:textId="02953CA5" w:rsidR="00776A1F" w:rsidRDefault="00D8574B">
            <w:pPr>
              <w:pStyle w:val="P68B1DB1-Normal12"/>
              <w:spacing w:after="0" w:line="240" w:lineRule="auto"/>
              <w:jc w:val="center"/>
              <w:rPr>
                <w:rFonts w:eastAsia="Times New Roman" w:cstheme="minorHAnsi"/>
                <w:noProof/>
              </w:rPr>
            </w:pPr>
            <w:r>
              <w:rPr>
                <w:noProof/>
              </w:rPr>
              <w:t xml:space="preserve">105 000 </w:t>
            </w:r>
          </w:p>
        </w:tc>
        <w:tc>
          <w:tcPr>
            <w:tcW w:w="567" w:type="dxa"/>
            <w:shd w:val="clear" w:color="auto" w:fill="C4EFCE"/>
            <w:noWrap/>
            <w:vAlign w:val="center"/>
          </w:tcPr>
          <w:p w14:paraId="20377C57" w14:textId="6049AE31"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0BA9E64F" w14:textId="05AC713C"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4380BFB2" w14:textId="453CB997" w:rsidR="00776A1F" w:rsidRDefault="00D8574B">
            <w:pPr>
              <w:pStyle w:val="P68B1DB1-CommentText21"/>
              <w:spacing w:line="240" w:lineRule="auto"/>
              <w:rPr>
                <w:rFonts w:cstheme="minorBidi"/>
                <w:noProof/>
              </w:rPr>
            </w:pPr>
            <w:r>
              <w:rPr>
                <w:noProof/>
              </w:rPr>
              <w:t>Sabiedrisko ēku kopējā platība ir 105000 kvadrātmetri, renovējot energoefektivitāti.</w:t>
            </w:r>
          </w:p>
          <w:p w14:paraId="0FF509DE" w14:textId="5DF839FB" w:rsidR="00776A1F" w:rsidRDefault="00D8574B">
            <w:pPr>
              <w:pStyle w:val="P68B1DB1-Bodytext1013"/>
              <w:spacing w:after="0" w:line="240" w:lineRule="auto"/>
              <w:jc w:val="both"/>
              <w:rPr>
                <w:rFonts w:cstheme="minorBidi"/>
                <w:noProof/>
              </w:rPr>
            </w:pPr>
            <w:r>
              <w:rPr>
                <w:noProof/>
              </w:rPr>
              <w:t>Ar energoefektivitātes renovāciju vidēji panāk vismaz vidēja līmeņa renovāciju, kā noteikts Komisijas Ieteikumā (ES) 2019/786 par ēku renovāciju.</w:t>
            </w:r>
          </w:p>
        </w:tc>
      </w:tr>
      <w:tr w:rsidR="00776A1F" w14:paraId="58D7856D" w14:textId="77777777">
        <w:trPr>
          <w:trHeight w:val="430"/>
        </w:trPr>
        <w:tc>
          <w:tcPr>
            <w:tcW w:w="1135" w:type="dxa"/>
            <w:shd w:val="clear" w:color="auto" w:fill="C4EFCE"/>
            <w:vAlign w:val="center"/>
          </w:tcPr>
          <w:p w14:paraId="2251B7BA" w14:textId="61C2CEA5" w:rsidR="00776A1F" w:rsidRDefault="00D8574B">
            <w:pPr>
              <w:pStyle w:val="P68B1DB1-Normal11"/>
              <w:spacing w:after="0" w:line="240" w:lineRule="auto"/>
              <w:jc w:val="center"/>
              <w:rPr>
                <w:rFonts w:eastAsia="Times New Roman" w:cstheme="minorHAnsi"/>
                <w:noProof/>
              </w:rPr>
            </w:pPr>
            <w:r>
              <w:rPr>
                <w:noProof/>
              </w:rPr>
              <w:t>21.7</w:t>
            </w:r>
          </w:p>
        </w:tc>
        <w:tc>
          <w:tcPr>
            <w:tcW w:w="1276" w:type="dxa"/>
            <w:shd w:val="clear" w:color="auto" w:fill="C4EFCE"/>
            <w:noWrap/>
            <w:vAlign w:val="center"/>
          </w:tcPr>
          <w:p w14:paraId="34021876" w14:textId="08C5790C" w:rsidR="00776A1F" w:rsidRDefault="00D8574B">
            <w:pPr>
              <w:pStyle w:val="P68B1DB1-Bodytext1013"/>
              <w:rPr>
                <w:rFonts w:eastAsia="Times New Roman félkövér" w:cstheme="minorHAnsi"/>
                <w:noProof/>
              </w:rPr>
            </w:pPr>
            <w:r>
              <w:rPr>
                <w:noProof/>
              </w:rPr>
              <w:t>RP-C21-r43</w:t>
            </w:r>
          </w:p>
        </w:tc>
        <w:tc>
          <w:tcPr>
            <w:tcW w:w="1134" w:type="dxa"/>
            <w:shd w:val="clear" w:color="auto" w:fill="C4EFCE"/>
            <w:noWrap/>
            <w:vAlign w:val="center"/>
          </w:tcPr>
          <w:p w14:paraId="4F71420E" w14:textId="56F3F28B"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6FFEF19" w14:textId="67ACAB84" w:rsidR="00776A1F" w:rsidRDefault="00D8574B">
            <w:pPr>
              <w:pStyle w:val="P68B1DB1-Normal12"/>
              <w:spacing w:after="0" w:line="240" w:lineRule="auto"/>
              <w:jc w:val="center"/>
              <w:rPr>
                <w:rFonts w:eastAsia="Times New Roman" w:cstheme="minorHAnsi"/>
                <w:noProof/>
              </w:rPr>
            </w:pPr>
            <w:r>
              <w:rPr>
                <w:noProof/>
              </w:rPr>
              <w:t>Stājas spēkā tiesību akti, ar ko izveido Valsts enerģētiskās nabadzības observatoriju (ONPE)</w:t>
            </w:r>
          </w:p>
        </w:tc>
        <w:tc>
          <w:tcPr>
            <w:tcW w:w="1275" w:type="dxa"/>
            <w:shd w:val="clear" w:color="auto" w:fill="C4EFCE"/>
            <w:noWrap/>
            <w:vAlign w:val="center"/>
          </w:tcPr>
          <w:p w14:paraId="63846E04" w14:textId="72701C97" w:rsidR="00776A1F" w:rsidRDefault="00D8574B">
            <w:pPr>
              <w:pStyle w:val="P68B1DB1-Normal12"/>
              <w:spacing w:after="0" w:line="240" w:lineRule="auto"/>
              <w:jc w:val="center"/>
              <w:rPr>
                <w:noProof/>
              </w:rPr>
            </w:pPr>
            <w:r>
              <w:rPr>
                <w:noProof/>
              </w:rPr>
              <w:t xml:space="preserve">Tiesību akta noteikums, kas norāda uz tiesību akta stāšanos spēkā </w:t>
            </w:r>
          </w:p>
        </w:tc>
        <w:tc>
          <w:tcPr>
            <w:tcW w:w="993" w:type="dxa"/>
            <w:shd w:val="clear" w:color="auto" w:fill="C4EFCE"/>
            <w:noWrap/>
            <w:vAlign w:val="center"/>
          </w:tcPr>
          <w:p w14:paraId="6A7D8AC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D421A1B" w14:textId="45638A68" w:rsidR="00776A1F" w:rsidRDefault="00D8574B">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BF07CE4"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73F3ECB3" w14:textId="16C19931"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6FCC7FDE" w14:textId="1C1EA560"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135256C5" w14:textId="58D90D2E" w:rsidR="00776A1F" w:rsidRDefault="00D8574B">
            <w:pPr>
              <w:pStyle w:val="P68B1DB1-Normal12"/>
              <w:spacing w:after="0" w:line="240" w:lineRule="auto"/>
              <w:jc w:val="both"/>
              <w:rPr>
                <w:rFonts w:eastAsia="Times New Roman"/>
                <w:noProof/>
              </w:rPr>
            </w:pPr>
            <w:r>
              <w:rPr>
                <w:noProof/>
              </w:rPr>
              <w:t>Stājas spēkā tiesību akti, ar ko izveido Valsts Enerģētiskās nabadzības observatoriju (“ONPE”)”, tostarp definējot pārvaldību, pienākumus un mērķus, kā norādīts pasākuma aprakstā.</w:t>
            </w:r>
          </w:p>
        </w:tc>
      </w:tr>
      <w:tr w:rsidR="00776A1F" w14:paraId="516DA8F8" w14:textId="77777777">
        <w:trPr>
          <w:trHeight w:val="430"/>
        </w:trPr>
        <w:tc>
          <w:tcPr>
            <w:tcW w:w="1135" w:type="dxa"/>
            <w:shd w:val="clear" w:color="auto" w:fill="C4EFCE"/>
            <w:vAlign w:val="center"/>
          </w:tcPr>
          <w:p w14:paraId="34B69183" w14:textId="15D64060" w:rsidR="00776A1F" w:rsidRDefault="00D8574B">
            <w:pPr>
              <w:pStyle w:val="P68B1DB1-Normal11"/>
              <w:spacing w:after="0" w:line="240" w:lineRule="auto"/>
              <w:jc w:val="center"/>
              <w:rPr>
                <w:rFonts w:eastAsia="Times New Roman" w:cstheme="minorHAnsi"/>
                <w:noProof/>
              </w:rPr>
            </w:pPr>
            <w:r>
              <w:rPr>
                <w:noProof/>
              </w:rPr>
              <w:t>21.8</w:t>
            </w:r>
          </w:p>
        </w:tc>
        <w:tc>
          <w:tcPr>
            <w:tcW w:w="1276" w:type="dxa"/>
            <w:shd w:val="clear" w:color="auto" w:fill="C4EFCE"/>
            <w:noWrap/>
            <w:vAlign w:val="center"/>
          </w:tcPr>
          <w:p w14:paraId="5AF91C70" w14:textId="57FF3B22" w:rsidR="00776A1F" w:rsidRDefault="00D8574B">
            <w:pPr>
              <w:pStyle w:val="P68B1DB1-Normal12"/>
              <w:spacing w:after="0" w:line="240" w:lineRule="auto"/>
              <w:jc w:val="center"/>
              <w:rPr>
                <w:rFonts w:eastAsia="Times New Roman" w:cstheme="minorHAnsi"/>
                <w:noProof/>
              </w:rPr>
            </w:pPr>
            <w:r>
              <w:rPr>
                <w:noProof/>
              </w:rPr>
              <w:t>RP-C21-r43</w:t>
            </w:r>
          </w:p>
        </w:tc>
        <w:tc>
          <w:tcPr>
            <w:tcW w:w="1134" w:type="dxa"/>
            <w:shd w:val="clear" w:color="auto" w:fill="C4EFCE"/>
            <w:noWrap/>
            <w:vAlign w:val="center"/>
          </w:tcPr>
          <w:p w14:paraId="21C4EA54" w14:textId="0E98EABF"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A5E52BD" w14:textId="730B2BA6" w:rsidR="00776A1F" w:rsidRDefault="00D8574B">
            <w:pPr>
              <w:pStyle w:val="P68B1DB1-Normal12"/>
              <w:spacing w:after="0" w:line="240" w:lineRule="auto"/>
              <w:jc w:val="center"/>
              <w:rPr>
                <w:rFonts w:eastAsia="Times New Roman"/>
                <w:noProof/>
              </w:rPr>
            </w:pPr>
            <w:r>
              <w:rPr>
                <w:noProof/>
              </w:rPr>
              <w:t>Finanšu instrumenta izveide enerģētiskās nabadzības novēršanai</w:t>
            </w:r>
          </w:p>
        </w:tc>
        <w:tc>
          <w:tcPr>
            <w:tcW w:w="1275" w:type="dxa"/>
            <w:shd w:val="clear" w:color="auto" w:fill="C4EFCE"/>
            <w:noWrap/>
            <w:vAlign w:val="center"/>
          </w:tcPr>
          <w:p w14:paraId="2F98D54F" w14:textId="6858B98B" w:rsidR="00776A1F" w:rsidRDefault="00D8574B">
            <w:pPr>
              <w:pStyle w:val="P68B1DB1-Normal12"/>
              <w:spacing w:after="0" w:line="240" w:lineRule="auto"/>
              <w:jc w:val="center"/>
              <w:rPr>
                <w:noProof/>
              </w:rPr>
            </w:pPr>
            <w:r>
              <w:rPr>
                <w:noProof/>
              </w:rPr>
              <w:t>Finanšu instrumenta izveide enerģētiskās nabadzības novēršanai</w:t>
            </w:r>
          </w:p>
        </w:tc>
        <w:tc>
          <w:tcPr>
            <w:tcW w:w="993" w:type="dxa"/>
            <w:shd w:val="clear" w:color="auto" w:fill="C4EFCE"/>
            <w:noWrap/>
            <w:vAlign w:val="center"/>
          </w:tcPr>
          <w:p w14:paraId="153BF777"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89159D0"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B2F4246"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1F0E5CBC" w14:textId="5963C01D"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050861F5" w14:textId="62CDF1FF"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DA29653" w14:textId="4B8FCA14" w:rsidR="00776A1F" w:rsidRDefault="00D8574B">
            <w:pPr>
              <w:pStyle w:val="P68B1DB1-Normal12"/>
              <w:spacing w:after="0" w:line="240" w:lineRule="auto"/>
              <w:jc w:val="both"/>
              <w:rPr>
                <w:rFonts w:eastAsia="Times New Roman"/>
                <w:noProof/>
              </w:rPr>
            </w:pPr>
            <w:r>
              <w:rPr>
                <w:noProof/>
              </w:rPr>
              <w:t>Finanšu instrumenta izveide energoefektivitātes pasākumiem dzīvojamo ēku sektorā, lai risinātu enerģētiskās nabadzības problēmu attiecībā uz apzinātajiem mājsaimniecību profiliem. To pieņem, vai nu stājoties spēkā attiecīgajiem tiesību aktiem, vai pieņemot lēmumu finanšu iestādē.</w:t>
            </w:r>
          </w:p>
        </w:tc>
      </w:tr>
      <w:tr w:rsidR="00776A1F" w14:paraId="76ADC491" w14:textId="77777777">
        <w:trPr>
          <w:trHeight w:val="430"/>
        </w:trPr>
        <w:tc>
          <w:tcPr>
            <w:tcW w:w="1135" w:type="dxa"/>
            <w:shd w:val="clear" w:color="auto" w:fill="C4EFCE"/>
            <w:vAlign w:val="center"/>
          </w:tcPr>
          <w:p w14:paraId="624C6CC1" w14:textId="2FA7289B" w:rsidR="00776A1F" w:rsidRDefault="00D8574B">
            <w:pPr>
              <w:pStyle w:val="P68B1DB1-Normal11"/>
              <w:spacing w:after="0" w:line="240" w:lineRule="auto"/>
              <w:jc w:val="center"/>
              <w:rPr>
                <w:rFonts w:eastAsia="Times New Roman" w:cstheme="minorHAnsi"/>
                <w:noProof/>
              </w:rPr>
            </w:pPr>
            <w:r>
              <w:rPr>
                <w:noProof/>
              </w:rPr>
              <w:t>21.9</w:t>
            </w:r>
          </w:p>
        </w:tc>
        <w:tc>
          <w:tcPr>
            <w:tcW w:w="1276" w:type="dxa"/>
            <w:shd w:val="clear" w:color="auto" w:fill="C4EFCE"/>
            <w:noWrap/>
            <w:vAlign w:val="center"/>
          </w:tcPr>
          <w:p w14:paraId="28F5253F" w14:textId="3B061D31" w:rsidR="00776A1F" w:rsidRDefault="00D8574B">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FA2A266" w14:textId="7A8ACAE4"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3D0BF3" w14:textId="399683E4" w:rsidR="00776A1F" w:rsidRDefault="00D8574B">
            <w:pPr>
              <w:pStyle w:val="P68B1DB1-Normal12"/>
              <w:spacing w:after="0" w:line="240" w:lineRule="auto"/>
              <w:jc w:val="center"/>
              <w:rPr>
                <w:rFonts w:eastAsia="Times New Roman" w:cstheme="minorHAnsi"/>
                <w:noProof/>
              </w:rPr>
            </w:pPr>
            <w:r>
              <w:rPr>
                <w:noProof/>
              </w:rPr>
              <w:t>Sadarbības protokola parakstīšana</w:t>
            </w:r>
          </w:p>
        </w:tc>
        <w:tc>
          <w:tcPr>
            <w:tcW w:w="1275" w:type="dxa"/>
            <w:shd w:val="clear" w:color="auto" w:fill="C4EFCE"/>
            <w:noWrap/>
            <w:vAlign w:val="center"/>
          </w:tcPr>
          <w:p w14:paraId="2A0074DF" w14:textId="5E4E8D6E" w:rsidR="00776A1F" w:rsidRDefault="00D8574B">
            <w:pPr>
              <w:pStyle w:val="P68B1DB1-Normal12"/>
              <w:spacing w:after="0" w:line="240" w:lineRule="auto"/>
              <w:jc w:val="center"/>
              <w:rPr>
                <w:rFonts w:eastAsia="Times New Roman" w:cstheme="minorHAnsi"/>
                <w:noProof/>
              </w:rPr>
            </w:pPr>
            <w:r>
              <w:rPr>
                <w:noProof/>
              </w:rPr>
              <w:t>Sadarbības protokola parakstīšana</w:t>
            </w:r>
          </w:p>
        </w:tc>
        <w:tc>
          <w:tcPr>
            <w:tcW w:w="993" w:type="dxa"/>
            <w:shd w:val="clear" w:color="auto" w:fill="C4EFCE"/>
            <w:noWrap/>
            <w:vAlign w:val="center"/>
          </w:tcPr>
          <w:p w14:paraId="6E9051C5"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19DECB3" w14:textId="0694995E" w:rsidR="00776A1F" w:rsidRDefault="00D8574B">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28E6BDE"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7CCCD925" w14:textId="0DCC6DEA"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59B354CE" w14:textId="76A15769"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4FC9401F" w14:textId="75CF6D2B" w:rsidR="00776A1F" w:rsidRDefault="00D8574B">
            <w:pPr>
              <w:pStyle w:val="P68B1DB1-Normal12"/>
              <w:spacing w:after="0" w:line="240" w:lineRule="auto"/>
              <w:jc w:val="both"/>
              <w:rPr>
                <w:rFonts w:eastAsia="Times New Roman"/>
                <w:noProof/>
              </w:rPr>
            </w:pPr>
            <w:r>
              <w:rPr>
                <w:noProof/>
              </w:rPr>
              <w:t xml:space="preserve">Sadarbības protokola parakstīšana starp Agência para a Energia (ADENE), Associação Nacional de Freguesias (Anafre) un Rede Nacional de Agências de Energia (RNAE), Associação Nacional de Municípios (ANMP) un Confederação Nacional de Instituições de Solidariedade (CNIS) </w:t>
            </w:r>
            <w:r>
              <w:rPr>
                <w:i/>
                <w:noProof/>
              </w:rPr>
              <w:t>Espaços Cidadão Energia</w:t>
            </w:r>
            <w:r>
              <w:rPr>
                <w:noProof/>
              </w:rPr>
              <w:t xml:space="preserve"> izveidei un precizē to uzdevumus, pārvaldību un finansēšanas struktūru. </w:t>
            </w:r>
          </w:p>
        </w:tc>
      </w:tr>
      <w:tr w:rsidR="00776A1F" w14:paraId="4405AF92" w14:textId="77777777">
        <w:trPr>
          <w:trHeight w:val="430"/>
        </w:trPr>
        <w:tc>
          <w:tcPr>
            <w:tcW w:w="1135" w:type="dxa"/>
            <w:shd w:val="clear" w:color="auto" w:fill="C4EFCE"/>
            <w:vAlign w:val="center"/>
          </w:tcPr>
          <w:p w14:paraId="6F3D3865" w14:textId="0376A8B8" w:rsidR="00776A1F" w:rsidRDefault="00D8574B">
            <w:pPr>
              <w:pStyle w:val="P68B1DB1-Normal11"/>
              <w:spacing w:after="0" w:line="240" w:lineRule="auto"/>
              <w:jc w:val="center"/>
              <w:rPr>
                <w:rFonts w:eastAsia="Times New Roman" w:cstheme="minorHAnsi"/>
                <w:noProof/>
              </w:rPr>
            </w:pPr>
            <w:r>
              <w:rPr>
                <w:noProof/>
              </w:rPr>
              <w:t>21.10</w:t>
            </w:r>
          </w:p>
        </w:tc>
        <w:tc>
          <w:tcPr>
            <w:tcW w:w="1276" w:type="dxa"/>
            <w:shd w:val="clear" w:color="auto" w:fill="C4EFCE"/>
            <w:noWrap/>
            <w:vAlign w:val="center"/>
          </w:tcPr>
          <w:p w14:paraId="1AA96F0F" w14:textId="1A78FB1D" w:rsidR="00776A1F" w:rsidRDefault="00D8574B">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7116495E" w14:textId="1A4294A4"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F09A0D1" w14:textId="2A3C94D4" w:rsidR="00776A1F" w:rsidRDefault="00D8574B">
            <w:pPr>
              <w:pStyle w:val="P68B1DB1-Normal12"/>
              <w:spacing w:after="0" w:line="240" w:lineRule="auto"/>
              <w:jc w:val="center"/>
              <w:rPr>
                <w:rFonts w:eastAsia="Times New Roman" w:cstheme="minorHAnsi"/>
                <w:noProof/>
              </w:rPr>
            </w:pPr>
            <w:r>
              <w:rPr>
                <w:noProof/>
              </w:rPr>
              <w:t>Spēju veidošanas pasākumi</w:t>
            </w:r>
          </w:p>
        </w:tc>
        <w:tc>
          <w:tcPr>
            <w:tcW w:w="1275" w:type="dxa"/>
            <w:shd w:val="clear" w:color="auto" w:fill="C4EFCE"/>
            <w:noWrap/>
            <w:vAlign w:val="center"/>
          </w:tcPr>
          <w:p w14:paraId="2F6B73ED" w14:textId="32E45BCB"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84B2AA2" w14:textId="7DA23D0E"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06AF5309" w14:textId="540D38C5" w:rsidR="00776A1F" w:rsidRDefault="00D8574B">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F112D01" w14:textId="1A47D2FB" w:rsidR="00776A1F" w:rsidRDefault="00D8574B">
            <w:pPr>
              <w:pStyle w:val="P68B1DB1-Normal12"/>
              <w:spacing w:after="0" w:line="240" w:lineRule="auto"/>
              <w:jc w:val="center"/>
              <w:rPr>
                <w:rFonts w:eastAsia="Times New Roman" w:cstheme="minorHAnsi"/>
                <w:noProof/>
              </w:rPr>
            </w:pPr>
            <w:r>
              <w:rPr>
                <w:noProof/>
              </w:rPr>
              <w:t xml:space="preserve">300 </w:t>
            </w:r>
          </w:p>
        </w:tc>
        <w:tc>
          <w:tcPr>
            <w:tcW w:w="567" w:type="dxa"/>
            <w:shd w:val="clear" w:color="auto" w:fill="C4EFCE"/>
            <w:noWrap/>
            <w:vAlign w:val="center"/>
          </w:tcPr>
          <w:p w14:paraId="20F843B3" w14:textId="5075B2DC"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6F49F6AD" w14:textId="4E5B8D4B"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3894416" w14:textId="77ACECBF" w:rsidR="00776A1F" w:rsidRDefault="00D8574B">
            <w:pPr>
              <w:pStyle w:val="P68B1DB1-Normal12"/>
              <w:spacing w:after="0" w:line="240" w:lineRule="auto"/>
              <w:jc w:val="both"/>
              <w:rPr>
                <w:rFonts w:eastAsia="Times New Roman"/>
                <w:noProof/>
              </w:rPr>
            </w:pPr>
            <w:r>
              <w:rPr>
                <w:noProof/>
              </w:rPr>
              <w:t xml:space="preserve">300 kvalificētus speciālistus apmāca veikt dažādas funkcijas </w:t>
            </w:r>
            <w:r>
              <w:rPr>
                <w:i/>
                <w:noProof/>
              </w:rPr>
              <w:t>Espaços Cidadão Energia</w:t>
            </w:r>
            <w:r>
              <w:rPr>
                <w:noProof/>
              </w:rPr>
              <w:t>.</w:t>
            </w:r>
          </w:p>
        </w:tc>
      </w:tr>
      <w:tr w:rsidR="00776A1F" w14:paraId="44C003C4" w14:textId="77777777">
        <w:trPr>
          <w:trHeight w:val="430"/>
        </w:trPr>
        <w:tc>
          <w:tcPr>
            <w:tcW w:w="1135" w:type="dxa"/>
            <w:shd w:val="clear" w:color="auto" w:fill="C4EFCE"/>
            <w:vAlign w:val="center"/>
          </w:tcPr>
          <w:p w14:paraId="115B339E" w14:textId="18B4AA3F" w:rsidR="00776A1F" w:rsidRDefault="00D8574B">
            <w:pPr>
              <w:pStyle w:val="P68B1DB1-Normal11"/>
              <w:spacing w:after="0" w:line="240" w:lineRule="auto"/>
              <w:jc w:val="center"/>
              <w:rPr>
                <w:rFonts w:eastAsia="Times New Roman" w:cstheme="minorHAnsi"/>
                <w:noProof/>
              </w:rPr>
            </w:pPr>
            <w:r>
              <w:rPr>
                <w:noProof/>
              </w:rPr>
              <w:t>21.11</w:t>
            </w:r>
          </w:p>
        </w:tc>
        <w:tc>
          <w:tcPr>
            <w:tcW w:w="1276" w:type="dxa"/>
            <w:shd w:val="clear" w:color="auto" w:fill="C4EFCE"/>
            <w:noWrap/>
            <w:vAlign w:val="center"/>
          </w:tcPr>
          <w:p w14:paraId="72D7DD9B" w14:textId="75022C6C" w:rsidR="00776A1F" w:rsidRDefault="00D8574B">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E5D7FC3" w14:textId="589740CC"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3FB50CE" w14:textId="3D9DC0A1" w:rsidR="00776A1F" w:rsidRDefault="00D8574B">
            <w:pPr>
              <w:pStyle w:val="P68B1DB1-Normal12"/>
              <w:spacing w:after="0" w:line="240" w:lineRule="auto"/>
              <w:jc w:val="center"/>
              <w:rPr>
                <w:rFonts w:eastAsia="Times New Roman" w:cstheme="minorHAnsi"/>
                <w:noProof/>
              </w:rPr>
            </w:pPr>
            <w:r>
              <w:rPr>
                <w:noProof/>
              </w:rPr>
              <w:t>Espaços Cidadão Energia darbības uzsākšana</w:t>
            </w:r>
          </w:p>
        </w:tc>
        <w:tc>
          <w:tcPr>
            <w:tcW w:w="1275" w:type="dxa"/>
            <w:shd w:val="clear" w:color="auto" w:fill="C4EFCE"/>
            <w:noWrap/>
            <w:vAlign w:val="center"/>
          </w:tcPr>
          <w:p w14:paraId="1B57B712"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0F16E4EA" w14:textId="67F3B741"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7C58A166" w14:textId="0BCA1F7E"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F34AF54" w14:textId="6426E74F" w:rsidR="00776A1F" w:rsidRDefault="00D8574B">
            <w:pPr>
              <w:pStyle w:val="P68B1DB1-Normal12"/>
              <w:spacing w:after="0" w:line="240" w:lineRule="auto"/>
              <w:jc w:val="center"/>
              <w:rPr>
                <w:rFonts w:eastAsia="Times New Roman" w:cstheme="minorHAnsi"/>
                <w:noProof/>
              </w:rPr>
            </w:pPr>
            <w:r>
              <w:rPr>
                <w:noProof/>
              </w:rPr>
              <w:t>50</w:t>
            </w:r>
          </w:p>
        </w:tc>
        <w:tc>
          <w:tcPr>
            <w:tcW w:w="567" w:type="dxa"/>
            <w:shd w:val="clear" w:color="auto" w:fill="C4EFCE"/>
            <w:noWrap/>
            <w:vAlign w:val="center"/>
          </w:tcPr>
          <w:p w14:paraId="53370B4C" w14:textId="4384A6ED"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01B93E1A" w14:textId="5304BB25"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A90169B" w14:textId="4CB3EEB6" w:rsidR="00776A1F" w:rsidRDefault="00D8574B">
            <w:pPr>
              <w:pStyle w:val="P68B1DB1-Bodytext1013"/>
              <w:spacing w:after="0" w:line="240" w:lineRule="auto"/>
              <w:jc w:val="both"/>
              <w:rPr>
                <w:rFonts w:cstheme="minorBidi"/>
                <w:noProof/>
              </w:rPr>
            </w:pPr>
            <w:r>
              <w:rPr>
                <w:noProof/>
              </w:rPr>
              <w:t xml:space="preserve">50 fiziskie </w:t>
            </w:r>
            <w:r>
              <w:rPr>
                <w:i/>
                <w:noProof/>
              </w:rPr>
              <w:t xml:space="preserve">Espaços Cidadão Energia </w:t>
            </w:r>
            <w:r>
              <w:rPr>
                <w:noProof/>
              </w:rPr>
              <w:t>darbojas un ir pieejami pilsoņiem.</w:t>
            </w:r>
          </w:p>
        </w:tc>
      </w:tr>
      <w:tr w:rsidR="00776A1F" w14:paraId="7A001E81" w14:textId="77777777">
        <w:trPr>
          <w:trHeight w:val="430"/>
        </w:trPr>
        <w:tc>
          <w:tcPr>
            <w:tcW w:w="1135" w:type="dxa"/>
            <w:shd w:val="clear" w:color="auto" w:fill="C4EFCE"/>
            <w:vAlign w:val="center"/>
          </w:tcPr>
          <w:p w14:paraId="02453CBA" w14:textId="7EC4B509" w:rsidR="00776A1F" w:rsidRDefault="00D8574B">
            <w:pPr>
              <w:pStyle w:val="P68B1DB1-Normal11"/>
              <w:spacing w:after="0" w:line="240" w:lineRule="auto"/>
              <w:jc w:val="center"/>
              <w:rPr>
                <w:rFonts w:eastAsia="Times New Roman" w:cstheme="minorHAnsi"/>
                <w:noProof/>
              </w:rPr>
            </w:pPr>
            <w:r>
              <w:rPr>
                <w:noProof/>
              </w:rPr>
              <w:t>21.12</w:t>
            </w:r>
          </w:p>
        </w:tc>
        <w:tc>
          <w:tcPr>
            <w:tcW w:w="1276" w:type="dxa"/>
            <w:shd w:val="clear" w:color="auto" w:fill="C4EFCE"/>
            <w:noWrap/>
            <w:vAlign w:val="center"/>
          </w:tcPr>
          <w:p w14:paraId="35376737" w14:textId="5B6224D0" w:rsidR="00776A1F" w:rsidRDefault="00D8574B">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297F72F0" w14:textId="5F2B13DB"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9693662" w14:textId="12A59FAA" w:rsidR="00776A1F" w:rsidRDefault="00D8574B">
            <w:pPr>
              <w:pStyle w:val="P68B1DB1-Normal12"/>
              <w:spacing w:after="0" w:line="240" w:lineRule="auto"/>
              <w:jc w:val="center"/>
              <w:rPr>
                <w:rFonts w:eastAsia="Times New Roman" w:cstheme="minorHAnsi"/>
                <w:noProof/>
              </w:rPr>
            </w:pPr>
            <w:r>
              <w:rPr>
                <w:noProof/>
              </w:rPr>
              <w:t>Rūpniecisko projektu īstenošanas pieņemšanas noteikumu parakstīšana</w:t>
            </w:r>
          </w:p>
        </w:tc>
        <w:tc>
          <w:tcPr>
            <w:tcW w:w="1275" w:type="dxa"/>
            <w:shd w:val="clear" w:color="auto" w:fill="C4EFCE"/>
            <w:noWrap/>
            <w:vAlign w:val="center"/>
          </w:tcPr>
          <w:p w14:paraId="7458153B" w14:textId="76EAEDD5" w:rsidR="00776A1F" w:rsidRDefault="00D8574B">
            <w:pPr>
              <w:pStyle w:val="P68B1DB1-Normal12"/>
              <w:spacing w:after="0" w:line="240" w:lineRule="auto"/>
              <w:jc w:val="center"/>
              <w:rPr>
                <w:rFonts w:eastAsia="Times New Roman" w:cstheme="minorHAnsi"/>
                <w:noProof/>
              </w:rPr>
            </w:pPr>
            <w:r>
              <w:rPr>
                <w:noProof/>
              </w:rPr>
              <w:t>Rūpniecisko projektu īstenošanas pieņemšanas noteikumu parakstīšana.</w:t>
            </w:r>
          </w:p>
        </w:tc>
        <w:tc>
          <w:tcPr>
            <w:tcW w:w="993" w:type="dxa"/>
            <w:shd w:val="clear" w:color="auto" w:fill="C4EFCE"/>
            <w:noWrap/>
            <w:vAlign w:val="center"/>
          </w:tcPr>
          <w:p w14:paraId="72336B25"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9A26E3E" w14:textId="2DB3039C" w:rsidR="00776A1F" w:rsidRDefault="00D8574B">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276C077B"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7667D40B" w14:textId="479E3BA2"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083EAC73" w14:textId="1C628607"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7BE0AFF3" w14:textId="19DB74A1" w:rsidR="00776A1F" w:rsidRDefault="00D8574B">
            <w:pPr>
              <w:pStyle w:val="P68B1DB1-Bodytext1013"/>
              <w:spacing w:after="0" w:line="240" w:lineRule="auto"/>
              <w:jc w:val="both"/>
              <w:rPr>
                <w:rFonts w:cstheme="minorBidi"/>
                <w:noProof/>
              </w:rPr>
            </w:pPr>
            <w:r>
              <w:rPr>
                <w:noProof/>
              </w:rPr>
              <w:t>Pieņemšanas noteikumus paraksta tādu industriālu projektu īstenošanai, kurus atlasa konkursa kārtībā un kuri saistīti ar klimatiskās pārkārtošanās stratēģiskajām tehnoloģijām, kā norādīts pasākuma aprakstā.</w:t>
            </w:r>
          </w:p>
          <w:p w14:paraId="676A7464" w14:textId="75CAE7E6" w:rsidR="00776A1F" w:rsidRDefault="00D8574B">
            <w:pPr>
              <w:pStyle w:val="P68B1DB1-Normal12"/>
              <w:spacing w:after="0" w:line="240" w:lineRule="auto"/>
              <w:jc w:val="both"/>
              <w:rPr>
                <w:rFonts w:eastAsia="Times New Roman" w:cstheme="minorHAnsi"/>
                <w:noProof/>
              </w:rPr>
            </w:pPr>
            <w:r>
              <w:rPr>
                <w:noProof/>
              </w:rPr>
              <w:t>Pieņemšanas noteikumi nodrošina saskaņā ar šo pasākumu atbalstīto darījumu atbilstību Tehniskajiem norādījumiem “nenodari būtisku kaitējumu” (2021/C58/01), izmantojot izslēgšanas sarakstu un prasību par atbilstību attiecīgajiem ES un valsts tiesību aktiem vides jomā.</w:t>
            </w:r>
          </w:p>
        </w:tc>
      </w:tr>
      <w:tr w:rsidR="00776A1F" w14:paraId="38C0F350" w14:textId="77777777">
        <w:trPr>
          <w:trHeight w:val="430"/>
        </w:trPr>
        <w:tc>
          <w:tcPr>
            <w:tcW w:w="1135" w:type="dxa"/>
            <w:shd w:val="clear" w:color="auto" w:fill="C4EFCE"/>
            <w:vAlign w:val="center"/>
          </w:tcPr>
          <w:p w14:paraId="2822A641" w14:textId="17EAD665" w:rsidR="00776A1F" w:rsidRDefault="00D8574B">
            <w:pPr>
              <w:pStyle w:val="P68B1DB1-Normal11"/>
              <w:spacing w:after="0" w:line="240" w:lineRule="auto"/>
              <w:jc w:val="center"/>
              <w:rPr>
                <w:rFonts w:eastAsia="Times New Roman" w:cstheme="minorHAnsi"/>
                <w:noProof/>
              </w:rPr>
            </w:pPr>
            <w:r>
              <w:rPr>
                <w:noProof/>
              </w:rPr>
              <w:t>21.13</w:t>
            </w:r>
          </w:p>
        </w:tc>
        <w:tc>
          <w:tcPr>
            <w:tcW w:w="1276" w:type="dxa"/>
            <w:shd w:val="clear" w:color="auto" w:fill="C4EFCE"/>
            <w:noWrap/>
            <w:vAlign w:val="center"/>
          </w:tcPr>
          <w:p w14:paraId="5450DE1C" w14:textId="272FA70D" w:rsidR="00776A1F" w:rsidRDefault="00D8574B">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3D65B17D" w14:textId="6A2866B3"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156CFAC" w14:textId="2AF8DE16" w:rsidR="00776A1F" w:rsidRDefault="00D8574B">
            <w:pPr>
              <w:pStyle w:val="P68B1DB1-Normal12"/>
              <w:spacing w:after="0" w:line="240" w:lineRule="auto"/>
              <w:jc w:val="center"/>
              <w:rPr>
                <w:rFonts w:eastAsia="Times New Roman" w:cstheme="minorHAnsi"/>
                <w:noProof/>
              </w:rPr>
            </w:pPr>
            <w:r>
              <w:rPr>
                <w:noProof/>
              </w:rPr>
              <w:t>Piecu industriālo projektu pabeigšana stratēģisko tehnoloģiju jomā klimata pārkārtošanai</w:t>
            </w:r>
          </w:p>
        </w:tc>
        <w:tc>
          <w:tcPr>
            <w:tcW w:w="1275" w:type="dxa"/>
            <w:shd w:val="clear" w:color="auto" w:fill="C4EFCE"/>
            <w:noWrap/>
            <w:vAlign w:val="center"/>
          </w:tcPr>
          <w:p w14:paraId="7A69A2FE"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419EDC3E" w14:textId="286CAB8A"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0674002F" w14:textId="6BFD93CA"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B37AD65" w14:textId="7A1B913C" w:rsidR="00776A1F" w:rsidRDefault="00D8574B">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1203B683" w14:textId="0E9F9785"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337D899F" w14:textId="1B849260"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2155DEB" w14:textId="7B97BD38" w:rsidR="00776A1F" w:rsidRDefault="00D8574B">
            <w:pPr>
              <w:pStyle w:val="P68B1DB1-Normal12"/>
              <w:spacing w:after="0" w:line="240" w:lineRule="auto"/>
              <w:jc w:val="both"/>
              <w:rPr>
                <w:rFonts w:eastAsia="Times New Roman"/>
                <w:noProof/>
              </w:rPr>
            </w:pPr>
            <w:r>
              <w:rPr>
                <w:noProof/>
              </w:rPr>
              <w:t>Vismaz piecu tādu industriālo tehnoloģiju projektu pabeigšana, kuru tehnoloģiskās gatavības līmenis ir vienāds vai augstāks par septiņiem un kuri saistīti ar klimatiskās pārkārtošanās stratēģiskajām tehnoloģijām, kā norādīts pasākuma aprakstā.</w:t>
            </w:r>
          </w:p>
        </w:tc>
      </w:tr>
      <w:tr w:rsidR="00776A1F" w14:paraId="5A219778" w14:textId="77777777">
        <w:trPr>
          <w:trHeight w:val="430"/>
        </w:trPr>
        <w:tc>
          <w:tcPr>
            <w:tcW w:w="1135" w:type="dxa"/>
            <w:shd w:val="clear" w:color="auto" w:fill="C4EFCE"/>
            <w:vAlign w:val="center"/>
          </w:tcPr>
          <w:p w14:paraId="748E9E6F" w14:textId="3FC7C9E1" w:rsidR="00776A1F" w:rsidRDefault="00D8574B">
            <w:pPr>
              <w:pStyle w:val="P68B1DB1-Normal11"/>
              <w:spacing w:after="0" w:line="240" w:lineRule="auto"/>
              <w:jc w:val="center"/>
              <w:rPr>
                <w:rFonts w:eastAsia="Times New Roman" w:cstheme="minorHAnsi"/>
                <w:noProof/>
              </w:rPr>
            </w:pPr>
            <w:r>
              <w:rPr>
                <w:noProof/>
              </w:rPr>
              <w:t>21.14</w:t>
            </w:r>
          </w:p>
        </w:tc>
        <w:tc>
          <w:tcPr>
            <w:tcW w:w="1276" w:type="dxa"/>
            <w:shd w:val="clear" w:color="auto" w:fill="C4EFCE"/>
            <w:noWrap/>
            <w:vAlign w:val="center"/>
          </w:tcPr>
          <w:p w14:paraId="1E60F546" w14:textId="66482F0A" w:rsidR="00776A1F" w:rsidRDefault="00D8574B">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08AE361B" w14:textId="6D1DB139"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1E5E5BB7" w14:textId="2724C1E2" w:rsidR="00776A1F" w:rsidRDefault="00D8574B">
            <w:pPr>
              <w:pStyle w:val="P68B1DB1-Normal12"/>
              <w:spacing w:after="0" w:line="240" w:lineRule="auto"/>
              <w:jc w:val="center"/>
              <w:rPr>
                <w:rFonts w:eastAsia="Times New Roman" w:cstheme="minorHAnsi"/>
                <w:noProof/>
              </w:rPr>
            </w:pPr>
            <w:r>
              <w:rPr>
                <w:noProof/>
              </w:rPr>
              <w:t>Zaļo prasmju apmācības pasākumi</w:t>
            </w:r>
          </w:p>
        </w:tc>
        <w:tc>
          <w:tcPr>
            <w:tcW w:w="1275" w:type="dxa"/>
            <w:shd w:val="clear" w:color="auto" w:fill="C4EFCE"/>
            <w:noWrap/>
            <w:vAlign w:val="center"/>
          </w:tcPr>
          <w:p w14:paraId="24F12DE9"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537B007C" w14:textId="482EBD6A"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30CE81C5" w14:textId="44255BD5" w:rsidR="00776A1F" w:rsidRDefault="00D8574B">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7D552B8B" w14:textId="6840C96D" w:rsidR="00776A1F" w:rsidRDefault="00D8574B">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4774708D" w14:textId="187C4CA4"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590EB134" w14:textId="7394F496"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3B10BE2" w14:textId="3478037F" w:rsidR="00776A1F" w:rsidRDefault="00D8574B">
            <w:pPr>
              <w:pStyle w:val="P68B1DB1-Normal12"/>
              <w:spacing w:after="0" w:line="240" w:lineRule="auto"/>
              <w:jc w:val="both"/>
              <w:rPr>
                <w:rFonts w:eastAsia="Times New Roman" w:cstheme="minorHAnsi"/>
                <w:noProof/>
              </w:rPr>
            </w:pPr>
            <w:r>
              <w:rPr>
                <w:noProof/>
              </w:rPr>
              <w:t xml:space="preserve">Apmācīto personu skaits vai nu Zaļā darba un prasmju programmā, vai kursos Enerģētikas pārkārtošanas mācību centrā.   </w:t>
            </w:r>
          </w:p>
        </w:tc>
      </w:tr>
      <w:tr w:rsidR="00776A1F" w14:paraId="6B1F2C06" w14:textId="77777777">
        <w:trPr>
          <w:trHeight w:val="430"/>
        </w:trPr>
        <w:tc>
          <w:tcPr>
            <w:tcW w:w="1135" w:type="dxa"/>
            <w:shd w:val="clear" w:color="auto" w:fill="C4EFCE"/>
            <w:vAlign w:val="center"/>
          </w:tcPr>
          <w:p w14:paraId="01B3604D" w14:textId="7B2AF347" w:rsidR="00776A1F" w:rsidRDefault="00D8574B">
            <w:pPr>
              <w:pStyle w:val="P68B1DB1-Normal11"/>
              <w:spacing w:after="0" w:line="240" w:lineRule="auto"/>
              <w:jc w:val="center"/>
              <w:rPr>
                <w:rFonts w:eastAsia="Times New Roman" w:cstheme="minorHAnsi"/>
                <w:noProof/>
              </w:rPr>
            </w:pPr>
            <w:r>
              <w:rPr>
                <w:noProof/>
              </w:rPr>
              <w:t>21.15</w:t>
            </w:r>
          </w:p>
        </w:tc>
        <w:tc>
          <w:tcPr>
            <w:tcW w:w="1276" w:type="dxa"/>
            <w:shd w:val="clear" w:color="auto" w:fill="C4EFCE"/>
            <w:noWrap/>
            <w:vAlign w:val="center"/>
          </w:tcPr>
          <w:p w14:paraId="59821F78" w14:textId="3E0A4BAD" w:rsidR="00776A1F" w:rsidRDefault="00D8574B">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6FFE32F5" w14:textId="2C012BA0"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5F5D539" w14:textId="43F358D0" w:rsidR="00776A1F" w:rsidRDefault="00D8574B">
            <w:pPr>
              <w:pStyle w:val="P68B1DB1-Normal12"/>
              <w:spacing w:after="0" w:line="240" w:lineRule="auto"/>
              <w:jc w:val="center"/>
              <w:rPr>
                <w:rFonts w:eastAsia="Times New Roman" w:cstheme="minorHAnsi"/>
                <w:noProof/>
              </w:rPr>
            </w:pPr>
            <w:r>
              <w:rPr>
                <w:noProof/>
              </w:rPr>
              <w:t>Zaļo prasmju apmācības pasākumi</w:t>
            </w:r>
          </w:p>
        </w:tc>
        <w:tc>
          <w:tcPr>
            <w:tcW w:w="1275" w:type="dxa"/>
            <w:shd w:val="clear" w:color="auto" w:fill="C4EFCE"/>
            <w:noWrap/>
            <w:vAlign w:val="center"/>
          </w:tcPr>
          <w:p w14:paraId="430194B1"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2EB231DA" w14:textId="69A30C89"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052F5316" w14:textId="2F24CFF8" w:rsidR="00776A1F" w:rsidRDefault="00D8574B">
            <w:pPr>
              <w:pStyle w:val="P68B1DB1-Normal12"/>
              <w:spacing w:after="0" w:line="240" w:lineRule="auto"/>
              <w:jc w:val="center"/>
              <w:rPr>
                <w:rFonts w:eastAsia="Times New Roman" w:cstheme="minorHAnsi"/>
                <w:noProof/>
              </w:rPr>
            </w:pPr>
            <w:r>
              <w:rPr>
                <w:noProof/>
              </w:rPr>
              <w:t>12 500</w:t>
            </w:r>
          </w:p>
        </w:tc>
        <w:tc>
          <w:tcPr>
            <w:tcW w:w="992" w:type="dxa"/>
            <w:shd w:val="clear" w:color="auto" w:fill="C4EFCE"/>
            <w:noWrap/>
            <w:vAlign w:val="center"/>
          </w:tcPr>
          <w:p w14:paraId="03933323" w14:textId="324B1BA9" w:rsidR="00776A1F" w:rsidRDefault="00D8574B">
            <w:pPr>
              <w:pStyle w:val="P68B1DB1-Normal12"/>
              <w:spacing w:after="0" w:line="240" w:lineRule="auto"/>
              <w:jc w:val="center"/>
              <w:rPr>
                <w:rFonts w:eastAsia="Times New Roman" w:cstheme="minorHAnsi"/>
                <w:noProof/>
              </w:rPr>
            </w:pPr>
            <w:r>
              <w:rPr>
                <w:noProof/>
              </w:rPr>
              <w:t>25 000</w:t>
            </w:r>
          </w:p>
        </w:tc>
        <w:tc>
          <w:tcPr>
            <w:tcW w:w="567" w:type="dxa"/>
            <w:shd w:val="clear" w:color="auto" w:fill="C4EFCE"/>
            <w:noWrap/>
            <w:vAlign w:val="center"/>
          </w:tcPr>
          <w:p w14:paraId="411D6569" w14:textId="0670EF93"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1FC8409E" w14:textId="35A39153"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63AE36" w14:textId="5F0AFC76" w:rsidR="00776A1F" w:rsidRDefault="00D8574B">
            <w:pPr>
              <w:pStyle w:val="P68B1DB1-Normal12"/>
              <w:spacing w:after="0" w:line="240" w:lineRule="auto"/>
              <w:jc w:val="both"/>
              <w:rPr>
                <w:rFonts w:eastAsia="Times New Roman" w:cstheme="minorHAnsi"/>
                <w:noProof/>
              </w:rPr>
            </w:pPr>
            <w:r>
              <w:rPr>
                <w:noProof/>
              </w:rPr>
              <w:t xml:space="preserve">Apmācīto personu skaits vai nu Zaļā darba un prasmju programmā, vai kursos Enerģētikas pārkārtošanas mācību centrā. Vismaz 12500 personu apmāca Enerģētikas pārkārtošanas mācību centrā. </w:t>
            </w:r>
          </w:p>
        </w:tc>
      </w:tr>
      <w:tr w:rsidR="00776A1F" w14:paraId="01B2B8AD" w14:textId="77777777">
        <w:trPr>
          <w:trHeight w:val="430"/>
        </w:trPr>
        <w:tc>
          <w:tcPr>
            <w:tcW w:w="1135" w:type="dxa"/>
            <w:shd w:val="clear" w:color="auto" w:fill="C4EFCE"/>
            <w:vAlign w:val="center"/>
          </w:tcPr>
          <w:p w14:paraId="56013C8B" w14:textId="37C588C6" w:rsidR="00776A1F" w:rsidRDefault="00D8574B">
            <w:pPr>
              <w:pStyle w:val="P68B1DB1-Normal11"/>
              <w:spacing w:after="0" w:line="240" w:lineRule="auto"/>
              <w:jc w:val="center"/>
              <w:rPr>
                <w:rFonts w:eastAsia="Times New Roman" w:cstheme="minorHAnsi"/>
                <w:noProof/>
              </w:rPr>
            </w:pPr>
            <w:r>
              <w:rPr>
                <w:noProof/>
              </w:rPr>
              <w:t>21.16</w:t>
            </w:r>
          </w:p>
        </w:tc>
        <w:tc>
          <w:tcPr>
            <w:tcW w:w="1276" w:type="dxa"/>
            <w:shd w:val="clear" w:color="auto" w:fill="C4EFCE"/>
            <w:noWrap/>
            <w:vAlign w:val="center"/>
          </w:tcPr>
          <w:p w14:paraId="087C73AC" w14:textId="2C060A7C" w:rsidR="00776A1F" w:rsidRDefault="00D8574B">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296E326D" w14:textId="5E900A9F"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3914822" w14:textId="4E6DAE08" w:rsidR="00776A1F" w:rsidRDefault="00D8574B">
            <w:pPr>
              <w:pStyle w:val="P68B1DB1-Bodytext1013"/>
              <w:spacing w:line="240" w:lineRule="auto"/>
              <w:jc w:val="center"/>
              <w:rPr>
                <w:rFonts w:cstheme="minorHAnsi"/>
                <w:noProof/>
              </w:rPr>
            </w:pPr>
            <w:r>
              <w:rPr>
                <w:noProof/>
              </w:rPr>
              <w:t>Administratīvā vai tiesību akta par atjaunīgo ūdeņradi stāšanās spēkā</w:t>
            </w:r>
          </w:p>
        </w:tc>
        <w:tc>
          <w:tcPr>
            <w:tcW w:w="1275" w:type="dxa"/>
            <w:shd w:val="clear" w:color="auto" w:fill="C4EFCE"/>
            <w:noWrap/>
            <w:vAlign w:val="center"/>
          </w:tcPr>
          <w:p w14:paraId="7788ED3B" w14:textId="253DA9A9" w:rsidR="00776A1F" w:rsidRDefault="00D8574B">
            <w:pPr>
              <w:pStyle w:val="P68B1DB1-Normal12"/>
              <w:spacing w:after="0" w:line="240" w:lineRule="auto"/>
              <w:jc w:val="center"/>
              <w:rPr>
                <w:rFonts w:eastAsia="Times New Roman" w:cstheme="minorHAnsi"/>
                <w:noProof/>
              </w:rPr>
            </w:pPr>
            <w:r>
              <w:rPr>
                <w:noProof/>
              </w:rPr>
              <w:t>Administratīvā vai tiesību akta noteikums, kas norāda tā stāšanos spēkā</w:t>
            </w:r>
          </w:p>
        </w:tc>
        <w:tc>
          <w:tcPr>
            <w:tcW w:w="993" w:type="dxa"/>
            <w:shd w:val="clear" w:color="auto" w:fill="C4EFCE"/>
            <w:noWrap/>
            <w:vAlign w:val="center"/>
          </w:tcPr>
          <w:p w14:paraId="5B01E91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3571C1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FDDCCA3"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2B00763D" w14:textId="56911041"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4BC4C0BA" w14:textId="16296F8C"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56226CBF" w14:textId="2224A00D" w:rsidR="00776A1F" w:rsidRDefault="00D8574B">
            <w:pPr>
              <w:pStyle w:val="P68B1DB1-Bodytext1013"/>
              <w:spacing w:after="0" w:line="240" w:lineRule="auto"/>
              <w:jc w:val="both"/>
              <w:rPr>
                <w:rFonts w:cstheme="minorHAnsi"/>
                <w:noProof/>
              </w:rPr>
            </w:pPr>
            <w:r>
              <w:rPr>
                <w:noProof/>
              </w:rPr>
              <w:t>Stājas spēkā administratīvs vai tiesību akts par atjaunīgo ūdeņradi, kurā noteikts, ka par atjaunīgā ūdeņraža ražošanas iekārtām uzskata tikai tās iekārtas, kas atbilst Atjaunojamo energoresursu direktīvā un tās deleģētajos aktos (2018/2001/ES) iekļautajām prasībām.</w:t>
            </w:r>
          </w:p>
        </w:tc>
      </w:tr>
      <w:tr w:rsidR="00776A1F" w14:paraId="7A0E7FBC" w14:textId="77777777">
        <w:trPr>
          <w:trHeight w:val="430"/>
        </w:trPr>
        <w:tc>
          <w:tcPr>
            <w:tcW w:w="1135" w:type="dxa"/>
            <w:shd w:val="clear" w:color="auto" w:fill="C4EFCE"/>
            <w:vAlign w:val="center"/>
          </w:tcPr>
          <w:p w14:paraId="3D1E7654" w14:textId="46F81725" w:rsidR="00776A1F" w:rsidRDefault="00D8574B">
            <w:pPr>
              <w:pStyle w:val="P68B1DB1-Normal11"/>
              <w:spacing w:after="0" w:line="240" w:lineRule="auto"/>
              <w:jc w:val="center"/>
              <w:rPr>
                <w:rFonts w:eastAsia="Times New Roman" w:cstheme="minorHAnsi"/>
                <w:noProof/>
              </w:rPr>
            </w:pPr>
            <w:r>
              <w:rPr>
                <w:noProof/>
              </w:rPr>
              <w:t>21.17</w:t>
            </w:r>
          </w:p>
        </w:tc>
        <w:tc>
          <w:tcPr>
            <w:tcW w:w="1276" w:type="dxa"/>
            <w:shd w:val="clear" w:color="auto" w:fill="C4EFCE"/>
            <w:noWrap/>
            <w:vAlign w:val="center"/>
          </w:tcPr>
          <w:p w14:paraId="54AE443D" w14:textId="7ECCFA54" w:rsidR="00776A1F" w:rsidRDefault="00D8574B">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3C7CBC31" w14:textId="351C4C41"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84C6A16" w14:textId="19A6254B" w:rsidR="00776A1F" w:rsidRDefault="00D8574B">
            <w:pPr>
              <w:pStyle w:val="P68B1DB1-Normal12"/>
              <w:spacing w:after="0" w:line="240" w:lineRule="auto"/>
              <w:jc w:val="center"/>
              <w:rPr>
                <w:rFonts w:eastAsia="Times New Roman" w:cstheme="minorHAnsi"/>
                <w:noProof/>
              </w:rPr>
            </w:pPr>
            <w:r>
              <w:rPr>
                <w:noProof/>
              </w:rPr>
              <w:t>Pārskatītās Gāzes pārvades tīkla regulas un Valsts gāzes sadales tīkla regulas stāšanās spēkā</w:t>
            </w:r>
          </w:p>
        </w:tc>
        <w:tc>
          <w:tcPr>
            <w:tcW w:w="1275" w:type="dxa"/>
            <w:shd w:val="clear" w:color="auto" w:fill="C4EFCE"/>
            <w:noWrap/>
            <w:vAlign w:val="center"/>
          </w:tcPr>
          <w:p w14:paraId="468E9001" w14:textId="5D32AEED" w:rsidR="00776A1F" w:rsidRDefault="00D8574B">
            <w:pPr>
              <w:pStyle w:val="P68B1DB1-Normal12"/>
              <w:spacing w:after="0" w:line="240" w:lineRule="auto"/>
              <w:jc w:val="center"/>
              <w:rPr>
                <w:rFonts w:eastAsia="Times New Roman" w:cstheme="minorHAnsi"/>
                <w:noProof/>
              </w:rPr>
            </w:pPr>
            <w:r>
              <w:rPr>
                <w:noProof/>
              </w:rPr>
              <w:t xml:space="preserve">Noteikums regulās, kas norāda uz regulas stāšanos spēkā </w:t>
            </w:r>
          </w:p>
        </w:tc>
        <w:tc>
          <w:tcPr>
            <w:tcW w:w="993" w:type="dxa"/>
            <w:shd w:val="clear" w:color="auto" w:fill="C4EFCE"/>
            <w:noWrap/>
            <w:vAlign w:val="center"/>
          </w:tcPr>
          <w:p w14:paraId="6637512D"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3320AE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1D84A47"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41A67F67" w14:textId="6ADF699D"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2B7264B1" w14:textId="17E3A68C"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8D9EB5" w14:textId="1378FBBD" w:rsidR="00776A1F" w:rsidRDefault="00D8574B">
            <w:pPr>
              <w:pStyle w:val="P68B1DB1-Normal12"/>
              <w:spacing w:after="0" w:line="240" w:lineRule="auto"/>
              <w:jc w:val="both"/>
              <w:rPr>
                <w:rFonts w:eastAsia="Times New Roman" w:cstheme="minorHAnsi"/>
                <w:noProof/>
              </w:rPr>
            </w:pPr>
            <w:r>
              <w:rPr>
                <w:noProof/>
              </w:rPr>
              <w:t>Stājas spēkā pārskatītā Nacionālā gāzes pārvades tīkla regula un Nacionālā gāzes sadales tīkla regula, kurā precizēti kritēriji atjaunīgā ūdeņraža ievadīšanai gāzes tīklā.</w:t>
            </w:r>
          </w:p>
        </w:tc>
      </w:tr>
      <w:tr w:rsidR="00776A1F" w14:paraId="605D9DEB" w14:textId="77777777">
        <w:trPr>
          <w:trHeight w:val="430"/>
        </w:trPr>
        <w:tc>
          <w:tcPr>
            <w:tcW w:w="1135" w:type="dxa"/>
            <w:shd w:val="clear" w:color="auto" w:fill="C4EFCE"/>
            <w:vAlign w:val="center"/>
          </w:tcPr>
          <w:p w14:paraId="79442355" w14:textId="47ECB25B" w:rsidR="00776A1F" w:rsidRDefault="00D8574B">
            <w:pPr>
              <w:pStyle w:val="P68B1DB1-Normal11"/>
              <w:spacing w:after="0" w:line="240" w:lineRule="auto"/>
              <w:jc w:val="center"/>
              <w:rPr>
                <w:rFonts w:eastAsia="Times New Roman" w:cstheme="minorHAnsi"/>
                <w:noProof/>
              </w:rPr>
            </w:pPr>
            <w:r>
              <w:rPr>
                <w:noProof/>
              </w:rPr>
              <w:t>21.18</w:t>
            </w:r>
          </w:p>
        </w:tc>
        <w:tc>
          <w:tcPr>
            <w:tcW w:w="1276" w:type="dxa"/>
            <w:shd w:val="clear" w:color="auto" w:fill="C4EFCE"/>
            <w:noWrap/>
            <w:vAlign w:val="center"/>
          </w:tcPr>
          <w:p w14:paraId="460C67CB" w14:textId="18AC6D11" w:rsidR="00776A1F" w:rsidRDefault="00D8574B">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4F6B095" w14:textId="68DF9292"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6E13C29" w14:textId="6406C986" w:rsidR="00776A1F" w:rsidRDefault="00D8574B">
            <w:pPr>
              <w:pStyle w:val="P68B1DB1-Normal12"/>
              <w:spacing w:after="0" w:line="240" w:lineRule="auto"/>
              <w:jc w:val="center"/>
              <w:rPr>
                <w:rFonts w:eastAsia="Times New Roman" w:cstheme="minorHAnsi"/>
                <w:noProof/>
              </w:rPr>
            </w:pPr>
            <w:r>
              <w:rPr>
                <w:noProof/>
              </w:rPr>
              <w:t>Sākt pirmo ilgtspējīga biometāna centralizētas iegādes izsoli</w:t>
            </w:r>
          </w:p>
        </w:tc>
        <w:tc>
          <w:tcPr>
            <w:tcW w:w="1275" w:type="dxa"/>
            <w:shd w:val="clear" w:color="auto" w:fill="C4EFCE"/>
            <w:noWrap/>
            <w:vAlign w:val="center"/>
          </w:tcPr>
          <w:p w14:paraId="69CDF0A5" w14:textId="736DF564" w:rsidR="00776A1F" w:rsidRDefault="00D8574B">
            <w:pPr>
              <w:pStyle w:val="P68B1DB1-Normal12"/>
              <w:spacing w:after="0" w:line="240" w:lineRule="auto"/>
              <w:jc w:val="center"/>
              <w:rPr>
                <w:rFonts w:eastAsia="Times New Roman" w:cstheme="minorHAnsi"/>
                <w:noProof/>
              </w:rPr>
            </w:pPr>
            <w:r>
              <w:rPr>
                <w:noProof/>
              </w:rPr>
              <w:t>Sākt pirmo ilgtspējīga biometāna centralizētas iegādes izsoli</w:t>
            </w:r>
          </w:p>
        </w:tc>
        <w:tc>
          <w:tcPr>
            <w:tcW w:w="993" w:type="dxa"/>
            <w:shd w:val="clear" w:color="auto" w:fill="C4EFCE"/>
            <w:noWrap/>
            <w:vAlign w:val="center"/>
          </w:tcPr>
          <w:p w14:paraId="5C6BE3C1" w14:textId="77777777" w:rsidR="00776A1F" w:rsidRDefault="00776A1F">
            <w:pPr>
              <w:pStyle w:val="Bodytext10"/>
              <w:rPr>
                <w:rFonts w:asciiTheme="minorHAnsi" w:hAnsiTheme="minorHAnsi" w:cstheme="minorHAnsi"/>
                <w:noProof/>
                <w:sz w:val="16"/>
              </w:rPr>
            </w:pPr>
          </w:p>
          <w:p w14:paraId="1C95DE8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C86D329"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1B5F97E0"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3D5226E5" w14:textId="320D48A4"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13AAF3B7" w14:textId="42A89A23"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205462C3" w14:textId="592E1365" w:rsidR="00776A1F" w:rsidRDefault="00D8574B">
            <w:pPr>
              <w:pStyle w:val="P68B1DB1-Normal12"/>
              <w:spacing w:after="0" w:line="240" w:lineRule="auto"/>
              <w:jc w:val="both"/>
              <w:rPr>
                <w:rFonts w:eastAsia="Times New Roman" w:cstheme="minorHAnsi"/>
                <w:noProof/>
              </w:rPr>
            </w:pPr>
            <w:r>
              <w:rPr>
                <w:noProof/>
              </w:rPr>
              <w:t>Sākt pirmo ilgtspējīga biometāna centralizētas iegādes izsoli saskaņā ar noteikumiem, kas izklāstīti Valdības 4. janvāra rīkojumā Nr. 15/2023, lai iegādātos 150 GWh gadā biometāna ievadīšanai valsts gāzes tīklā.</w:t>
            </w:r>
          </w:p>
        </w:tc>
      </w:tr>
      <w:tr w:rsidR="00776A1F" w14:paraId="1C21BC20" w14:textId="77777777">
        <w:trPr>
          <w:trHeight w:val="430"/>
        </w:trPr>
        <w:tc>
          <w:tcPr>
            <w:tcW w:w="1135" w:type="dxa"/>
            <w:shd w:val="clear" w:color="auto" w:fill="C4EFCE"/>
            <w:vAlign w:val="center"/>
          </w:tcPr>
          <w:p w14:paraId="7BCD5805" w14:textId="57AAEBFF" w:rsidR="00776A1F" w:rsidRDefault="00D8574B">
            <w:pPr>
              <w:pStyle w:val="P68B1DB1-Normal11"/>
              <w:spacing w:after="0" w:line="240" w:lineRule="auto"/>
              <w:jc w:val="center"/>
              <w:rPr>
                <w:rFonts w:eastAsia="Times New Roman" w:cstheme="minorHAnsi"/>
                <w:noProof/>
              </w:rPr>
            </w:pPr>
            <w:r>
              <w:rPr>
                <w:noProof/>
              </w:rPr>
              <w:t>21.19</w:t>
            </w:r>
          </w:p>
        </w:tc>
        <w:tc>
          <w:tcPr>
            <w:tcW w:w="1276" w:type="dxa"/>
            <w:shd w:val="clear" w:color="auto" w:fill="C4EFCE"/>
            <w:noWrap/>
            <w:vAlign w:val="center"/>
          </w:tcPr>
          <w:p w14:paraId="0FB6B493" w14:textId="29E0E517" w:rsidR="00776A1F" w:rsidRDefault="00D8574B">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F3A2F82" w14:textId="6C89584C"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263D92B4" w14:textId="6C0D542B" w:rsidR="00776A1F" w:rsidRDefault="00D8574B">
            <w:pPr>
              <w:pStyle w:val="P68B1DB1-Normal12"/>
              <w:spacing w:after="0" w:line="240" w:lineRule="auto"/>
              <w:jc w:val="center"/>
              <w:rPr>
                <w:rFonts w:eastAsia="Times New Roman" w:cstheme="minorHAnsi"/>
                <w:noProof/>
              </w:rPr>
            </w:pPr>
            <w:r>
              <w:rPr>
                <w:noProof/>
              </w:rPr>
              <w:t>Biometāna rīcības plāna pieņemšana</w:t>
            </w:r>
          </w:p>
        </w:tc>
        <w:tc>
          <w:tcPr>
            <w:tcW w:w="1275" w:type="dxa"/>
            <w:shd w:val="clear" w:color="auto" w:fill="C4EFCE"/>
            <w:noWrap/>
            <w:vAlign w:val="center"/>
          </w:tcPr>
          <w:p w14:paraId="2331BC43" w14:textId="5662D980" w:rsidR="00776A1F" w:rsidRDefault="00D8574B">
            <w:pPr>
              <w:pStyle w:val="P68B1DB1-Normal12"/>
              <w:spacing w:after="0" w:line="240" w:lineRule="auto"/>
              <w:jc w:val="center"/>
              <w:rPr>
                <w:rFonts w:eastAsia="Times New Roman" w:cstheme="minorHAnsi"/>
                <w:noProof/>
              </w:rPr>
            </w:pPr>
            <w:r>
              <w:rPr>
                <w:noProof/>
              </w:rPr>
              <w:t>Biometāna rīcības plāna pieņemšana</w:t>
            </w:r>
          </w:p>
        </w:tc>
        <w:tc>
          <w:tcPr>
            <w:tcW w:w="993" w:type="dxa"/>
            <w:shd w:val="clear" w:color="auto" w:fill="C4EFCE"/>
            <w:noWrap/>
            <w:vAlign w:val="center"/>
          </w:tcPr>
          <w:p w14:paraId="46102B02"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54ECF4E"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B73CC88"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547A7E82" w14:textId="293EE249"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7A5419DD" w14:textId="6C7BDBBD"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7712EEC" w14:textId="66A9DDF7" w:rsidR="00776A1F" w:rsidRDefault="00D8574B">
            <w:pPr>
              <w:pStyle w:val="P68B1DB1-Normal12"/>
              <w:spacing w:after="0" w:line="240" w:lineRule="auto"/>
              <w:jc w:val="both"/>
              <w:rPr>
                <w:rFonts w:eastAsia="Times New Roman" w:cstheme="minorHAnsi"/>
                <w:noProof/>
              </w:rPr>
            </w:pPr>
            <w:r>
              <w:rPr>
                <w:noProof/>
              </w:rPr>
              <w:t xml:space="preserve">Pieņemt Biometāna rīcības plānu, ar ko izveido stratēģiju biometāna tirgus attīstībai. </w:t>
            </w:r>
          </w:p>
        </w:tc>
      </w:tr>
      <w:tr w:rsidR="00776A1F" w14:paraId="418F63A0" w14:textId="77777777">
        <w:trPr>
          <w:trHeight w:val="430"/>
        </w:trPr>
        <w:tc>
          <w:tcPr>
            <w:tcW w:w="1135" w:type="dxa"/>
            <w:shd w:val="clear" w:color="auto" w:fill="C4EFCE"/>
            <w:vAlign w:val="center"/>
          </w:tcPr>
          <w:p w14:paraId="142F0F30" w14:textId="5290C99B" w:rsidR="00776A1F" w:rsidRDefault="00D8574B">
            <w:pPr>
              <w:pStyle w:val="P68B1DB1-Normal11"/>
              <w:spacing w:after="0" w:line="240" w:lineRule="auto"/>
              <w:jc w:val="center"/>
              <w:rPr>
                <w:rFonts w:eastAsia="Times New Roman" w:cstheme="minorHAnsi"/>
                <w:noProof/>
              </w:rPr>
            </w:pPr>
            <w:r>
              <w:rPr>
                <w:noProof/>
              </w:rPr>
              <w:t>21.20</w:t>
            </w:r>
          </w:p>
        </w:tc>
        <w:tc>
          <w:tcPr>
            <w:tcW w:w="1276" w:type="dxa"/>
            <w:shd w:val="clear" w:color="auto" w:fill="C4EFCE"/>
            <w:noWrap/>
            <w:vAlign w:val="center"/>
          </w:tcPr>
          <w:p w14:paraId="6C665450" w14:textId="33C17ADF" w:rsidR="00776A1F" w:rsidRDefault="00D8574B">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CBD83E4" w14:textId="031B82C1"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797AFF" w14:textId="7C6D96EE" w:rsidR="00776A1F" w:rsidRDefault="00D8574B">
            <w:pPr>
              <w:pStyle w:val="P68B1DB1-Normal12"/>
              <w:spacing w:after="0" w:line="240" w:lineRule="auto"/>
              <w:jc w:val="center"/>
              <w:rPr>
                <w:rFonts w:eastAsia="Times New Roman" w:cstheme="minorHAnsi"/>
                <w:noProof/>
              </w:rPr>
            </w:pPr>
            <w:r>
              <w:rPr>
                <w:noProof/>
              </w:rPr>
              <w:t>Umer 2030. gada izveide</w:t>
            </w:r>
          </w:p>
        </w:tc>
        <w:tc>
          <w:tcPr>
            <w:tcW w:w="1275" w:type="dxa"/>
            <w:shd w:val="clear" w:color="auto" w:fill="C4EFCE"/>
            <w:noWrap/>
            <w:vAlign w:val="center"/>
          </w:tcPr>
          <w:p w14:paraId="3870792E" w14:textId="39267017" w:rsidR="00776A1F" w:rsidRDefault="00D8574B">
            <w:pPr>
              <w:pStyle w:val="P68B1DB1-Normal12"/>
              <w:spacing w:after="0" w:line="240" w:lineRule="auto"/>
              <w:jc w:val="center"/>
              <w:rPr>
                <w:rFonts w:eastAsia="Times New Roman" w:cstheme="minorHAnsi"/>
                <w:noProof/>
              </w:rPr>
            </w:pPr>
            <w:r>
              <w:rPr>
                <w:noProof/>
              </w:rPr>
              <w:t xml:space="preserve">Tiesību akta noteikums, kas norāda uz leģislatīvā akta stāšanos spēkā </w:t>
            </w:r>
          </w:p>
        </w:tc>
        <w:tc>
          <w:tcPr>
            <w:tcW w:w="993" w:type="dxa"/>
            <w:shd w:val="clear" w:color="auto" w:fill="C4EFCE"/>
            <w:noWrap/>
            <w:vAlign w:val="center"/>
          </w:tcPr>
          <w:p w14:paraId="4DE5ACF5"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F290546"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3BC3933"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46EB5396" w14:textId="2FD78DB8"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4CF27736" w14:textId="7B6485C3"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CD424AB" w14:textId="0D91A0DB" w:rsidR="00776A1F" w:rsidRDefault="00D8574B">
            <w:pPr>
              <w:pStyle w:val="P68B1DB1-Normal12"/>
              <w:spacing w:after="0" w:line="240" w:lineRule="auto"/>
              <w:jc w:val="both"/>
              <w:rPr>
                <w:rFonts w:eastAsia="Times New Roman" w:cstheme="minorHAnsi"/>
                <w:noProof/>
              </w:rPr>
            </w:pPr>
            <w:r>
              <w:rPr>
                <w:noProof/>
              </w:rPr>
              <w:t xml:space="preserve">Stājas spēkā saistītais tiesību akts, ar ko nosaka 2030. gada termiņu. Tiesību aktā nosaka umer 2030 uzdevumus, kā norādīts pasākuma aprakstā. </w:t>
            </w:r>
          </w:p>
        </w:tc>
      </w:tr>
      <w:tr w:rsidR="00776A1F" w14:paraId="3434404A" w14:textId="77777777">
        <w:trPr>
          <w:trHeight w:val="430"/>
        </w:trPr>
        <w:tc>
          <w:tcPr>
            <w:tcW w:w="1135" w:type="dxa"/>
            <w:shd w:val="clear" w:color="auto" w:fill="C4EFCE"/>
            <w:vAlign w:val="center"/>
          </w:tcPr>
          <w:p w14:paraId="37F09A11" w14:textId="7EBD0484" w:rsidR="00776A1F" w:rsidRDefault="00D8574B">
            <w:pPr>
              <w:pStyle w:val="P68B1DB1-Normal11"/>
              <w:spacing w:after="0" w:line="240" w:lineRule="auto"/>
              <w:jc w:val="center"/>
              <w:rPr>
                <w:rFonts w:eastAsia="Times New Roman" w:cstheme="minorHAnsi"/>
                <w:noProof/>
              </w:rPr>
            </w:pPr>
            <w:r>
              <w:rPr>
                <w:noProof/>
              </w:rPr>
              <w:t>21.21</w:t>
            </w:r>
          </w:p>
        </w:tc>
        <w:tc>
          <w:tcPr>
            <w:tcW w:w="1276" w:type="dxa"/>
            <w:shd w:val="clear" w:color="auto" w:fill="C4EFCE"/>
            <w:noWrap/>
            <w:vAlign w:val="center"/>
          </w:tcPr>
          <w:p w14:paraId="24535339" w14:textId="20939CD9" w:rsidR="00776A1F" w:rsidRDefault="00D8574B">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BAC6B67" w14:textId="5DA5E0AC"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0A12304" w14:textId="3FA91FDE" w:rsidR="00776A1F" w:rsidRDefault="00D8574B">
            <w:pPr>
              <w:pStyle w:val="P68B1DB1-Normal12"/>
              <w:spacing w:after="0" w:line="240" w:lineRule="auto"/>
              <w:jc w:val="center"/>
              <w:rPr>
                <w:rFonts w:eastAsia="Times New Roman" w:cstheme="minorHAnsi"/>
                <w:noProof/>
              </w:rPr>
            </w:pPr>
            <w:r>
              <w:rPr>
                <w:noProof/>
              </w:rPr>
              <w:t>Stājas spēkā regula par atjaunojamo energoresursu enerģijas un uzglabāšanas projektu pašvaldību licencēšanu</w:t>
            </w:r>
          </w:p>
        </w:tc>
        <w:tc>
          <w:tcPr>
            <w:tcW w:w="1275" w:type="dxa"/>
            <w:shd w:val="clear" w:color="auto" w:fill="C4EFCE"/>
            <w:noWrap/>
            <w:vAlign w:val="center"/>
          </w:tcPr>
          <w:p w14:paraId="10C906B4" w14:textId="27FE202E" w:rsidR="00776A1F" w:rsidRDefault="00D8574B">
            <w:pPr>
              <w:pStyle w:val="P68B1DB1-Normal12"/>
              <w:spacing w:after="0" w:line="240" w:lineRule="auto"/>
              <w:jc w:val="center"/>
              <w:rPr>
                <w:rFonts w:eastAsia="Times New Roman" w:cstheme="minorHAnsi"/>
                <w:noProof/>
              </w:rPr>
            </w:pPr>
            <w:r>
              <w:rPr>
                <w:noProof/>
              </w:rPr>
              <w:t xml:space="preserve">Pašvaldības noteikumu noteikums, kas norāda uz pašvaldības noteikumu stāšanos spēkā </w:t>
            </w:r>
          </w:p>
        </w:tc>
        <w:tc>
          <w:tcPr>
            <w:tcW w:w="993" w:type="dxa"/>
            <w:shd w:val="clear" w:color="auto" w:fill="C4EFCE"/>
            <w:noWrap/>
            <w:vAlign w:val="center"/>
          </w:tcPr>
          <w:p w14:paraId="0B12EE5A"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04EA6B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145DD6C1"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6F0466BA" w14:textId="4D7C3903"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16E5EBC1" w14:textId="31A3FA96"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D91FA19" w14:textId="7AD125CE" w:rsidR="00776A1F" w:rsidRDefault="00D8574B">
            <w:pPr>
              <w:pStyle w:val="P68B1DB1-Normal12"/>
              <w:spacing w:after="0" w:line="240" w:lineRule="auto"/>
              <w:jc w:val="both"/>
              <w:rPr>
                <w:rFonts w:eastAsia="Times New Roman" w:cstheme="minorHAnsi"/>
                <w:noProof/>
              </w:rPr>
            </w:pPr>
            <w:r>
              <w:rPr>
                <w:noProof/>
              </w:rPr>
              <w:t>Ministru padomes rezolūcijas, ar ko izveido noteikumus par pašvaldību licencēšanu atjaunojamās enerģijas projektiem un uzglabāšanu, publicēšana.</w:t>
            </w:r>
          </w:p>
        </w:tc>
      </w:tr>
      <w:tr w:rsidR="00776A1F" w14:paraId="59D26DB7" w14:textId="77777777">
        <w:trPr>
          <w:trHeight w:val="430"/>
        </w:trPr>
        <w:tc>
          <w:tcPr>
            <w:tcW w:w="1135" w:type="dxa"/>
            <w:shd w:val="clear" w:color="auto" w:fill="C4EFCE"/>
            <w:vAlign w:val="center"/>
          </w:tcPr>
          <w:p w14:paraId="4648D13C" w14:textId="44A43D75" w:rsidR="00776A1F" w:rsidRDefault="00D8574B">
            <w:pPr>
              <w:pStyle w:val="P68B1DB1-Normal11"/>
              <w:spacing w:after="0" w:line="240" w:lineRule="auto"/>
              <w:jc w:val="center"/>
              <w:rPr>
                <w:rFonts w:eastAsia="Times New Roman" w:cstheme="minorHAnsi"/>
                <w:noProof/>
              </w:rPr>
            </w:pPr>
            <w:r>
              <w:rPr>
                <w:noProof/>
              </w:rPr>
              <w:t>21.22</w:t>
            </w:r>
          </w:p>
        </w:tc>
        <w:tc>
          <w:tcPr>
            <w:tcW w:w="1276" w:type="dxa"/>
            <w:shd w:val="clear" w:color="auto" w:fill="C4EFCE"/>
            <w:noWrap/>
            <w:vAlign w:val="center"/>
          </w:tcPr>
          <w:p w14:paraId="728FC768" w14:textId="59F4F085" w:rsidR="00776A1F" w:rsidRDefault="00D8574B">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0E1CE1B" w14:textId="1F3111B7"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1AC95E2" w14:textId="5B253EDB" w:rsidR="00776A1F" w:rsidRDefault="00D8574B">
            <w:pPr>
              <w:pStyle w:val="P68B1DB1-Normal12"/>
              <w:spacing w:after="0" w:line="240" w:lineRule="auto"/>
              <w:jc w:val="center"/>
              <w:rPr>
                <w:rFonts w:eastAsia="Times New Roman" w:cstheme="minorHAnsi"/>
                <w:noProof/>
              </w:rPr>
            </w:pPr>
            <w:r>
              <w:rPr>
                <w:noProof/>
              </w:rPr>
              <w:t>Atjaunojamo energoresursu projektu atļaušanā iesaistītā personāla apmācība</w:t>
            </w:r>
          </w:p>
        </w:tc>
        <w:tc>
          <w:tcPr>
            <w:tcW w:w="1275" w:type="dxa"/>
            <w:shd w:val="clear" w:color="auto" w:fill="C4EFCE"/>
            <w:noWrap/>
            <w:vAlign w:val="center"/>
          </w:tcPr>
          <w:p w14:paraId="14FEE229"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1136F752" w14:textId="546F194B"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04BAAFA7" w14:textId="452A409E" w:rsidR="00776A1F" w:rsidRDefault="00D8574B">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8F14940" w14:textId="00FDB63C" w:rsidR="00776A1F" w:rsidRDefault="00D8574B">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2B93DCD7" w14:textId="2044BE31"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628BED9C" w14:textId="08411F98"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D275AC8" w14:textId="3EE92F9A" w:rsidR="00776A1F" w:rsidRDefault="00D8574B">
            <w:pPr>
              <w:pStyle w:val="P68B1DB1-Normal12"/>
              <w:spacing w:after="0" w:line="240" w:lineRule="auto"/>
              <w:jc w:val="both"/>
              <w:rPr>
                <w:rFonts w:eastAsia="Times New Roman" w:cstheme="minorHAnsi"/>
                <w:noProof/>
              </w:rPr>
            </w:pPr>
            <w:r>
              <w:rPr>
                <w:noProof/>
              </w:rPr>
              <w:t xml:space="preserve">500 centrālās, reģionālās un vietējās publiskās pārvaldes vadītājus un tehniķus apmāca jomās, kas saistītas ar atļauju piešķiršanas procedūrām atjaunīgās enerģijas projektiem un enerģijas uzkrāšanu. </w:t>
            </w:r>
          </w:p>
        </w:tc>
      </w:tr>
      <w:tr w:rsidR="00776A1F" w14:paraId="36CE5503" w14:textId="77777777">
        <w:trPr>
          <w:trHeight w:val="430"/>
        </w:trPr>
        <w:tc>
          <w:tcPr>
            <w:tcW w:w="1135" w:type="dxa"/>
            <w:shd w:val="clear" w:color="auto" w:fill="C4EFCE"/>
            <w:vAlign w:val="center"/>
          </w:tcPr>
          <w:p w14:paraId="37D608B0" w14:textId="69E7C5E2" w:rsidR="00776A1F" w:rsidRDefault="00D8574B">
            <w:pPr>
              <w:pStyle w:val="P68B1DB1-Normal11"/>
              <w:spacing w:after="0" w:line="240" w:lineRule="auto"/>
              <w:jc w:val="center"/>
              <w:rPr>
                <w:rFonts w:eastAsia="Times New Roman" w:cstheme="minorHAnsi"/>
                <w:noProof/>
              </w:rPr>
            </w:pPr>
            <w:r>
              <w:rPr>
                <w:noProof/>
              </w:rPr>
              <w:t>21.23</w:t>
            </w:r>
          </w:p>
        </w:tc>
        <w:tc>
          <w:tcPr>
            <w:tcW w:w="1276" w:type="dxa"/>
            <w:shd w:val="clear" w:color="auto" w:fill="C4EFCE"/>
            <w:noWrap/>
            <w:vAlign w:val="center"/>
          </w:tcPr>
          <w:p w14:paraId="29182886" w14:textId="24BC074B" w:rsidR="00776A1F" w:rsidRDefault="00D8574B">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ED75554" w14:textId="2C085155"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5F13748" w14:textId="5624F122" w:rsidR="00776A1F" w:rsidRDefault="00D8574B">
            <w:pPr>
              <w:pStyle w:val="P68B1DB1-Normal12"/>
              <w:spacing w:after="0" w:line="240" w:lineRule="auto"/>
              <w:jc w:val="center"/>
              <w:rPr>
                <w:rFonts w:eastAsia="Times New Roman" w:cstheme="minorHAnsi"/>
                <w:noProof/>
              </w:rPr>
            </w:pPr>
            <w:r>
              <w:rPr>
                <w:noProof/>
              </w:rPr>
              <w:t>Jaunas atjaunojamo energoresursu enerģijas jaudas piešķiršanas grafika pieņemšana, īpašu uzmanību pievēršot ģeogrāfiskajiem apgabaliem, kas izriet no nozares programmas “Atjaunojamie mērķi uz apgabaliem”</w:t>
            </w:r>
          </w:p>
        </w:tc>
        <w:tc>
          <w:tcPr>
            <w:tcW w:w="1275" w:type="dxa"/>
            <w:shd w:val="clear" w:color="auto" w:fill="C4EFCE"/>
            <w:noWrap/>
            <w:vAlign w:val="center"/>
          </w:tcPr>
          <w:p w14:paraId="51E28EBC" w14:textId="66E4B695" w:rsidR="00776A1F" w:rsidRDefault="00D8574B">
            <w:pPr>
              <w:pStyle w:val="P68B1DB1-Normal12"/>
              <w:spacing w:after="0" w:line="240" w:lineRule="auto"/>
              <w:jc w:val="center"/>
              <w:rPr>
                <w:rFonts w:eastAsia="Times New Roman" w:cstheme="minorHAnsi"/>
                <w:noProof/>
              </w:rPr>
            </w:pPr>
            <w:r>
              <w:rPr>
                <w:noProof/>
              </w:rPr>
              <w:t xml:space="preserve">Jaunas AER jaudas piešķiršanas grafika pieņemšana, pamatojoties uz teritorijām “Go-to-to” </w:t>
            </w:r>
          </w:p>
        </w:tc>
        <w:tc>
          <w:tcPr>
            <w:tcW w:w="993" w:type="dxa"/>
            <w:shd w:val="clear" w:color="auto" w:fill="C4EFCE"/>
            <w:noWrap/>
            <w:vAlign w:val="center"/>
          </w:tcPr>
          <w:p w14:paraId="7B8AAA5E"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11B6E3D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04E9295"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515A26CF" w14:textId="56B4BB75"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0A8FB463" w14:textId="6E885BE8"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607DDA1" w14:textId="4B0D2B85" w:rsidR="00776A1F" w:rsidRDefault="00D8574B">
            <w:pPr>
              <w:pStyle w:val="P68B1DB1-Normal12"/>
              <w:spacing w:after="0" w:line="240" w:lineRule="auto"/>
              <w:jc w:val="both"/>
              <w:rPr>
                <w:rFonts w:eastAsia="Times New Roman" w:cstheme="minorHAnsi"/>
                <w:noProof/>
              </w:rPr>
            </w:pPr>
            <w:r>
              <w:rPr>
                <w:noProof/>
              </w:rPr>
              <w:t xml:space="preserve">Jaunas atjaunīgās enerģijas jaudas piešķiršanas grafika pieņemšana atjaunojamo energoresursu enerģijas projektu izstrādei (ierosināts līdz 2030. gadam), īpašu uzmanību pievēršot ģeogrāfiskajiem apgabaliem, kas izriet no nozares programmas “Atjaunojamie energotaupības mērķi”, kas jāpublicē 2024. gadā. </w:t>
            </w:r>
          </w:p>
        </w:tc>
      </w:tr>
      <w:tr w:rsidR="00776A1F" w14:paraId="41B1E0D5" w14:textId="77777777">
        <w:trPr>
          <w:trHeight w:val="430"/>
        </w:trPr>
        <w:tc>
          <w:tcPr>
            <w:tcW w:w="1135" w:type="dxa"/>
            <w:shd w:val="clear" w:color="auto" w:fill="C4EFCE"/>
            <w:vAlign w:val="center"/>
          </w:tcPr>
          <w:p w14:paraId="3CE0F6A4" w14:textId="7162E82F" w:rsidR="00776A1F" w:rsidRDefault="00D8574B">
            <w:pPr>
              <w:pStyle w:val="P68B1DB1-Normal11"/>
              <w:spacing w:after="0" w:line="240" w:lineRule="auto"/>
              <w:jc w:val="center"/>
              <w:rPr>
                <w:rFonts w:eastAsia="Times New Roman" w:cstheme="minorHAnsi"/>
                <w:noProof/>
              </w:rPr>
            </w:pPr>
            <w:r>
              <w:rPr>
                <w:noProof/>
              </w:rPr>
              <w:t>21.24</w:t>
            </w:r>
          </w:p>
        </w:tc>
        <w:tc>
          <w:tcPr>
            <w:tcW w:w="1276" w:type="dxa"/>
            <w:shd w:val="clear" w:color="auto" w:fill="C4EFCE"/>
            <w:noWrap/>
            <w:vAlign w:val="center"/>
          </w:tcPr>
          <w:p w14:paraId="1D62C08E" w14:textId="5C708E14" w:rsidR="00776A1F" w:rsidRDefault="00D8574B">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7081CC4B" w14:textId="0DFD479C"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E8748BD" w14:textId="48B0F1BB" w:rsidR="00776A1F" w:rsidRDefault="00D8574B">
            <w:pPr>
              <w:pStyle w:val="P68B1DB1-Normal12"/>
              <w:spacing w:after="0" w:line="240" w:lineRule="auto"/>
              <w:jc w:val="center"/>
              <w:rPr>
                <w:rFonts w:eastAsia="Times New Roman" w:cstheme="minorHAnsi"/>
                <w:noProof/>
              </w:rPr>
            </w:pPr>
            <w:r>
              <w:rPr>
                <w:noProof/>
              </w:rPr>
              <w:t>Uzaicinājums iesniegt piedāvājumus atjaunojamās gāzes ražošanas projektiem</w:t>
            </w:r>
          </w:p>
        </w:tc>
        <w:tc>
          <w:tcPr>
            <w:tcW w:w="1275" w:type="dxa"/>
            <w:shd w:val="clear" w:color="auto" w:fill="C4EFCE"/>
            <w:noWrap/>
            <w:vAlign w:val="center"/>
          </w:tcPr>
          <w:p w14:paraId="66FE5F49" w14:textId="6737AF70" w:rsidR="00776A1F" w:rsidRDefault="00D8574B">
            <w:pPr>
              <w:pStyle w:val="P68B1DB1-Normal12"/>
              <w:spacing w:after="0" w:line="240" w:lineRule="auto"/>
              <w:jc w:val="center"/>
              <w:rPr>
                <w:rFonts w:eastAsia="Times New Roman" w:cstheme="minorHAnsi"/>
                <w:noProof/>
              </w:rPr>
            </w:pPr>
            <w:r>
              <w:rPr>
                <w:noProof/>
              </w:rPr>
              <w:t>Izsludināts uzaicinājums iesniegt piedāvājumus</w:t>
            </w:r>
          </w:p>
        </w:tc>
        <w:tc>
          <w:tcPr>
            <w:tcW w:w="993" w:type="dxa"/>
            <w:shd w:val="clear" w:color="auto" w:fill="C4EFCE"/>
            <w:noWrap/>
            <w:vAlign w:val="center"/>
          </w:tcPr>
          <w:p w14:paraId="479A718C"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0B02F5A2"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0B95FF4D"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146FF056" w14:textId="0D036499"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2563D209" w14:textId="5636F9A1" w:rsidR="00776A1F" w:rsidRDefault="00D8574B">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17D5EFE" w14:textId="5E524A6E" w:rsidR="00776A1F" w:rsidRDefault="00D8574B">
            <w:pPr>
              <w:pStyle w:val="P68B1DB1-Normal12"/>
              <w:spacing w:after="0" w:line="240" w:lineRule="auto"/>
              <w:jc w:val="both"/>
              <w:rPr>
                <w:rFonts w:eastAsia="Times New Roman" w:cstheme="minorHAnsi"/>
                <w:noProof/>
              </w:rPr>
            </w:pPr>
            <w:r>
              <w:rPr>
                <w:noProof/>
              </w:rPr>
              <w:t>Uzaicinājuma izsludināšana atbalstīto projektu atlasei attiecībā uz vismaz 77 MW jaunu uzstādītu atjaunīgā ūdeņraža un citu atjaunīgo gāzu enerģijas jaudu ar nulli vai tuvu nullei aprites cikla SEG emisijām</w:t>
            </w:r>
          </w:p>
        </w:tc>
      </w:tr>
      <w:tr w:rsidR="00776A1F" w14:paraId="40C08A18" w14:textId="77777777">
        <w:trPr>
          <w:trHeight w:val="430"/>
        </w:trPr>
        <w:tc>
          <w:tcPr>
            <w:tcW w:w="1135" w:type="dxa"/>
            <w:shd w:val="clear" w:color="auto" w:fill="C4EFCE"/>
            <w:vAlign w:val="center"/>
          </w:tcPr>
          <w:p w14:paraId="0D51024F" w14:textId="29C3E044" w:rsidR="00776A1F" w:rsidRDefault="00D8574B">
            <w:pPr>
              <w:pStyle w:val="P68B1DB1-Normal11"/>
              <w:spacing w:after="0" w:line="240" w:lineRule="auto"/>
              <w:jc w:val="center"/>
              <w:rPr>
                <w:rFonts w:eastAsia="Times New Roman" w:cstheme="minorHAnsi"/>
                <w:noProof/>
              </w:rPr>
            </w:pPr>
            <w:r>
              <w:rPr>
                <w:noProof/>
              </w:rPr>
              <w:t>21.25</w:t>
            </w:r>
          </w:p>
        </w:tc>
        <w:tc>
          <w:tcPr>
            <w:tcW w:w="1276" w:type="dxa"/>
            <w:shd w:val="clear" w:color="auto" w:fill="C4EFCE"/>
            <w:noWrap/>
            <w:vAlign w:val="center"/>
          </w:tcPr>
          <w:p w14:paraId="77D23AA8" w14:textId="65077A31" w:rsidR="00776A1F" w:rsidRDefault="00D8574B">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57213471" w14:textId="60058345"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FE5C52B" w14:textId="4E89CAFA" w:rsidR="00776A1F" w:rsidRDefault="00D8574B">
            <w:pPr>
              <w:pStyle w:val="P68B1DB1-Normal12"/>
              <w:spacing w:after="0" w:line="240" w:lineRule="auto"/>
              <w:jc w:val="center"/>
              <w:rPr>
                <w:rFonts w:eastAsia="Times New Roman" w:cstheme="minorHAnsi"/>
                <w:noProof/>
              </w:rPr>
            </w:pPr>
            <w:r>
              <w:rPr>
                <w:noProof/>
              </w:rPr>
              <w:t>Atjaunīgā ūdeņraža un atjaunīgās gāzes ražošanas papildu jauda</w:t>
            </w:r>
          </w:p>
        </w:tc>
        <w:tc>
          <w:tcPr>
            <w:tcW w:w="1275" w:type="dxa"/>
            <w:shd w:val="clear" w:color="auto" w:fill="C4EFCE"/>
            <w:noWrap/>
            <w:vAlign w:val="center"/>
          </w:tcPr>
          <w:p w14:paraId="1CC9CE9A"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0507A478" w14:textId="2F6724C7" w:rsidR="00776A1F" w:rsidRDefault="00D8574B">
            <w:pPr>
              <w:pStyle w:val="P68B1DB1-Bodytext1013"/>
              <w:jc w:val="center"/>
              <w:rPr>
                <w:rFonts w:cstheme="minorHAnsi"/>
                <w:noProof/>
              </w:rPr>
            </w:pPr>
            <w:r>
              <w:rPr>
                <w:noProof/>
              </w:rPr>
              <w:t>MW</w:t>
            </w:r>
          </w:p>
        </w:tc>
        <w:tc>
          <w:tcPr>
            <w:tcW w:w="992" w:type="dxa"/>
            <w:shd w:val="clear" w:color="auto" w:fill="C4EFCE"/>
            <w:noWrap/>
            <w:vAlign w:val="center"/>
          </w:tcPr>
          <w:p w14:paraId="113D3DC1" w14:textId="69E6A3A4" w:rsidR="00776A1F" w:rsidRDefault="00D8574B">
            <w:pPr>
              <w:pStyle w:val="P68B1DB1-Bodytext1013"/>
              <w:jc w:val="center"/>
              <w:rPr>
                <w:rFonts w:cstheme="minorHAnsi"/>
                <w:noProof/>
              </w:rPr>
            </w:pPr>
            <w:r>
              <w:rPr>
                <w:noProof/>
              </w:rPr>
              <w:t>200</w:t>
            </w:r>
          </w:p>
        </w:tc>
        <w:tc>
          <w:tcPr>
            <w:tcW w:w="992" w:type="dxa"/>
            <w:shd w:val="clear" w:color="auto" w:fill="C4EFCE"/>
            <w:noWrap/>
            <w:vAlign w:val="center"/>
          </w:tcPr>
          <w:p w14:paraId="7576C464" w14:textId="71409B46" w:rsidR="00776A1F" w:rsidRDefault="00D8574B">
            <w:pPr>
              <w:pStyle w:val="P68B1DB1-Bodytext1013"/>
              <w:jc w:val="center"/>
              <w:rPr>
                <w:rFonts w:cstheme="minorHAnsi"/>
                <w:noProof/>
              </w:rPr>
            </w:pPr>
            <w:r>
              <w:rPr>
                <w:noProof/>
              </w:rPr>
              <w:t>277</w:t>
            </w:r>
          </w:p>
        </w:tc>
        <w:tc>
          <w:tcPr>
            <w:tcW w:w="567" w:type="dxa"/>
            <w:shd w:val="clear" w:color="auto" w:fill="C4EFCE"/>
            <w:noWrap/>
            <w:vAlign w:val="center"/>
          </w:tcPr>
          <w:p w14:paraId="685921C4" w14:textId="6AE79D57" w:rsidR="00776A1F" w:rsidRDefault="00D8574B">
            <w:pPr>
              <w:pStyle w:val="P68B1DB1-Normal12"/>
              <w:spacing w:after="0" w:line="240" w:lineRule="auto"/>
              <w:jc w:val="center"/>
              <w:rPr>
                <w:rFonts w:eastAsia="Times New Roman"/>
                <w:noProof/>
              </w:rPr>
            </w:pPr>
            <w:r>
              <w:rPr>
                <w:noProof/>
              </w:rPr>
              <w:t>2. CET.</w:t>
            </w:r>
          </w:p>
        </w:tc>
        <w:tc>
          <w:tcPr>
            <w:tcW w:w="708" w:type="dxa"/>
            <w:shd w:val="clear" w:color="auto" w:fill="C4EFCE"/>
            <w:noWrap/>
            <w:vAlign w:val="center"/>
          </w:tcPr>
          <w:p w14:paraId="3E715CB5" w14:textId="528BEFE4" w:rsidR="00776A1F" w:rsidRDefault="00D8574B">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1DFE52F0" w14:textId="3B8ED44F" w:rsidR="00776A1F" w:rsidRDefault="00D8574B">
            <w:pPr>
              <w:pStyle w:val="P68B1DB1-Normal12"/>
              <w:spacing w:after="0" w:line="240" w:lineRule="auto"/>
              <w:jc w:val="both"/>
              <w:rPr>
                <w:rFonts w:eastAsia="Times New Roman" w:cstheme="minorHAnsi"/>
                <w:noProof/>
              </w:rPr>
            </w:pPr>
            <w:r>
              <w:rPr>
                <w:noProof/>
              </w:rPr>
              <w:t>Papildu atjaunīgā ūdeņraža un atjaunīgo gāzu ražošanas jauda, kas uzstādīta ar nulles vai tuvu nullei aprites cikla SEG emisijām</w:t>
            </w:r>
          </w:p>
        </w:tc>
      </w:tr>
      <w:tr w:rsidR="00776A1F" w14:paraId="1045276A" w14:textId="77777777">
        <w:trPr>
          <w:trHeight w:val="430"/>
        </w:trPr>
        <w:tc>
          <w:tcPr>
            <w:tcW w:w="1135" w:type="dxa"/>
            <w:shd w:val="clear" w:color="auto" w:fill="C4EFCE"/>
            <w:vAlign w:val="center"/>
          </w:tcPr>
          <w:p w14:paraId="55738168" w14:textId="0E945F03" w:rsidR="00776A1F" w:rsidRDefault="00D8574B">
            <w:pPr>
              <w:pStyle w:val="P68B1DB1-Normal11"/>
              <w:spacing w:after="0" w:line="240" w:lineRule="auto"/>
              <w:jc w:val="center"/>
              <w:rPr>
                <w:rFonts w:eastAsia="Times New Roman" w:cstheme="minorHAnsi"/>
                <w:noProof/>
              </w:rPr>
            </w:pPr>
            <w:r>
              <w:rPr>
                <w:noProof/>
              </w:rPr>
              <w:t>21.26</w:t>
            </w:r>
          </w:p>
        </w:tc>
        <w:tc>
          <w:tcPr>
            <w:tcW w:w="1276" w:type="dxa"/>
            <w:shd w:val="clear" w:color="auto" w:fill="C4EFCE"/>
            <w:noWrap/>
            <w:vAlign w:val="center"/>
          </w:tcPr>
          <w:p w14:paraId="4B3853AA" w14:textId="5D7EDD36" w:rsidR="00776A1F" w:rsidRDefault="00D8574B">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4AEE7547" w14:textId="408AED36"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915FA70" w14:textId="3F664342" w:rsidR="00776A1F" w:rsidRDefault="00D8574B">
            <w:pPr>
              <w:pStyle w:val="P68B1DB1-Normal12"/>
              <w:spacing w:after="0" w:line="240" w:lineRule="auto"/>
              <w:jc w:val="center"/>
              <w:rPr>
                <w:rFonts w:eastAsia="Times New Roman" w:cstheme="minorHAnsi"/>
                <w:noProof/>
              </w:rPr>
            </w:pPr>
            <w:r>
              <w:rPr>
                <w:noProof/>
              </w:rPr>
              <w:t>Atkrastes tehnisko pētījumu līguma(-u) parakstīšana</w:t>
            </w:r>
          </w:p>
        </w:tc>
        <w:tc>
          <w:tcPr>
            <w:tcW w:w="1275" w:type="dxa"/>
            <w:shd w:val="clear" w:color="auto" w:fill="C4EFCE"/>
            <w:noWrap/>
            <w:vAlign w:val="center"/>
          </w:tcPr>
          <w:p w14:paraId="1B3565C5" w14:textId="155871F2" w:rsidR="00776A1F" w:rsidRDefault="00D8574B">
            <w:pPr>
              <w:pStyle w:val="P68B1DB1-Normal12"/>
              <w:spacing w:after="0" w:line="240" w:lineRule="auto"/>
              <w:jc w:val="center"/>
              <w:rPr>
                <w:rFonts w:eastAsia="Times New Roman" w:cstheme="minorHAnsi"/>
                <w:noProof/>
              </w:rPr>
            </w:pPr>
            <w:r>
              <w:rPr>
                <w:noProof/>
              </w:rPr>
              <w:t>Atkrastes tehnisko pētījumu līguma(-u) parakstīšana</w:t>
            </w:r>
          </w:p>
        </w:tc>
        <w:tc>
          <w:tcPr>
            <w:tcW w:w="993" w:type="dxa"/>
            <w:shd w:val="clear" w:color="auto" w:fill="C4EFCE"/>
            <w:noWrap/>
            <w:vAlign w:val="center"/>
          </w:tcPr>
          <w:p w14:paraId="6A8DEA3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15E396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6CD424A"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3B750639" w14:textId="6AFCD4AA"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137C7D92" w14:textId="007769A9"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9E9FABE" w14:textId="406ED44D" w:rsidR="00776A1F" w:rsidRDefault="00D8574B">
            <w:pPr>
              <w:pStyle w:val="P68B1DB1-Normal12"/>
              <w:spacing w:after="0" w:line="240" w:lineRule="auto"/>
              <w:jc w:val="both"/>
              <w:rPr>
                <w:rFonts w:eastAsia="Times New Roman" w:cstheme="minorHAnsi"/>
                <w:noProof/>
              </w:rPr>
            </w:pPr>
            <w:r>
              <w:rPr>
                <w:noProof/>
              </w:rPr>
              <w:t xml:space="preserve">Līguma(-u) parakstīšana par jūras ģeofizikāliem, ģeotehniskiem, vēja, viļņu un pašreizējiem pētījumiem, kuru mērķis ir atvieglot atkrastes vēja enerģijas uzstādīšanu. </w:t>
            </w:r>
          </w:p>
        </w:tc>
      </w:tr>
      <w:tr w:rsidR="00776A1F" w14:paraId="54C1DF86" w14:textId="77777777">
        <w:trPr>
          <w:trHeight w:val="430"/>
        </w:trPr>
        <w:tc>
          <w:tcPr>
            <w:tcW w:w="1135" w:type="dxa"/>
            <w:shd w:val="clear" w:color="auto" w:fill="C4EFCE"/>
            <w:vAlign w:val="center"/>
          </w:tcPr>
          <w:p w14:paraId="74BF25A6" w14:textId="17A4170C" w:rsidR="00776A1F" w:rsidRDefault="00D8574B">
            <w:pPr>
              <w:pStyle w:val="P68B1DB1-Normal11"/>
              <w:spacing w:after="0" w:line="240" w:lineRule="auto"/>
              <w:jc w:val="center"/>
              <w:rPr>
                <w:rFonts w:eastAsia="Times New Roman" w:cstheme="minorHAnsi"/>
                <w:noProof/>
              </w:rPr>
            </w:pPr>
            <w:r>
              <w:rPr>
                <w:noProof/>
              </w:rPr>
              <w:t>21.27</w:t>
            </w:r>
          </w:p>
        </w:tc>
        <w:tc>
          <w:tcPr>
            <w:tcW w:w="1276" w:type="dxa"/>
            <w:shd w:val="clear" w:color="auto" w:fill="C4EFCE"/>
            <w:noWrap/>
            <w:vAlign w:val="center"/>
          </w:tcPr>
          <w:p w14:paraId="64144345" w14:textId="66F94339" w:rsidR="00776A1F" w:rsidRDefault="00D8574B">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7865928B" w14:textId="72EB631F"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BB3CE96" w14:textId="66D1E21F" w:rsidR="00776A1F" w:rsidRDefault="00D8574B">
            <w:pPr>
              <w:pStyle w:val="P68B1DB1-Normal12"/>
              <w:spacing w:after="0" w:line="240" w:lineRule="auto"/>
              <w:jc w:val="center"/>
              <w:rPr>
                <w:rFonts w:eastAsia="Times New Roman" w:cstheme="minorHAnsi"/>
                <w:noProof/>
              </w:rPr>
            </w:pPr>
            <w:r>
              <w:rPr>
                <w:noProof/>
              </w:rPr>
              <w:t>Jūras vēja enerģijas tehnisko pētījumu pabeigšana</w:t>
            </w:r>
          </w:p>
        </w:tc>
        <w:tc>
          <w:tcPr>
            <w:tcW w:w="1275" w:type="dxa"/>
            <w:shd w:val="clear" w:color="auto" w:fill="C4EFCE"/>
            <w:noWrap/>
            <w:vAlign w:val="center"/>
          </w:tcPr>
          <w:p w14:paraId="6C094680" w14:textId="1CDCB07B" w:rsidR="00776A1F" w:rsidRDefault="00D8574B">
            <w:pPr>
              <w:pStyle w:val="P68B1DB1-Normal12"/>
              <w:spacing w:after="0" w:line="240" w:lineRule="auto"/>
              <w:jc w:val="center"/>
              <w:rPr>
                <w:rFonts w:eastAsia="Times New Roman" w:cstheme="minorHAnsi"/>
                <w:noProof/>
              </w:rPr>
            </w:pPr>
            <w:r>
              <w:rPr>
                <w:noProof/>
              </w:rPr>
              <w:t>Jūras vēja enerģijas tehnisko pētījumu pabeigšana</w:t>
            </w:r>
          </w:p>
        </w:tc>
        <w:tc>
          <w:tcPr>
            <w:tcW w:w="993" w:type="dxa"/>
            <w:shd w:val="clear" w:color="auto" w:fill="C4EFCE"/>
            <w:noWrap/>
            <w:vAlign w:val="center"/>
          </w:tcPr>
          <w:p w14:paraId="3AE2A000"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2320F173"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41DB8D43"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1EC71DEE" w14:textId="4990C42A"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57D3FE17" w14:textId="51C26B14"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AC78EE5" w14:textId="28037D15" w:rsidR="00776A1F" w:rsidRDefault="00D8574B">
            <w:pPr>
              <w:pStyle w:val="P68B1DB1-Normal12"/>
              <w:spacing w:after="0" w:line="240" w:lineRule="auto"/>
              <w:jc w:val="both"/>
              <w:rPr>
                <w:rFonts w:eastAsia="Times New Roman"/>
                <w:noProof/>
              </w:rPr>
            </w:pPr>
            <w:r>
              <w:rPr>
                <w:noProof/>
              </w:rPr>
              <w:t>Ģeofizisko, ģeotehnisko, vēja, viļņu un strāvas pētījumu pabeigšana, kuru mērķis ir atvieglot atkrastes vēja enerģijas uzstādīšanu un kuri aptver vismaz 2 000 km² lielu platību.</w:t>
            </w:r>
          </w:p>
        </w:tc>
      </w:tr>
      <w:tr w:rsidR="00776A1F" w14:paraId="7539E854" w14:textId="77777777">
        <w:trPr>
          <w:trHeight w:val="430"/>
        </w:trPr>
        <w:tc>
          <w:tcPr>
            <w:tcW w:w="1135" w:type="dxa"/>
            <w:shd w:val="clear" w:color="auto" w:fill="C4EFCE"/>
            <w:vAlign w:val="center"/>
          </w:tcPr>
          <w:p w14:paraId="3006E847" w14:textId="1BEAC184" w:rsidR="00776A1F" w:rsidRDefault="00D8574B">
            <w:pPr>
              <w:pStyle w:val="P68B1DB1-Normal11"/>
              <w:spacing w:after="0" w:line="240" w:lineRule="auto"/>
              <w:jc w:val="center"/>
              <w:rPr>
                <w:rFonts w:eastAsia="Times New Roman" w:cstheme="minorHAnsi"/>
                <w:noProof/>
              </w:rPr>
            </w:pPr>
            <w:r>
              <w:rPr>
                <w:noProof/>
              </w:rPr>
              <w:t>21.28</w:t>
            </w:r>
          </w:p>
        </w:tc>
        <w:tc>
          <w:tcPr>
            <w:tcW w:w="1276" w:type="dxa"/>
            <w:shd w:val="clear" w:color="auto" w:fill="C4EFCE"/>
            <w:noWrap/>
            <w:vAlign w:val="center"/>
          </w:tcPr>
          <w:p w14:paraId="1409BB5F" w14:textId="7C2538F1" w:rsidR="00776A1F" w:rsidRDefault="00D8574B">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5465DB3D" w14:textId="06A0BB9B"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298A80C" w14:textId="44A074A0" w:rsidR="00776A1F" w:rsidRDefault="00D8574B">
            <w:pPr>
              <w:pStyle w:val="P68B1DB1-Normal12"/>
              <w:spacing w:after="0" w:line="240" w:lineRule="auto"/>
              <w:jc w:val="center"/>
              <w:rPr>
                <w:rFonts w:eastAsia="Times New Roman" w:cstheme="minorHAnsi"/>
                <w:noProof/>
              </w:rPr>
            </w:pPr>
            <w:r>
              <w:rPr>
                <w:noProof/>
              </w:rPr>
              <w:t>Elektroenerģijas akumulēšanas jaudas uzstādīšanas pieņemšanas noteikumu parakstīšana</w:t>
            </w:r>
          </w:p>
        </w:tc>
        <w:tc>
          <w:tcPr>
            <w:tcW w:w="1275" w:type="dxa"/>
            <w:shd w:val="clear" w:color="auto" w:fill="C4EFCE"/>
            <w:noWrap/>
            <w:vAlign w:val="center"/>
          </w:tcPr>
          <w:p w14:paraId="1573BBFD" w14:textId="4C8CE9E8" w:rsidR="00776A1F" w:rsidRDefault="00D8574B">
            <w:pPr>
              <w:pStyle w:val="P68B1DB1-Normal12"/>
              <w:spacing w:after="0" w:line="240" w:lineRule="auto"/>
              <w:jc w:val="center"/>
              <w:rPr>
                <w:rFonts w:eastAsia="Times New Roman" w:cstheme="minorHAnsi"/>
                <w:noProof/>
              </w:rPr>
            </w:pPr>
            <w:r>
              <w:rPr>
                <w:noProof/>
              </w:rPr>
              <w:t>Apstiprinājuma noteikumu parakstīšana vismaz 500 MW uzglabāšanas jaudas uzstādīšanai</w:t>
            </w:r>
          </w:p>
        </w:tc>
        <w:tc>
          <w:tcPr>
            <w:tcW w:w="993" w:type="dxa"/>
            <w:shd w:val="clear" w:color="auto" w:fill="C4EFCE"/>
            <w:noWrap/>
            <w:vAlign w:val="center"/>
          </w:tcPr>
          <w:p w14:paraId="13FF946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4EED15CC" w14:textId="7413286F" w:rsidR="00776A1F" w:rsidRDefault="00D8574B">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86A1FE7"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1A56D73B" w14:textId="2347516A" w:rsidR="00776A1F" w:rsidRDefault="00D8574B">
            <w:pPr>
              <w:pStyle w:val="P68B1DB1-Normal12"/>
              <w:spacing w:after="0" w:line="240" w:lineRule="auto"/>
              <w:jc w:val="center"/>
              <w:rPr>
                <w:rFonts w:eastAsia="Times New Roman"/>
                <w:noProof/>
              </w:rPr>
            </w:pPr>
            <w:r>
              <w:rPr>
                <w:noProof/>
              </w:rPr>
              <w:t>2. CET.</w:t>
            </w:r>
          </w:p>
        </w:tc>
        <w:tc>
          <w:tcPr>
            <w:tcW w:w="708" w:type="dxa"/>
            <w:shd w:val="clear" w:color="auto" w:fill="C4EFCE"/>
            <w:noWrap/>
            <w:vAlign w:val="center"/>
          </w:tcPr>
          <w:p w14:paraId="108BC515" w14:textId="020B0AB5" w:rsidR="00776A1F" w:rsidRDefault="00D8574B">
            <w:pPr>
              <w:pStyle w:val="P68B1DB1-Normal12"/>
              <w:spacing w:after="0" w:line="240" w:lineRule="auto"/>
              <w:jc w:val="center"/>
              <w:rPr>
                <w:rFonts w:eastAsia="Times New Roman"/>
                <w:noProof/>
              </w:rPr>
            </w:pPr>
            <w:r>
              <w:rPr>
                <w:noProof/>
              </w:rPr>
              <w:t>2024</w:t>
            </w:r>
          </w:p>
        </w:tc>
        <w:tc>
          <w:tcPr>
            <w:tcW w:w="3969" w:type="dxa"/>
            <w:shd w:val="clear" w:color="auto" w:fill="C4EFCE"/>
            <w:vAlign w:val="center"/>
          </w:tcPr>
          <w:p w14:paraId="5D147784" w14:textId="549198BC" w:rsidR="00776A1F" w:rsidRDefault="00D8574B">
            <w:pPr>
              <w:pStyle w:val="P68B1DB1-Normal12"/>
              <w:spacing w:after="0" w:line="240" w:lineRule="auto"/>
              <w:jc w:val="both"/>
              <w:rPr>
                <w:rFonts w:eastAsia="Times New Roman" w:cstheme="minorHAnsi"/>
                <w:noProof/>
              </w:rPr>
            </w:pPr>
            <w:r>
              <w:rPr>
                <w:noProof/>
              </w:rPr>
              <w:t>Apstiprināšanas noteikumi, kas parakstīti vismaz 500 MW uzglabāšanas jaudas uzstādīšanai iepriekš noteiktās teritorijās, kuras uzskata par visnepieciešamākajām.</w:t>
            </w:r>
          </w:p>
        </w:tc>
      </w:tr>
      <w:tr w:rsidR="00776A1F" w14:paraId="6EA9FB44" w14:textId="77777777">
        <w:trPr>
          <w:trHeight w:val="430"/>
        </w:trPr>
        <w:tc>
          <w:tcPr>
            <w:tcW w:w="1135" w:type="dxa"/>
            <w:shd w:val="clear" w:color="auto" w:fill="C4EFCE"/>
            <w:vAlign w:val="center"/>
          </w:tcPr>
          <w:p w14:paraId="67CC59EB" w14:textId="5139272B" w:rsidR="00776A1F" w:rsidRDefault="00D8574B">
            <w:pPr>
              <w:pStyle w:val="P68B1DB1-Normal11"/>
              <w:spacing w:after="0" w:line="240" w:lineRule="auto"/>
              <w:jc w:val="center"/>
              <w:rPr>
                <w:rFonts w:eastAsia="Times New Roman" w:cstheme="minorHAnsi"/>
                <w:noProof/>
              </w:rPr>
            </w:pPr>
            <w:r>
              <w:rPr>
                <w:noProof/>
              </w:rPr>
              <w:t>21.29</w:t>
            </w:r>
          </w:p>
        </w:tc>
        <w:tc>
          <w:tcPr>
            <w:tcW w:w="1276" w:type="dxa"/>
            <w:shd w:val="clear" w:color="auto" w:fill="C4EFCE"/>
            <w:noWrap/>
            <w:vAlign w:val="center"/>
          </w:tcPr>
          <w:p w14:paraId="25A27E44" w14:textId="3B066F9C" w:rsidR="00776A1F" w:rsidRDefault="00D8574B">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65D2ADC6" w14:textId="5D60B062"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E61722C" w14:textId="562F0185" w:rsidR="00776A1F" w:rsidRDefault="00D8574B">
            <w:pPr>
              <w:pStyle w:val="P68B1DB1-Bodytext1013"/>
              <w:spacing w:line="240" w:lineRule="auto"/>
              <w:jc w:val="center"/>
              <w:rPr>
                <w:rFonts w:cstheme="minorHAnsi"/>
                <w:noProof/>
              </w:rPr>
            </w:pPr>
            <w:r>
              <w:rPr>
                <w:noProof/>
              </w:rPr>
              <w:t>Elektroenerģijas uzkrāšanas jaudas uzstādīšana</w:t>
            </w:r>
          </w:p>
        </w:tc>
        <w:tc>
          <w:tcPr>
            <w:tcW w:w="1275" w:type="dxa"/>
            <w:shd w:val="clear" w:color="auto" w:fill="C4EFCE"/>
            <w:noWrap/>
            <w:vAlign w:val="center"/>
          </w:tcPr>
          <w:p w14:paraId="5B65FBBE"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7277883B" w14:textId="11FA7FED" w:rsidR="00776A1F" w:rsidRDefault="00D8574B">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EB221F6" w14:textId="520A661D"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42CDD52D" w14:textId="73FC3728" w:rsidR="00776A1F" w:rsidRDefault="00D8574B">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6D77EE18" w14:textId="2DDCE475"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2CF60B40" w14:textId="0E3517C7"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61A6BE4" w14:textId="6EFF85E1" w:rsidR="00776A1F" w:rsidRDefault="00D8574B">
            <w:pPr>
              <w:pStyle w:val="P68B1DB1-Bodytext1013"/>
              <w:spacing w:after="0" w:line="240" w:lineRule="auto"/>
              <w:jc w:val="both"/>
              <w:rPr>
                <w:rFonts w:cstheme="minorHAnsi"/>
                <w:noProof/>
              </w:rPr>
            </w:pPr>
            <w:r>
              <w:rPr>
                <w:noProof/>
              </w:rPr>
              <w:t xml:space="preserve">Uzstādītā elektroenerģijas akumulēšanas jauda vismaz 500 MW. </w:t>
            </w:r>
          </w:p>
        </w:tc>
      </w:tr>
      <w:tr w:rsidR="00776A1F" w14:paraId="666E99E3" w14:textId="77777777">
        <w:trPr>
          <w:trHeight w:val="430"/>
        </w:trPr>
        <w:tc>
          <w:tcPr>
            <w:tcW w:w="1135" w:type="dxa"/>
            <w:shd w:val="clear" w:color="auto" w:fill="C4EFCE"/>
            <w:vAlign w:val="center"/>
          </w:tcPr>
          <w:p w14:paraId="7B3F0627" w14:textId="37869B3E" w:rsidR="00776A1F" w:rsidRDefault="00D8574B">
            <w:pPr>
              <w:pStyle w:val="P68B1DB1-Normal11"/>
              <w:spacing w:after="0" w:line="240" w:lineRule="auto"/>
              <w:jc w:val="center"/>
              <w:rPr>
                <w:rFonts w:eastAsia="Times New Roman" w:cstheme="minorHAnsi"/>
                <w:noProof/>
              </w:rPr>
            </w:pPr>
            <w:r>
              <w:rPr>
                <w:noProof/>
              </w:rPr>
              <w:t>21.30</w:t>
            </w:r>
          </w:p>
        </w:tc>
        <w:tc>
          <w:tcPr>
            <w:tcW w:w="1276" w:type="dxa"/>
            <w:shd w:val="clear" w:color="auto" w:fill="C4EFCE"/>
            <w:noWrap/>
            <w:vAlign w:val="center"/>
          </w:tcPr>
          <w:p w14:paraId="3BDC0F23" w14:textId="157C435B" w:rsidR="00776A1F" w:rsidRDefault="00D8574B">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043D8D0E" w14:textId="5A1B02C4"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85915AC" w14:textId="356C2A62" w:rsidR="00776A1F" w:rsidRDefault="00D8574B">
            <w:pPr>
              <w:pStyle w:val="P68B1DB1-Bodytext1013"/>
              <w:spacing w:line="240" w:lineRule="auto"/>
              <w:jc w:val="center"/>
              <w:rPr>
                <w:rFonts w:cstheme="minorHAnsi"/>
                <w:noProof/>
              </w:rPr>
            </w:pPr>
            <w:r>
              <w:rPr>
                <w:noProof/>
              </w:rPr>
              <w:t>Vienas pieturas aģentūras digitālās platformas pirmā posma moduļu darbības uzsākšana atjaunīgās enerģijas projektu atļauju piešķiršanai un uzraudzībai</w:t>
            </w:r>
          </w:p>
        </w:tc>
        <w:tc>
          <w:tcPr>
            <w:tcW w:w="1275" w:type="dxa"/>
            <w:shd w:val="clear" w:color="auto" w:fill="C4EFCE"/>
            <w:noWrap/>
            <w:vAlign w:val="center"/>
          </w:tcPr>
          <w:p w14:paraId="1CA13B2F" w14:textId="7D796230" w:rsidR="00776A1F" w:rsidRDefault="00D8574B">
            <w:pPr>
              <w:pStyle w:val="P68B1DB1-Bodytext1013"/>
              <w:rPr>
                <w:rFonts w:cstheme="minorHAnsi"/>
                <w:noProof/>
              </w:rPr>
            </w:pPr>
            <w:r>
              <w:rPr>
                <w:noProof/>
              </w:rPr>
              <w:t>Vienas pieturas aģentūras digitālās platformas pirmā posma moduļu darbības uzsākšana atjaunīgās enerģijas projektu atļauju piešķiršanai un uzraudzībai</w:t>
            </w:r>
          </w:p>
        </w:tc>
        <w:tc>
          <w:tcPr>
            <w:tcW w:w="993" w:type="dxa"/>
            <w:shd w:val="clear" w:color="auto" w:fill="C4EFCE"/>
            <w:noWrap/>
            <w:vAlign w:val="center"/>
          </w:tcPr>
          <w:p w14:paraId="7068296D"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70A330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0D53A9AC"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5DA0EC12" w14:textId="4A6E8E0F"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018D5E69" w14:textId="0E4CC2FF"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76B9CE4" w14:textId="4108B586" w:rsidR="00776A1F" w:rsidRDefault="00D8574B">
            <w:pPr>
              <w:pStyle w:val="P68B1DB1-Bodytext1013"/>
              <w:spacing w:after="0" w:line="240" w:lineRule="auto"/>
              <w:jc w:val="both"/>
              <w:rPr>
                <w:rFonts w:cstheme="minorHAnsi"/>
                <w:noProof/>
              </w:rPr>
            </w:pPr>
            <w:r>
              <w:rPr>
                <w:noProof/>
              </w:rPr>
              <w:t>Vienas pieturas aģentūras digitālās platformas pirmā posma moduļu ekspluatācijas uzsākšana atjaunīgās enerģijas projektu atļauju piešķiršanai un uzraudzībai, kā norādīts pasākuma aprakstā.</w:t>
            </w:r>
          </w:p>
        </w:tc>
      </w:tr>
      <w:tr w:rsidR="00776A1F" w14:paraId="4586FFC2" w14:textId="77777777">
        <w:trPr>
          <w:trHeight w:val="430"/>
        </w:trPr>
        <w:tc>
          <w:tcPr>
            <w:tcW w:w="1135" w:type="dxa"/>
            <w:shd w:val="clear" w:color="auto" w:fill="C4EFCE"/>
            <w:vAlign w:val="center"/>
          </w:tcPr>
          <w:p w14:paraId="7F1EF689" w14:textId="32009939" w:rsidR="00776A1F" w:rsidRDefault="00D8574B">
            <w:pPr>
              <w:pStyle w:val="P68B1DB1-Normal11"/>
              <w:spacing w:after="0" w:line="240" w:lineRule="auto"/>
              <w:jc w:val="center"/>
              <w:rPr>
                <w:rFonts w:eastAsia="Times New Roman" w:cstheme="minorHAnsi"/>
                <w:noProof/>
              </w:rPr>
            </w:pPr>
            <w:r>
              <w:rPr>
                <w:noProof/>
              </w:rPr>
              <w:t>21.31</w:t>
            </w:r>
          </w:p>
        </w:tc>
        <w:tc>
          <w:tcPr>
            <w:tcW w:w="1276" w:type="dxa"/>
            <w:shd w:val="clear" w:color="auto" w:fill="C4EFCE"/>
            <w:noWrap/>
            <w:vAlign w:val="center"/>
          </w:tcPr>
          <w:p w14:paraId="61E4D6AF" w14:textId="2D0F6781" w:rsidR="00776A1F" w:rsidRDefault="00D8574B">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230CED97" w14:textId="74F37228"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203708E" w14:textId="12D046CF" w:rsidR="00776A1F" w:rsidRDefault="00D8574B">
            <w:pPr>
              <w:pStyle w:val="P68B1DB1-Bodytext1013"/>
              <w:spacing w:line="240" w:lineRule="auto"/>
              <w:jc w:val="center"/>
              <w:rPr>
                <w:rFonts w:cstheme="minorHAnsi"/>
                <w:noProof/>
              </w:rPr>
            </w:pPr>
            <w:r>
              <w:rPr>
                <w:noProof/>
              </w:rPr>
              <w:t>Vienas pieturas aģentūras digitālās platformas otrā posma moduļu ekspluatācijas uzsākšana atjaunīgās enerģijas projektu atļauju piešķiršanai un uzraudzībai, kā arī esošo atļauju izsniegšanas dokumentu dematerializācijas procesa pabeigšana.</w:t>
            </w:r>
          </w:p>
        </w:tc>
        <w:tc>
          <w:tcPr>
            <w:tcW w:w="1275" w:type="dxa"/>
            <w:shd w:val="clear" w:color="auto" w:fill="C4EFCE"/>
            <w:noWrap/>
            <w:vAlign w:val="center"/>
          </w:tcPr>
          <w:p w14:paraId="1901C1FE" w14:textId="3FE5BDE9" w:rsidR="00776A1F" w:rsidRDefault="00D8574B">
            <w:pPr>
              <w:pStyle w:val="P68B1DB1-Bodytext1013"/>
              <w:rPr>
                <w:rFonts w:cstheme="minorHAnsi"/>
                <w:noProof/>
              </w:rPr>
            </w:pPr>
            <w:r>
              <w:rPr>
                <w:noProof/>
              </w:rPr>
              <w:t>Otrā posma moduļu darbības uzsākšana un dematerializācijas procesa pabeigšana</w:t>
            </w:r>
          </w:p>
        </w:tc>
        <w:tc>
          <w:tcPr>
            <w:tcW w:w="993" w:type="dxa"/>
            <w:shd w:val="clear" w:color="auto" w:fill="C4EFCE"/>
            <w:noWrap/>
            <w:vAlign w:val="center"/>
          </w:tcPr>
          <w:p w14:paraId="737BEEE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4893EFA"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5041F109"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0CC8B59F" w14:textId="2295E9F0" w:rsidR="00776A1F" w:rsidRDefault="00D8574B">
            <w:pPr>
              <w:pStyle w:val="P68B1DB1-Normal12"/>
              <w:spacing w:after="0" w:line="240" w:lineRule="auto"/>
              <w:jc w:val="center"/>
              <w:rPr>
                <w:rFonts w:eastAsia="Times New Roman"/>
                <w:noProof/>
              </w:rPr>
            </w:pPr>
            <w:r>
              <w:rPr>
                <w:noProof/>
              </w:rPr>
              <w:t>2. CET.</w:t>
            </w:r>
          </w:p>
        </w:tc>
        <w:tc>
          <w:tcPr>
            <w:tcW w:w="708" w:type="dxa"/>
            <w:shd w:val="clear" w:color="auto" w:fill="C4EFCE"/>
            <w:noWrap/>
            <w:vAlign w:val="center"/>
          </w:tcPr>
          <w:p w14:paraId="0AEC55F4" w14:textId="056D3D0C"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7AA262B" w14:textId="4E31E36C" w:rsidR="00776A1F" w:rsidRDefault="00D8574B">
            <w:pPr>
              <w:pStyle w:val="P68B1DB1-Normal12"/>
              <w:spacing w:after="0" w:line="240" w:lineRule="auto"/>
              <w:jc w:val="both"/>
              <w:rPr>
                <w:rFonts w:eastAsia="Times New Roman"/>
                <w:noProof/>
              </w:rPr>
            </w:pPr>
            <w:r>
              <w:rPr>
                <w:noProof/>
              </w:rPr>
              <w:t>Vienas pieturas aģentūras digitālās platformas otrā posma moduļu ekspluatācijas uzsākšana atjaunīgās enerģijas projektu atļauju piešķiršanai un uzraudzībai, kā arī esošo atļauju izsniegšanas dokumentu dematerializācijas procesa pabeigšana saskaņā ar Enerģētikas un ģeoloģijas ģenerāldirektorāta noteikto vajadzību, kā norādīts pasākuma aprakstā.</w:t>
            </w:r>
          </w:p>
        </w:tc>
      </w:tr>
      <w:tr w:rsidR="00776A1F" w14:paraId="6BE813FA" w14:textId="77777777">
        <w:trPr>
          <w:trHeight w:val="430"/>
        </w:trPr>
        <w:tc>
          <w:tcPr>
            <w:tcW w:w="1135" w:type="dxa"/>
            <w:shd w:val="clear" w:color="auto" w:fill="C4EFCE"/>
            <w:vAlign w:val="center"/>
          </w:tcPr>
          <w:p w14:paraId="733A43BD" w14:textId="414B2FAD" w:rsidR="00776A1F" w:rsidRDefault="00D8574B">
            <w:pPr>
              <w:pStyle w:val="P68B1DB1-Normal11"/>
              <w:spacing w:after="0" w:line="240" w:lineRule="auto"/>
              <w:jc w:val="center"/>
              <w:rPr>
                <w:rFonts w:eastAsia="Times New Roman" w:cstheme="minorHAnsi"/>
                <w:noProof/>
              </w:rPr>
            </w:pPr>
            <w:r>
              <w:rPr>
                <w:noProof/>
              </w:rPr>
              <w:t>21.32</w:t>
            </w:r>
          </w:p>
        </w:tc>
        <w:tc>
          <w:tcPr>
            <w:tcW w:w="1276" w:type="dxa"/>
            <w:shd w:val="clear" w:color="auto" w:fill="C4EFCE"/>
            <w:noWrap/>
            <w:vAlign w:val="center"/>
          </w:tcPr>
          <w:p w14:paraId="1D4596FC" w14:textId="6C3C6EAE" w:rsidR="00776A1F" w:rsidRDefault="00D8574B">
            <w:pPr>
              <w:pStyle w:val="P68B1DB1-Normal12"/>
              <w:spacing w:after="0" w:line="240" w:lineRule="auto"/>
              <w:jc w:val="center"/>
              <w:rPr>
                <w:rFonts w:eastAsia="Times New Roman"/>
                <w:noProof/>
              </w:rPr>
            </w:pPr>
            <w:r>
              <w:rPr>
                <w:noProof/>
              </w:rPr>
              <w:t>RP-C21-i10-RAA</w:t>
            </w:r>
          </w:p>
        </w:tc>
        <w:tc>
          <w:tcPr>
            <w:tcW w:w="1134" w:type="dxa"/>
            <w:shd w:val="clear" w:color="auto" w:fill="C4EFCE"/>
            <w:noWrap/>
            <w:vAlign w:val="center"/>
          </w:tcPr>
          <w:p w14:paraId="11BDF5A0" w14:textId="0F4DD2C5"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F84B7D1" w14:textId="71264E8C" w:rsidR="00776A1F" w:rsidRDefault="00D8574B">
            <w:pPr>
              <w:pStyle w:val="P68B1DB1-Normal12"/>
              <w:spacing w:after="0" w:line="240" w:lineRule="auto"/>
              <w:jc w:val="center"/>
              <w:rPr>
                <w:rFonts w:eastAsia="Times New Roman" w:cstheme="minorHAnsi"/>
                <w:noProof/>
              </w:rPr>
            </w:pPr>
            <w:r>
              <w:rPr>
                <w:noProof/>
              </w:rPr>
              <w:t>Elektroenerģijas uzkrāšanas jaudas uzstādīšana</w:t>
            </w:r>
          </w:p>
        </w:tc>
        <w:tc>
          <w:tcPr>
            <w:tcW w:w="1275" w:type="dxa"/>
            <w:shd w:val="clear" w:color="auto" w:fill="C4EFCE"/>
            <w:noWrap/>
            <w:vAlign w:val="center"/>
          </w:tcPr>
          <w:p w14:paraId="618CABB5"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6CA43656" w14:textId="647D88FA" w:rsidR="00776A1F" w:rsidRDefault="00D8574B">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72C57D8C" w14:textId="3EFCC2B3"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6E4AE3" w14:textId="01C62BBE" w:rsidR="00776A1F" w:rsidRDefault="00D8574B">
            <w:pPr>
              <w:pStyle w:val="P68B1DB1-Normal12"/>
              <w:spacing w:after="0" w:line="240" w:lineRule="auto"/>
              <w:jc w:val="center"/>
              <w:rPr>
                <w:rFonts w:eastAsia="Times New Roman" w:cstheme="minorHAnsi"/>
                <w:noProof/>
              </w:rPr>
            </w:pPr>
            <w:r>
              <w:rPr>
                <w:noProof/>
              </w:rPr>
              <w:t>8,75</w:t>
            </w:r>
          </w:p>
        </w:tc>
        <w:tc>
          <w:tcPr>
            <w:tcW w:w="567" w:type="dxa"/>
            <w:shd w:val="clear" w:color="auto" w:fill="C4EFCE"/>
            <w:noWrap/>
            <w:vAlign w:val="center"/>
          </w:tcPr>
          <w:p w14:paraId="2B3BB704" w14:textId="2A88BBEA"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2CE8D20C" w14:textId="5A9DDA13"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ACED5AC" w14:textId="74C3E21E" w:rsidR="00776A1F" w:rsidRDefault="00D8574B">
            <w:pPr>
              <w:pStyle w:val="P68B1DB1-Normal12"/>
              <w:spacing w:after="0" w:line="240" w:lineRule="auto"/>
              <w:jc w:val="both"/>
              <w:rPr>
                <w:rFonts w:eastAsia="Times New Roman" w:cstheme="minorHAnsi"/>
                <w:noProof/>
              </w:rPr>
            </w:pPr>
            <w:r>
              <w:rPr>
                <w:noProof/>
              </w:rPr>
              <w:t>Vismaz 8,75 MW elektroenerģijas uzkrāšanas jaudas, kas uzstādīta pašpatēriņam.</w:t>
            </w:r>
          </w:p>
        </w:tc>
      </w:tr>
      <w:tr w:rsidR="00776A1F" w14:paraId="59FCB201" w14:textId="77777777">
        <w:trPr>
          <w:trHeight w:val="430"/>
        </w:trPr>
        <w:tc>
          <w:tcPr>
            <w:tcW w:w="1135" w:type="dxa"/>
            <w:shd w:val="clear" w:color="auto" w:fill="C4EFCE"/>
            <w:vAlign w:val="center"/>
          </w:tcPr>
          <w:p w14:paraId="16D1E889" w14:textId="1734E102" w:rsidR="00776A1F" w:rsidRDefault="00D8574B">
            <w:pPr>
              <w:pStyle w:val="P68B1DB1-Normal11"/>
              <w:spacing w:after="0" w:line="240" w:lineRule="auto"/>
              <w:jc w:val="center"/>
              <w:rPr>
                <w:rFonts w:eastAsia="Times New Roman" w:cstheme="minorHAnsi"/>
                <w:noProof/>
              </w:rPr>
            </w:pPr>
            <w:r>
              <w:rPr>
                <w:noProof/>
              </w:rPr>
              <w:t>21.33</w:t>
            </w:r>
          </w:p>
        </w:tc>
        <w:tc>
          <w:tcPr>
            <w:tcW w:w="1276" w:type="dxa"/>
            <w:shd w:val="clear" w:color="auto" w:fill="C4EFCE"/>
            <w:noWrap/>
            <w:vAlign w:val="center"/>
          </w:tcPr>
          <w:p w14:paraId="0DD29FA5" w14:textId="656F08E3" w:rsidR="00776A1F" w:rsidRDefault="00D8574B">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6443488B" w14:textId="0171A2E8"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442E0E7" w14:textId="10C4B9DB" w:rsidR="00776A1F" w:rsidRDefault="00D8574B">
            <w:pPr>
              <w:pStyle w:val="P68B1DB1-Normal12"/>
              <w:spacing w:after="0" w:line="240" w:lineRule="auto"/>
              <w:jc w:val="center"/>
              <w:rPr>
                <w:rFonts w:eastAsia="Times New Roman"/>
                <w:noProof/>
              </w:rPr>
            </w:pPr>
            <w:r>
              <w:rPr>
                <w:noProof/>
              </w:rPr>
              <w:t>Atjaunīgās enerģijas ražošanas vienībās uzstādītās jaudas palielināšana pašpatēriņam un uzstādītās uzkrāšanas jaudas palielināšana pašpatēriņam</w:t>
            </w:r>
          </w:p>
        </w:tc>
        <w:tc>
          <w:tcPr>
            <w:tcW w:w="1275" w:type="dxa"/>
            <w:shd w:val="clear" w:color="auto" w:fill="C4EFCE"/>
            <w:noWrap/>
            <w:vAlign w:val="center"/>
          </w:tcPr>
          <w:p w14:paraId="14BAC0AF"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5B7EA6FB" w14:textId="6D0983F5" w:rsidR="00776A1F" w:rsidRDefault="00D8574B">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24D8C7DF" w14:textId="21183495" w:rsidR="00776A1F" w:rsidRDefault="00D8574B">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2B7883F0" w14:textId="7809369D" w:rsidR="00776A1F" w:rsidRDefault="00D8574B">
            <w:pPr>
              <w:pStyle w:val="P68B1DB1-Normal12"/>
              <w:spacing w:after="0" w:line="240" w:lineRule="auto"/>
              <w:jc w:val="center"/>
              <w:rPr>
                <w:rFonts w:eastAsia="Times New Roman"/>
                <w:noProof/>
              </w:rPr>
            </w:pPr>
            <w:r>
              <w:rPr>
                <w:noProof/>
              </w:rPr>
              <w:t>5.25</w:t>
            </w:r>
          </w:p>
        </w:tc>
        <w:tc>
          <w:tcPr>
            <w:tcW w:w="567" w:type="dxa"/>
            <w:shd w:val="clear" w:color="auto" w:fill="C4EFCE"/>
            <w:noWrap/>
            <w:vAlign w:val="center"/>
          </w:tcPr>
          <w:p w14:paraId="496A646E" w14:textId="54237EC0"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119BAC6D" w14:textId="70C26F2D"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4F13C5D1" w14:textId="58328E68" w:rsidR="00776A1F" w:rsidRDefault="00D8574B">
            <w:pPr>
              <w:pStyle w:val="P68B1DB1-Normal12"/>
              <w:spacing w:after="0" w:line="240" w:lineRule="auto"/>
              <w:jc w:val="both"/>
              <w:rPr>
                <w:rFonts w:eastAsia="Times New Roman"/>
                <w:noProof/>
              </w:rPr>
            </w:pPr>
            <w:r>
              <w:rPr>
                <w:noProof/>
              </w:rPr>
              <w:t>Ir uzstādīta vismaz 2,75 MW jauda atjaunojamās enerģijas ražošanai pašpatēriņam.</w:t>
            </w:r>
          </w:p>
          <w:p w14:paraId="0A9ABADC" w14:textId="3E09A486" w:rsidR="00776A1F" w:rsidRDefault="00776A1F">
            <w:pPr>
              <w:spacing w:after="0" w:line="240" w:lineRule="auto"/>
              <w:jc w:val="both"/>
              <w:rPr>
                <w:noProof/>
                <w:sz w:val="16"/>
              </w:rPr>
            </w:pPr>
          </w:p>
          <w:p w14:paraId="1C328A9F" w14:textId="1996C913" w:rsidR="00776A1F" w:rsidRDefault="00D8574B">
            <w:pPr>
              <w:pStyle w:val="P68B1DB1-Normal12"/>
              <w:spacing w:after="0" w:line="240" w:lineRule="auto"/>
              <w:jc w:val="both"/>
              <w:rPr>
                <w:rFonts w:eastAsia="Times New Roman"/>
                <w:noProof/>
              </w:rPr>
            </w:pPr>
            <w:r>
              <w:rPr>
                <w:noProof/>
              </w:rPr>
              <w:t>Ir uzstādītas vismaz 2,5 MW elektroenerģijas uzkrāšanas jaudas pašpatēriņam.</w:t>
            </w:r>
          </w:p>
        </w:tc>
      </w:tr>
      <w:tr w:rsidR="00776A1F" w14:paraId="5AEA89DD" w14:textId="77777777">
        <w:trPr>
          <w:trHeight w:val="430"/>
        </w:trPr>
        <w:tc>
          <w:tcPr>
            <w:tcW w:w="1135" w:type="dxa"/>
            <w:shd w:val="clear" w:color="auto" w:fill="C4EFCE"/>
            <w:vAlign w:val="center"/>
          </w:tcPr>
          <w:p w14:paraId="06F06D71" w14:textId="1CAAC2A0" w:rsidR="00776A1F" w:rsidRDefault="00D8574B">
            <w:pPr>
              <w:pStyle w:val="P68B1DB1-Normal11"/>
              <w:spacing w:after="0" w:line="240" w:lineRule="auto"/>
              <w:jc w:val="center"/>
              <w:rPr>
                <w:rFonts w:eastAsia="Times New Roman" w:cstheme="minorHAnsi"/>
                <w:noProof/>
              </w:rPr>
            </w:pPr>
            <w:r>
              <w:rPr>
                <w:noProof/>
              </w:rPr>
              <w:t>21.34</w:t>
            </w:r>
          </w:p>
        </w:tc>
        <w:tc>
          <w:tcPr>
            <w:tcW w:w="1276" w:type="dxa"/>
            <w:shd w:val="clear" w:color="auto" w:fill="C4EFCE"/>
            <w:noWrap/>
            <w:vAlign w:val="center"/>
          </w:tcPr>
          <w:p w14:paraId="50A32A38" w14:textId="6FB4DA15" w:rsidR="00776A1F" w:rsidRDefault="00D8574B">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1E977997" w14:textId="68BD8EDF"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4206821" w14:textId="7D6204F6" w:rsidR="00776A1F" w:rsidRDefault="00D8574B">
            <w:pPr>
              <w:pStyle w:val="P68B1DB1-Normal12"/>
              <w:spacing w:after="0" w:line="240" w:lineRule="auto"/>
              <w:jc w:val="center"/>
              <w:rPr>
                <w:rFonts w:eastAsia="Times New Roman" w:cstheme="minorHAnsi"/>
                <w:noProof/>
              </w:rPr>
            </w:pPr>
            <w:r>
              <w:rPr>
                <w:noProof/>
              </w:rPr>
              <w:t>Uzstādītās vēja enerģijas jaudas stiprināšana</w:t>
            </w:r>
          </w:p>
        </w:tc>
        <w:tc>
          <w:tcPr>
            <w:tcW w:w="1275" w:type="dxa"/>
            <w:shd w:val="clear" w:color="auto" w:fill="C4EFCE"/>
            <w:noWrap/>
          </w:tcPr>
          <w:p w14:paraId="5A477E66" w14:textId="3465589D"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3C8E2AE" w14:textId="2F0553A1" w:rsidR="00776A1F" w:rsidRDefault="00D8574B">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4CACD599" w14:textId="7A662419" w:rsidR="00776A1F" w:rsidRDefault="00D8574B">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8B24C1" w14:textId="3B83C067" w:rsidR="00776A1F" w:rsidRDefault="00D8574B">
            <w:pPr>
              <w:pStyle w:val="P68B1DB1-Normal12"/>
              <w:spacing w:after="0" w:line="240" w:lineRule="auto"/>
              <w:jc w:val="center"/>
              <w:rPr>
                <w:rFonts w:eastAsia="Times New Roman" w:cstheme="minorHAnsi"/>
                <w:noProof/>
              </w:rPr>
            </w:pPr>
            <w:r>
              <w:rPr>
                <w:noProof/>
              </w:rPr>
              <w:t>7</w:t>
            </w:r>
          </w:p>
        </w:tc>
        <w:tc>
          <w:tcPr>
            <w:tcW w:w="567" w:type="dxa"/>
            <w:shd w:val="clear" w:color="auto" w:fill="C4EFCE"/>
            <w:noWrap/>
            <w:vAlign w:val="center"/>
          </w:tcPr>
          <w:p w14:paraId="7E0DAF3D" w14:textId="487909DB"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6E08C107" w14:textId="667BF99D"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E20BC6" w14:textId="03E226A0" w:rsidR="00776A1F" w:rsidRDefault="00D8574B">
            <w:pPr>
              <w:pStyle w:val="P68B1DB1-Normal12"/>
              <w:spacing w:after="0" w:line="240" w:lineRule="auto"/>
              <w:jc w:val="both"/>
              <w:rPr>
                <w:rFonts w:eastAsia="Times New Roman" w:cstheme="minorHAnsi"/>
                <w:noProof/>
              </w:rPr>
            </w:pPr>
            <w:r>
              <w:rPr>
                <w:noProof/>
              </w:rPr>
              <w:t>Porto Santo salā uzstāda papildu 7 MW vēja enerģijas ražošanas jaudu, kas pieslēgta elektrotīklam.</w:t>
            </w:r>
          </w:p>
        </w:tc>
      </w:tr>
      <w:tr w:rsidR="00776A1F" w14:paraId="57E89DD0" w14:textId="77777777">
        <w:trPr>
          <w:trHeight w:val="430"/>
        </w:trPr>
        <w:tc>
          <w:tcPr>
            <w:tcW w:w="1135" w:type="dxa"/>
            <w:shd w:val="clear" w:color="auto" w:fill="C4EFCE"/>
            <w:vAlign w:val="center"/>
          </w:tcPr>
          <w:p w14:paraId="5BE74300" w14:textId="459942DF" w:rsidR="00776A1F" w:rsidRDefault="00D8574B">
            <w:pPr>
              <w:pStyle w:val="P68B1DB1-Normal11"/>
              <w:spacing w:after="0" w:line="240" w:lineRule="auto"/>
              <w:jc w:val="center"/>
              <w:rPr>
                <w:rFonts w:eastAsia="Times New Roman" w:cstheme="minorHAnsi"/>
                <w:noProof/>
              </w:rPr>
            </w:pPr>
            <w:r>
              <w:rPr>
                <w:noProof/>
              </w:rPr>
              <w:t>21.35</w:t>
            </w:r>
          </w:p>
        </w:tc>
        <w:tc>
          <w:tcPr>
            <w:tcW w:w="1276" w:type="dxa"/>
            <w:shd w:val="clear" w:color="auto" w:fill="C4EFCE"/>
            <w:noWrap/>
            <w:vAlign w:val="center"/>
          </w:tcPr>
          <w:p w14:paraId="5202472B" w14:textId="081F4DDF" w:rsidR="00776A1F" w:rsidRDefault="00D8574B">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3C71133D" w14:textId="339DEA58"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8FBE419" w14:textId="66C41B1C" w:rsidR="00776A1F" w:rsidRDefault="00D8574B">
            <w:pPr>
              <w:pStyle w:val="P68B1DB1-Normal12"/>
              <w:spacing w:after="0" w:line="240" w:lineRule="auto"/>
              <w:jc w:val="center"/>
              <w:rPr>
                <w:rFonts w:eastAsia="Times New Roman" w:cstheme="minorHAnsi"/>
                <w:noProof/>
              </w:rPr>
            </w:pPr>
            <w:r>
              <w:rPr>
                <w:noProof/>
              </w:rPr>
              <w:t>Līguma parakstīšana par tīru autobusu iegādi saskaņā ar Sabiedriskā transporta dekarbonizācijas programmu</w:t>
            </w:r>
          </w:p>
        </w:tc>
        <w:tc>
          <w:tcPr>
            <w:tcW w:w="1275" w:type="dxa"/>
            <w:shd w:val="clear" w:color="auto" w:fill="C4EFCE"/>
            <w:noWrap/>
          </w:tcPr>
          <w:p w14:paraId="526A8439" w14:textId="21927C98" w:rsidR="00776A1F" w:rsidRDefault="00D8574B">
            <w:pPr>
              <w:pStyle w:val="P68B1DB1-Normal12"/>
              <w:spacing w:after="0" w:line="240" w:lineRule="auto"/>
              <w:jc w:val="center"/>
              <w:rPr>
                <w:rFonts w:eastAsia="Times New Roman" w:cstheme="minorHAnsi"/>
                <w:noProof/>
              </w:rPr>
            </w:pPr>
            <w:r>
              <w:rPr>
                <w:noProof/>
              </w:rPr>
              <w:t>Līguma parakstīšana par tīru autobusu iegādi saskaņā ar Sabiedriskā transporta dekarbonizācijas programmu</w:t>
            </w:r>
          </w:p>
        </w:tc>
        <w:tc>
          <w:tcPr>
            <w:tcW w:w="993" w:type="dxa"/>
            <w:shd w:val="clear" w:color="auto" w:fill="C4EFCE"/>
            <w:noWrap/>
          </w:tcPr>
          <w:p w14:paraId="5B5F632F" w14:textId="43CF795F" w:rsidR="00776A1F" w:rsidRDefault="00D8574B">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56CF22A" w14:textId="0AB870C4" w:rsidR="00776A1F" w:rsidRDefault="00776A1F">
            <w:pPr>
              <w:spacing w:after="0" w:line="240" w:lineRule="auto"/>
              <w:jc w:val="center"/>
              <w:rPr>
                <w:rFonts w:eastAsia="Times New Roman" w:cstheme="minorHAnsi"/>
                <w:noProof/>
                <w:sz w:val="16"/>
              </w:rPr>
            </w:pPr>
          </w:p>
        </w:tc>
        <w:tc>
          <w:tcPr>
            <w:tcW w:w="992" w:type="dxa"/>
            <w:shd w:val="clear" w:color="auto" w:fill="C4EFCE"/>
            <w:noWrap/>
          </w:tcPr>
          <w:p w14:paraId="6F932B44" w14:textId="27A48D92" w:rsidR="00776A1F" w:rsidRDefault="00D8574B">
            <w:pPr>
              <w:pStyle w:val="P68B1DB1-Normal12"/>
              <w:spacing w:after="0" w:line="240" w:lineRule="auto"/>
              <w:jc w:val="center"/>
              <w:rPr>
                <w:rFonts w:eastAsia="Times New Roman" w:cstheme="minorHAnsi"/>
                <w:noProof/>
              </w:rPr>
            </w:pPr>
            <w:r>
              <w:rPr>
                <w:noProof/>
              </w:rPr>
              <w:t xml:space="preserve"> </w:t>
            </w:r>
          </w:p>
        </w:tc>
        <w:tc>
          <w:tcPr>
            <w:tcW w:w="567" w:type="dxa"/>
            <w:shd w:val="clear" w:color="auto" w:fill="C4EFCE"/>
            <w:noWrap/>
            <w:vAlign w:val="center"/>
          </w:tcPr>
          <w:p w14:paraId="7BEFD333" w14:textId="6ED7E9C3"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3A864357" w14:textId="6C2FC1DE"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BD2252A" w14:textId="03C0FAE2" w:rsidR="00776A1F" w:rsidRDefault="00D8574B">
            <w:pPr>
              <w:pStyle w:val="P68B1DB1-Normal12"/>
              <w:spacing w:after="0" w:line="240" w:lineRule="auto"/>
              <w:jc w:val="both"/>
              <w:rPr>
                <w:rFonts w:eastAsia="Times New Roman" w:cstheme="minorHAnsi"/>
                <w:noProof/>
              </w:rPr>
            </w:pPr>
            <w:r>
              <w:rPr>
                <w:noProof/>
              </w:rPr>
              <w:t>Līguma parakstīšana starp atbalsta saņēmējiem un vadības struktūru, pamatojoties uz konkursa procedūru, kurā pausta apņemšanās iegādāties 300 bezemisiju autobusus (elektriskos un ūdeņraža) autobusus.</w:t>
            </w:r>
          </w:p>
        </w:tc>
      </w:tr>
      <w:tr w:rsidR="00776A1F" w14:paraId="716F3052" w14:textId="77777777">
        <w:trPr>
          <w:trHeight w:val="430"/>
        </w:trPr>
        <w:tc>
          <w:tcPr>
            <w:tcW w:w="1135" w:type="dxa"/>
            <w:shd w:val="clear" w:color="auto" w:fill="C4EFCE"/>
            <w:vAlign w:val="center"/>
          </w:tcPr>
          <w:p w14:paraId="3FC90F90" w14:textId="5F27DE07" w:rsidR="00776A1F" w:rsidRDefault="00D8574B">
            <w:pPr>
              <w:pStyle w:val="P68B1DB1-Normal11"/>
              <w:spacing w:after="0" w:line="240" w:lineRule="auto"/>
              <w:jc w:val="center"/>
              <w:rPr>
                <w:rFonts w:eastAsia="Times New Roman" w:cstheme="minorHAnsi"/>
                <w:noProof/>
              </w:rPr>
            </w:pPr>
            <w:r>
              <w:rPr>
                <w:noProof/>
              </w:rPr>
              <w:t>21.36</w:t>
            </w:r>
          </w:p>
        </w:tc>
        <w:tc>
          <w:tcPr>
            <w:tcW w:w="1276" w:type="dxa"/>
            <w:shd w:val="clear" w:color="auto" w:fill="C4EFCE"/>
            <w:noWrap/>
            <w:vAlign w:val="center"/>
          </w:tcPr>
          <w:p w14:paraId="1F66CCD9" w14:textId="33FB0967" w:rsidR="00776A1F" w:rsidRDefault="00D8574B">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45CD69E3" w14:textId="4C7E9777"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464071F" w14:textId="2F857C6F" w:rsidR="00776A1F" w:rsidRDefault="00D8574B">
            <w:pPr>
              <w:pStyle w:val="P68B1DB1-Normal12"/>
              <w:spacing w:after="0" w:line="240" w:lineRule="auto"/>
              <w:jc w:val="center"/>
              <w:rPr>
                <w:rFonts w:eastAsia="Times New Roman" w:cstheme="minorHAnsi"/>
                <w:noProof/>
              </w:rPr>
            </w:pPr>
            <w:r>
              <w:rPr>
                <w:noProof/>
              </w:rPr>
              <w:t>Tādu jaunu bezemisiju (elektrisko vai ūdeņraža) autobusu iegāde, kurus izmanto sabiedriskajam transportam</w:t>
            </w:r>
          </w:p>
        </w:tc>
        <w:tc>
          <w:tcPr>
            <w:tcW w:w="1275" w:type="dxa"/>
            <w:shd w:val="clear" w:color="auto" w:fill="C4EFCE"/>
            <w:noWrap/>
          </w:tcPr>
          <w:p w14:paraId="3C72326A" w14:textId="2F037DC0"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04D39E" w14:textId="33FBF6E8"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48371656" w14:textId="6BCE283C" w:rsidR="00776A1F" w:rsidRDefault="00D8574B">
            <w:pPr>
              <w:pStyle w:val="P68B1DB1-Normal12"/>
              <w:spacing w:after="0" w:line="240" w:lineRule="auto"/>
              <w:jc w:val="center"/>
              <w:rPr>
                <w:rFonts w:eastAsia="Times New Roman" w:cstheme="minorHAnsi"/>
                <w:noProof/>
              </w:rPr>
            </w:pPr>
            <w:r>
              <w:rPr>
                <w:noProof/>
              </w:rPr>
              <w:t>145</w:t>
            </w:r>
          </w:p>
        </w:tc>
        <w:tc>
          <w:tcPr>
            <w:tcW w:w="992" w:type="dxa"/>
            <w:shd w:val="clear" w:color="auto" w:fill="C4EFCE"/>
            <w:noWrap/>
            <w:vAlign w:val="center"/>
          </w:tcPr>
          <w:p w14:paraId="0460B517" w14:textId="5EEA6EB2" w:rsidR="00776A1F" w:rsidRDefault="00D8574B">
            <w:pPr>
              <w:pStyle w:val="P68B1DB1-Normal12"/>
              <w:spacing w:after="0" w:line="240" w:lineRule="auto"/>
              <w:jc w:val="center"/>
              <w:rPr>
                <w:rFonts w:eastAsia="Times New Roman" w:cstheme="minorHAnsi"/>
                <w:noProof/>
              </w:rPr>
            </w:pPr>
            <w:r>
              <w:rPr>
                <w:noProof/>
              </w:rPr>
              <w:t>445</w:t>
            </w:r>
          </w:p>
        </w:tc>
        <w:tc>
          <w:tcPr>
            <w:tcW w:w="567" w:type="dxa"/>
            <w:shd w:val="clear" w:color="auto" w:fill="C4EFCE"/>
            <w:noWrap/>
            <w:vAlign w:val="center"/>
          </w:tcPr>
          <w:p w14:paraId="0D0FF0A6" w14:textId="62A587E4"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378FDA1C" w14:textId="035B1EE2"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24AF3ACA" w14:textId="54F8D633" w:rsidR="00776A1F" w:rsidRDefault="00D8574B">
            <w:pPr>
              <w:pStyle w:val="P68B1DB1-Normal12"/>
              <w:spacing w:after="0" w:line="240" w:lineRule="auto"/>
              <w:jc w:val="both"/>
              <w:rPr>
                <w:rFonts w:eastAsia="Times New Roman" w:cstheme="minorHAnsi"/>
                <w:noProof/>
              </w:rPr>
            </w:pPr>
            <w:r>
              <w:rPr>
                <w:noProof/>
              </w:rPr>
              <w:t>Iegādājas 300 jaunus bezemisiju autobusus (elektriskos vai ūdeņraža) un uzstāda saistītos uzlādes vai uzpildes punktus.</w:t>
            </w:r>
          </w:p>
        </w:tc>
      </w:tr>
      <w:tr w:rsidR="00776A1F" w14:paraId="384ADCA7" w14:textId="77777777">
        <w:trPr>
          <w:trHeight w:val="430"/>
        </w:trPr>
        <w:tc>
          <w:tcPr>
            <w:tcW w:w="1135" w:type="dxa"/>
            <w:shd w:val="clear" w:color="auto" w:fill="C4EFCE"/>
            <w:vAlign w:val="center"/>
          </w:tcPr>
          <w:p w14:paraId="2962B7B9" w14:textId="4E1C3EE5" w:rsidR="00776A1F" w:rsidRDefault="00D8574B">
            <w:pPr>
              <w:pStyle w:val="P68B1DB1-Normal11"/>
              <w:spacing w:after="0" w:line="240" w:lineRule="auto"/>
              <w:jc w:val="center"/>
              <w:rPr>
                <w:rFonts w:eastAsia="Times New Roman" w:cstheme="minorHAnsi"/>
                <w:noProof/>
              </w:rPr>
            </w:pPr>
            <w:r>
              <w:rPr>
                <w:noProof/>
              </w:rPr>
              <w:t>21.37</w:t>
            </w:r>
          </w:p>
        </w:tc>
        <w:tc>
          <w:tcPr>
            <w:tcW w:w="1276" w:type="dxa"/>
            <w:shd w:val="clear" w:color="auto" w:fill="C4EFCE"/>
            <w:noWrap/>
            <w:vAlign w:val="center"/>
          </w:tcPr>
          <w:p w14:paraId="4B2F008F" w14:textId="40A48065" w:rsidR="00776A1F" w:rsidRDefault="00D8574B">
            <w:pPr>
              <w:pStyle w:val="P68B1DB1-Normal12"/>
              <w:spacing w:after="0" w:line="240" w:lineRule="auto"/>
              <w:jc w:val="center"/>
              <w:rPr>
                <w:rFonts w:eastAsia="Times New Roman"/>
                <w:noProof/>
              </w:rPr>
            </w:pPr>
            <w:r>
              <w:rPr>
                <w:noProof/>
              </w:rPr>
              <w:t>RP-C21-i13-RAM</w:t>
            </w:r>
          </w:p>
        </w:tc>
        <w:tc>
          <w:tcPr>
            <w:tcW w:w="1134" w:type="dxa"/>
            <w:shd w:val="clear" w:color="auto" w:fill="C4EFCE"/>
            <w:noWrap/>
            <w:vAlign w:val="center"/>
          </w:tcPr>
          <w:p w14:paraId="65354B4F" w14:textId="517B6DCE"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896FBFA" w14:textId="04C5CE6F" w:rsidR="00776A1F" w:rsidRDefault="00D8574B">
            <w:pPr>
              <w:pStyle w:val="P68B1DB1-Normal12"/>
              <w:spacing w:after="0" w:line="240" w:lineRule="auto"/>
              <w:jc w:val="center"/>
              <w:rPr>
                <w:rFonts w:eastAsia="Times New Roman"/>
                <w:noProof/>
              </w:rPr>
            </w:pPr>
            <w:r>
              <w:rPr>
                <w:noProof/>
              </w:rPr>
              <w:t>Tādu jaunu bezemisiju (elektrisko vai ūdeņraža) autobusu iegāde, kurus izmanto sabiedriskajam transportam un tūrisma pakalpojumiem, un elektrotransportlīdzekļu iegāde, kas aizstāj lūžņu transportlīdzekļus</w:t>
            </w:r>
          </w:p>
        </w:tc>
        <w:tc>
          <w:tcPr>
            <w:tcW w:w="1275" w:type="dxa"/>
            <w:shd w:val="clear" w:color="auto" w:fill="C4EFCE"/>
            <w:noWrap/>
            <w:vAlign w:val="center"/>
          </w:tcPr>
          <w:p w14:paraId="634D7D56"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2ECE2C14" w14:textId="6594762E" w:rsidR="00776A1F" w:rsidRDefault="00D8574B">
            <w:pPr>
              <w:pStyle w:val="P68B1DB1-Normal12"/>
              <w:spacing w:after="0" w:line="240" w:lineRule="auto"/>
              <w:jc w:val="center"/>
              <w:rPr>
                <w:rFonts w:eastAsia="Times New Roman"/>
                <w:noProof/>
              </w:rPr>
            </w:pPr>
            <w:r>
              <w:rPr>
                <w:noProof/>
              </w:rPr>
              <w:t>Skaits</w:t>
            </w:r>
          </w:p>
        </w:tc>
        <w:tc>
          <w:tcPr>
            <w:tcW w:w="992" w:type="dxa"/>
            <w:shd w:val="clear" w:color="auto" w:fill="C4EFCE"/>
            <w:noWrap/>
            <w:vAlign w:val="center"/>
          </w:tcPr>
          <w:p w14:paraId="367DBAF5" w14:textId="0B86A6AB" w:rsidR="00776A1F" w:rsidRDefault="00D8574B">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07A0B9E" w14:textId="7CEAB357" w:rsidR="00776A1F" w:rsidRDefault="00D8574B">
            <w:pPr>
              <w:pStyle w:val="P68B1DB1-Normal12"/>
              <w:spacing w:after="0" w:line="240" w:lineRule="auto"/>
              <w:jc w:val="center"/>
              <w:rPr>
                <w:rFonts w:eastAsia="Times New Roman"/>
                <w:noProof/>
              </w:rPr>
            </w:pPr>
            <w:r>
              <w:rPr>
                <w:noProof/>
              </w:rPr>
              <w:t>576</w:t>
            </w:r>
          </w:p>
        </w:tc>
        <w:tc>
          <w:tcPr>
            <w:tcW w:w="567" w:type="dxa"/>
            <w:shd w:val="clear" w:color="auto" w:fill="C4EFCE"/>
            <w:noWrap/>
            <w:vAlign w:val="center"/>
          </w:tcPr>
          <w:p w14:paraId="351C723C" w14:textId="796E67D1"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1F57265D" w14:textId="1B91BDBB"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1EE77ED" w14:textId="213DF929" w:rsidR="00776A1F" w:rsidRDefault="00D8574B">
            <w:pPr>
              <w:pStyle w:val="P68B1DB1-Normal12"/>
              <w:spacing w:after="0" w:line="240" w:lineRule="auto"/>
              <w:jc w:val="both"/>
              <w:rPr>
                <w:rFonts w:eastAsia="Times New Roman"/>
                <w:noProof/>
              </w:rPr>
            </w:pPr>
            <w:r>
              <w:rPr>
                <w:noProof/>
              </w:rPr>
              <w:t xml:space="preserve">Madeiras autonomajā reģionā iegādājas 26 jaunus bezemisiju autobusus (elektrisko vai ūdeņraža) un uzstāda relatīvos uzlādes punktus. Vismaz 10 no iegādātajiem autobusiem izmanto sabiedriskajam pasažieru transportam. </w:t>
            </w:r>
          </w:p>
          <w:p w14:paraId="2D49F8EB" w14:textId="3C0DE98F" w:rsidR="00776A1F" w:rsidRDefault="00776A1F">
            <w:pPr>
              <w:spacing w:after="0" w:line="240" w:lineRule="auto"/>
              <w:jc w:val="both"/>
              <w:rPr>
                <w:noProof/>
                <w:sz w:val="16"/>
              </w:rPr>
            </w:pPr>
          </w:p>
          <w:p w14:paraId="6D678AF5" w14:textId="0E55A84D" w:rsidR="00776A1F" w:rsidRDefault="00D8574B">
            <w:pPr>
              <w:pStyle w:val="P68B1DB1-Normal12"/>
              <w:spacing w:after="0" w:line="240" w:lineRule="auto"/>
              <w:jc w:val="both"/>
              <w:rPr>
                <w:rFonts w:eastAsia="Times New Roman"/>
                <w:noProof/>
              </w:rPr>
            </w:pPr>
            <w:r>
              <w:rPr>
                <w:noProof/>
              </w:rPr>
              <w:t>Madeiras autonomajā reģionā 550 transportlīdzekļus nodod metāllūžņos un aizstāj ar elektrotransportlīdzekļiem.</w:t>
            </w:r>
          </w:p>
        </w:tc>
      </w:tr>
      <w:tr w:rsidR="00776A1F" w14:paraId="7128FD55" w14:textId="77777777">
        <w:trPr>
          <w:trHeight w:val="430"/>
        </w:trPr>
        <w:tc>
          <w:tcPr>
            <w:tcW w:w="1135" w:type="dxa"/>
            <w:shd w:val="clear" w:color="auto" w:fill="C4EFCE"/>
            <w:vAlign w:val="center"/>
          </w:tcPr>
          <w:p w14:paraId="3D47AF57" w14:textId="7724070C" w:rsidR="00776A1F" w:rsidRDefault="00D8574B">
            <w:pPr>
              <w:pStyle w:val="P68B1DB1-Normal11"/>
              <w:spacing w:after="0" w:line="240" w:lineRule="auto"/>
              <w:jc w:val="center"/>
              <w:rPr>
                <w:rFonts w:eastAsia="Times New Roman" w:cstheme="minorHAnsi"/>
                <w:noProof/>
              </w:rPr>
            </w:pPr>
            <w:r>
              <w:rPr>
                <w:noProof/>
              </w:rPr>
              <w:t>21.38</w:t>
            </w:r>
          </w:p>
        </w:tc>
        <w:tc>
          <w:tcPr>
            <w:tcW w:w="1276" w:type="dxa"/>
            <w:shd w:val="clear" w:color="auto" w:fill="C4EFCE"/>
            <w:noWrap/>
            <w:vAlign w:val="center"/>
          </w:tcPr>
          <w:p w14:paraId="021E606B" w14:textId="01DE8394" w:rsidR="00776A1F" w:rsidRDefault="00D8574B">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6265AB1B" w14:textId="2A284064"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1621A87" w14:textId="60F63A87" w:rsidR="00776A1F" w:rsidRDefault="00D8574B">
            <w:pPr>
              <w:pStyle w:val="P68B1DB1-Normal12"/>
              <w:spacing w:after="0" w:line="240" w:lineRule="auto"/>
              <w:jc w:val="center"/>
              <w:rPr>
                <w:rFonts w:eastAsia="Times New Roman" w:cstheme="minorHAnsi"/>
                <w:noProof/>
              </w:rPr>
            </w:pPr>
            <w:r>
              <w:rPr>
                <w:noProof/>
              </w:rPr>
              <w:t>Līguma parakstīšana par divu autobusu ātrā tranzīta līniju būvniecību Bragā</w:t>
            </w:r>
          </w:p>
        </w:tc>
        <w:tc>
          <w:tcPr>
            <w:tcW w:w="1275" w:type="dxa"/>
            <w:shd w:val="clear" w:color="auto" w:fill="C4EFCE"/>
            <w:noWrap/>
            <w:vAlign w:val="center"/>
          </w:tcPr>
          <w:p w14:paraId="5BA09737"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3AD601A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F0A5A5B"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0B39241D"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2A2B11DA" w14:textId="2701FEF8"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51589D34" w14:textId="129F25AC"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F93B8E5" w14:textId="02E466A0" w:rsidR="00776A1F" w:rsidRDefault="00D8574B">
            <w:pPr>
              <w:pStyle w:val="P68B1DB1-Normal12"/>
              <w:spacing w:after="0" w:line="240" w:lineRule="auto"/>
              <w:jc w:val="both"/>
              <w:rPr>
                <w:rFonts w:eastAsia="Times New Roman" w:cstheme="minorHAnsi"/>
                <w:noProof/>
              </w:rPr>
            </w:pPr>
            <w:r>
              <w:rPr>
                <w:noProof/>
              </w:rPr>
              <w:t>Projekta īstenošanas līguma parakstīšana starp publiskām iestādēm un atklātā konkursa procedūrā izraudzīto līgumslēdzēju. Līgumā norāda divu Bus Rapid Tranzit līniju būvniecību, kas savieno dzelzceļa staciju ar Avenida Robert Smith un Braga slimnīcu.</w:t>
            </w:r>
          </w:p>
        </w:tc>
      </w:tr>
      <w:tr w:rsidR="00776A1F" w14:paraId="1EF25195" w14:textId="77777777">
        <w:trPr>
          <w:trHeight w:val="430"/>
        </w:trPr>
        <w:tc>
          <w:tcPr>
            <w:tcW w:w="1135" w:type="dxa"/>
            <w:shd w:val="clear" w:color="auto" w:fill="C4EFCE"/>
            <w:vAlign w:val="center"/>
          </w:tcPr>
          <w:p w14:paraId="360DF924" w14:textId="1F7490F1" w:rsidR="00776A1F" w:rsidRDefault="00D8574B">
            <w:pPr>
              <w:pStyle w:val="P68B1DB1-Normal11"/>
              <w:spacing w:after="0" w:line="240" w:lineRule="auto"/>
              <w:jc w:val="center"/>
              <w:rPr>
                <w:rFonts w:eastAsia="Times New Roman" w:cstheme="minorHAnsi"/>
                <w:noProof/>
              </w:rPr>
            </w:pPr>
            <w:r>
              <w:rPr>
                <w:noProof/>
              </w:rPr>
              <w:t>21.39</w:t>
            </w:r>
          </w:p>
        </w:tc>
        <w:tc>
          <w:tcPr>
            <w:tcW w:w="1276" w:type="dxa"/>
            <w:shd w:val="clear" w:color="auto" w:fill="C4EFCE"/>
            <w:noWrap/>
            <w:vAlign w:val="center"/>
          </w:tcPr>
          <w:p w14:paraId="511BB843" w14:textId="506A72EC" w:rsidR="00776A1F" w:rsidRDefault="00D8574B">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2F78C88B" w14:textId="006A851A"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7B24D0B" w14:textId="65A04047" w:rsidR="00776A1F" w:rsidRDefault="00D8574B">
            <w:pPr>
              <w:pStyle w:val="P68B1DB1-Normal12"/>
              <w:spacing w:after="0" w:line="240" w:lineRule="auto"/>
              <w:jc w:val="center"/>
              <w:rPr>
                <w:rFonts w:eastAsia="Times New Roman" w:cstheme="minorHAnsi"/>
                <w:noProof/>
              </w:rPr>
            </w:pPr>
            <w:r>
              <w:rPr>
                <w:noProof/>
              </w:rPr>
              <w:t>Divu autobusu ātrā tranzīta līniju būvniecība Bragā</w:t>
            </w:r>
          </w:p>
        </w:tc>
        <w:tc>
          <w:tcPr>
            <w:tcW w:w="1275" w:type="dxa"/>
            <w:shd w:val="clear" w:color="auto" w:fill="C4EFCE"/>
            <w:noWrap/>
            <w:vAlign w:val="center"/>
          </w:tcPr>
          <w:p w14:paraId="1E4282F4"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78A689F4" w14:textId="16AF7609" w:rsidR="00776A1F" w:rsidRDefault="00D8574B">
            <w:pPr>
              <w:pStyle w:val="P68B1DB1-Normal12"/>
              <w:spacing w:after="0" w:line="240" w:lineRule="auto"/>
              <w:jc w:val="center"/>
              <w:rPr>
                <w:rFonts w:eastAsia="Times New Roman" w:cstheme="minorHAnsi"/>
                <w:noProof/>
              </w:rPr>
            </w:pPr>
            <w:r>
              <w:rPr>
                <w:noProof/>
              </w:rPr>
              <w:t>Km</w:t>
            </w:r>
          </w:p>
        </w:tc>
        <w:tc>
          <w:tcPr>
            <w:tcW w:w="992" w:type="dxa"/>
            <w:shd w:val="clear" w:color="auto" w:fill="C4EFCE"/>
            <w:noWrap/>
            <w:vAlign w:val="center"/>
          </w:tcPr>
          <w:p w14:paraId="28074223"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9811327" w14:textId="644FF319" w:rsidR="00776A1F" w:rsidRDefault="00D8574B">
            <w:pPr>
              <w:pStyle w:val="P68B1DB1-Normal12"/>
              <w:spacing w:after="0" w:line="240" w:lineRule="auto"/>
              <w:jc w:val="center"/>
              <w:rPr>
                <w:rFonts w:eastAsia="Times New Roman" w:cstheme="minorHAnsi"/>
                <w:noProof/>
              </w:rPr>
            </w:pPr>
            <w:r>
              <w:rPr>
                <w:noProof/>
              </w:rPr>
              <w:t>12.2</w:t>
            </w:r>
          </w:p>
        </w:tc>
        <w:tc>
          <w:tcPr>
            <w:tcW w:w="567" w:type="dxa"/>
            <w:shd w:val="clear" w:color="auto" w:fill="C4EFCE"/>
            <w:noWrap/>
            <w:vAlign w:val="center"/>
          </w:tcPr>
          <w:p w14:paraId="27C8A23A" w14:textId="6A2DF4A3" w:rsidR="00776A1F" w:rsidRDefault="00D8574B">
            <w:pPr>
              <w:pStyle w:val="P68B1DB1-Normal12"/>
              <w:spacing w:after="0" w:line="240" w:lineRule="auto"/>
              <w:jc w:val="center"/>
              <w:rPr>
                <w:rFonts w:eastAsia="Times New Roman" w:cstheme="minorHAnsi"/>
                <w:noProof/>
              </w:rPr>
            </w:pPr>
            <w:r>
              <w:rPr>
                <w:noProof/>
              </w:rPr>
              <w:t>2. CET.</w:t>
            </w:r>
          </w:p>
        </w:tc>
        <w:tc>
          <w:tcPr>
            <w:tcW w:w="708" w:type="dxa"/>
            <w:shd w:val="clear" w:color="auto" w:fill="C4EFCE"/>
            <w:noWrap/>
            <w:vAlign w:val="center"/>
          </w:tcPr>
          <w:p w14:paraId="5704437E" w14:textId="000EFE9D"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599E09FF" w14:textId="633D041E" w:rsidR="00776A1F" w:rsidRDefault="00D8574B">
            <w:pPr>
              <w:pStyle w:val="P68B1DB1-Normal12"/>
              <w:spacing w:after="0" w:line="240" w:lineRule="auto"/>
              <w:jc w:val="both"/>
              <w:rPr>
                <w:rFonts w:eastAsia="Times New Roman"/>
                <w:noProof/>
              </w:rPr>
            </w:pPr>
            <w:r>
              <w:rPr>
                <w:noProof/>
              </w:rPr>
              <w:t>Būvdarbus 12,2 kilometru garumā pabeidz Bus ātrās tranzīta līnijas Bragā (dzeltenā un Sarkanā līnija), kas savieno dzelzceļa staciju ar Avenida Robert Smith un Braga slimnīcu. Sistēma galvenokārt darbojas īpašās joslās un tikai ar bezemisiju autobusiem. Ieguldījums ietver arī desmit bezemisiju autobusu iegādi, tostarp līniju ekspluatācijai nepieciešamo uzlādes staciju iegādi. Līnijas ir gatavas tūlītējai plānoto transporta pakalpojumu sniegšanai.</w:t>
            </w:r>
          </w:p>
        </w:tc>
      </w:tr>
      <w:tr w:rsidR="00776A1F" w14:paraId="39E29B98" w14:textId="77777777">
        <w:trPr>
          <w:trHeight w:val="430"/>
        </w:trPr>
        <w:tc>
          <w:tcPr>
            <w:tcW w:w="1135" w:type="dxa"/>
            <w:shd w:val="clear" w:color="auto" w:fill="C4EFCE"/>
            <w:vAlign w:val="center"/>
          </w:tcPr>
          <w:p w14:paraId="1E15D547" w14:textId="16041CD9" w:rsidR="00776A1F" w:rsidRDefault="00D8574B">
            <w:pPr>
              <w:pStyle w:val="P68B1DB1-Normal11"/>
              <w:spacing w:after="0" w:line="240" w:lineRule="auto"/>
              <w:jc w:val="center"/>
              <w:rPr>
                <w:rFonts w:eastAsia="Times New Roman" w:cstheme="minorHAnsi"/>
                <w:noProof/>
              </w:rPr>
            </w:pPr>
            <w:r>
              <w:rPr>
                <w:noProof/>
              </w:rPr>
              <w:t>21.40</w:t>
            </w:r>
          </w:p>
        </w:tc>
        <w:tc>
          <w:tcPr>
            <w:tcW w:w="1276" w:type="dxa"/>
            <w:shd w:val="clear" w:color="auto" w:fill="C4EFCE"/>
            <w:noWrap/>
            <w:vAlign w:val="center"/>
          </w:tcPr>
          <w:p w14:paraId="46A3C78E" w14:textId="1EC79D62" w:rsidR="00776A1F" w:rsidRDefault="00D8574B">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42B665C" w14:textId="29FC4974"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0028DBE" w14:textId="3E426063" w:rsidR="00776A1F" w:rsidRDefault="00D8574B">
            <w:pPr>
              <w:pStyle w:val="P68B1DB1-Normal12"/>
              <w:spacing w:after="0" w:line="240" w:lineRule="auto"/>
              <w:jc w:val="center"/>
              <w:rPr>
                <w:rFonts w:eastAsia="Times New Roman" w:cstheme="minorHAnsi"/>
                <w:noProof/>
              </w:rPr>
            </w:pPr>
            <w:r>
              <w:rPr>
                <w:noProof/>
              </w:rPr>
              <w:t>Līguma parakstīšana par divu elektrisko prāmju iegādi pasažieru un transportlīdzekļu pārvadāšanai starp Pico, Faial un San Jorge salām</w:t>
            </w:r>
          </w:p>
        </w:tc>
        <w:tc>
          <w:tcPr>
            <w:tcW w:w="1275" w:type="dxa"/>
            <w:shd w:val="clear" w:color="auto" w:fill="C4EFCE"/>
            <w:noWrap/>
          </w:tcPr>
          <w:p w14:paraId="5D04A650" w14:textId="77777777" w:rsidR="00776A1F" w:rsidRDefault="00776A1F">
            <w:pPr>
              <w:spacing w:after="0" w:line="240" w:lineRule="auto"/>
              <w:jc w:val="center"/>
              <w:rPr>
                <w:rFonts w:eastAsia="Times New Roman" w:cstheme="minorHAnsi"/>
                <w:noProof/>
                <w:sz w:val="16"/>
              </w:rPr>
            </w:pPr>
          </w:p>
        </w:tc>
        <w:tc>
          <w:tcPr>
            <w:tcW w:w="993" w:type="dxa"/>
            <w:shd w:val="clear" w:color="auto" w:fill="C4EFCE"/>
            <w:noWrap/>
            <w:vAlign w:val="center"/>
          </w:tcPr>
          <w:p w14:paraId="166D214F"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73A389CB"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63EA367E"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2B396275" w14:textId="1FAB48B9"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5382DE72" w14:textId="0911A6D2"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9CA13D" w14:textId="0D1554CF" w:rsidR="00776A1F" w:rsidRDefault="00D8574B">
            <w:pPr>
              <w:pStyle w:val="P68B1DB1-Normal12"/>
              <w:spacing w:after="0" w:line="240" w:lineRule="auto"/>
              <w:jc w:val="both"/>
              <w:rPr>
                <w:rFonts w:eastAsia="Times New Roman" w:cstheme="minorHAnsi"/>
                <w:noProof/>
              </w:rPr>
            </w:pPr>
            <w:r>
              <w:rPr>
                <w:noProof/>
              </w:rPr>
              <w:t>Publiskā sektora iestāžu un atklātā konkursa procedūrā izraudzītā darbuzņēmēja līguma parakstīšana par divu elektrisko prāmju iegādi pasažieru un transportlīdzekļu pārvadāšanai starp Pico, Faial un San Jorge salām.</w:t>
            </w:r>
          </w:p>
        </w:tc>
      </w:tr>
      <w:tr w:rsidR="00776A1F" w14:paraId="532849A0" w14:textId="77777777">
        <w:trPr>
          <w:trHeight w:val="430"/>
        </w:trPr>
        <w:tc>
          <w:tcPr>
            <w:tcW w:w="1135" w:type="dxa"/>
            <w:shd w:val="clear" w:color="auto" w:fill="C4EFCE"/>
            <w:vAlign w:val="center"/>
          </w:tcPr>
          <w:p w14:paraId="55C6CC28" w14:textId="1C4AEDF6" w:rsidR="00776A1F" w:rsidRDefault="00D8574B">
            <w:pPr>
              <w:pStyle w:val="P68B1DB1-Normal11"/>
              <w:spacing w:after="0" w:line="240" w:lineRule="auto"/>
              <w:jc w:val="center"/>
              <w:rPr>
                <w:rFonts w:eastAsia="Times New Roman" w:cstheme="minorHAnsi"/>
                <w:noProof/>
              </w:rPr>
            </w:pPr>
            <w:r>
              <w:rPr>
                <w:noProof/>
              </w:rPr>
              <w:t>21.41</w:t>
            </w:r>
          </w:p>
        </w:tc>
        <w:tc>
          <w:tcPr>
            <w:tcW w:w="1276" w:type="dxa"/>
            <w:shd w:val="clear" w:color="auto" w:fill="C4EFCE"/>
            <w:noWrap/>
            <w:vAlign w:val="center"/>
          </w:tcPr>
          <w:p w14:paraId="4692FE69" w14:textId="6AED7451" w:rsidR="00776A1F" w:rsidRDefault="00D8574B">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036E0DB" w14:textId="5894D827"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45CFBD1" w14:textId="6135298E" w:rsidR="00776A1F" w:rsidRDefault="00D8574B">
            <w:pPr>
              <w:pStyle w:val="P68B1DB1-Normal12"/>
              <w:spacing w:after="0" w:line="240" w:lineRule="auto"/>
              <w:jc w:val="center"/>
              <w:rPr>
                <w:rFonts w:eastAsia="Times New Roman" w:cstheme="minorHAnsi"/>
                <w:noProof/>
              </w:rPr>
            </w:pPr>
            <w:r>
              <w:rPr>
                <w:noProof/>
              </w:rPr>
              <w:t>Divu jaunu elektrisko prāmju ekspluatācijas uzsākšana</w:t>
            </w:r>
          </w:p>
        </w:tc>
        <w:tc>
          <w:tcPr>
            <w:tcW w:w="1275" w:type="dxa"/>
            <w:shd w:val="clear" w:color="auto" w:fill="C4EFCE"/>
            <w:noWrap/>
          </w:tcPr>
          <w:p w14:paraId="1E3534A1" w14:textId="4F88212C" w:rsidR="00776A1F" w:rsidRDefault="00D8574B">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A30C4B3" w14:textId="346D871A" w:rsidR="00776A1F" w:rsidRDefault="00D8574B">
            <w:pPr>
              <w:pStyle w:val="P68B1DB1-Normal12"/>
              <w:spacing w:after="0" w:line="240" w:lineRule="auto"/>
              <w:jc w:val="center"/>
              <w:rPr>
                <w:rFonts w:eastAsia="Times New Roman" w:cstheme="minorHAnsi"/>
                <w:noProof/>
              </w:rPr>
            </w:pPr>
            <w:r>
              <w:rPr>
                <w:noProof/>
              </w:rPr>
              <w:t>Skaits</w:t>
            </w:r>
          </w:p>
        </w:tc>
        <w:tc>
          <w:tcPr>
            <w:tcW w:w="992" w:type="dxa"/>
            <w:shd w:val="clear" w:color="auto" w:fill="C4EFCE"/>
            <w:noWrap/>
            <w:vAlign w:val="center"/>
          </w:tcPr>
          <w:p w14:paraId="3BF6FA6B"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0CF1AA39" w14:textId="68E4BC6C" w:rsidR="00776A1F" w:rsidRDefault="00D8574B">
            <w:pPr>
              <w:pStyle w:val="P68B1DB1-Normal12"/>
              <w:spacing w:after="0" w:line="240" w:lineRule="auto"/>
              <w:jc w:val="center"/>
              <w:rPr>
                <w:rFonts w:eastAsia="Times New Roman" w:cstheme="minorHAnsi"/>
                <w:noProof/>
              </w:rPr>
            </w:pPr>
            <w:r>
              <w:rPr>
                <w:noProof/>
              </w:rPr>
              <w:t>2</w:t>
            </w:r>
          </w:p>
        </w:tc>
        <w:tc>
          <w:tcPr>
            <w:tcW w:w="567" w:type="dxa"/>
            <w:shd w:val="clear" w:color="auto" w:fill="C4EFCE"/>
            <w:noWrap/>
            <w:vAlign w:val="center"/>
          </w:tcPr>
          <w:p w14:paraId="2E1C0DE5" w14:textId="2A1D5C1E" w:rsidR="00776A1F" w:rsidRDefault="00D8574B">
            <w:pPr>
              <w:pStyle w:val="P68B1DB1-Normal12"/>
              <w:spacing w:after="0" w:line="240" w:lineRule="auto"/>
              <w:jc w:val="center"/>
              <w:rPr>
                <w:rFonts w:eastAsia="Times New Roman" w:cstheme="minorHAnsi"/>
                <w:noProof/>
              </w:rPr>
            </w:pPr>
            <w:r>
              <w:rPr>
                <w:noProof/>
              </w:rPr>
              <w:t>4. CET.</w:t>
            </w:r>
          </w:p>
        </w:tc>
        <w:tc>
          <w:tcPr>
            <w:tcW w:w="708" w:type="dxa"/>
            <w:shd w:val="clear" w:color="auto" w:fill="C4EFCE"/>
            <w:noWrap/>
            <w:vAlign w:val="center"/>
          </w:tcPr>
          <w:p w14:paraId="054DE515" w14:textId="4363BF6B" w:rsidR="00776A1F" w:rsidRDefault="00D8574B">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185A16C5" w14:textId="6AA0A3D6" w:rsidR="00776A1F" w:rsidRDefault="00D8574B">
            <w:pPr>
              <w:pStyle w:val="P68B1DB1-Normal12"/>
              <w:spacing w:after="0" w:line="240" w:lineRule="auto"/>
              <w:jc w:val="both"/>
              <w:rPr>
                <w:rFonts w:eastAsia="Times New Roman" w:cstheme="minorHAnsi"/>
                <w:noProof/>
              </w:rPr>
            </w:pPr>
            <w:r>
              <w:rPr>
                <w:noProof/>
              </w:rPr>
              <w:t>Iegādājas divus jaunus elektriskos prāmjus, kas darbojas pasažieru un transportlīdzekļu pārvadāšanai starp Pico, Faial un San Jorge salām. Prāmju ietilpība ir vismaz attiecīgi 200 un 100 pasažieri.</w:t>
            </w:r>
          </w:p>
        </w:tc>
      </w:tr>
      <w:tr w:rsidR="00776A1F" w14:paraId="1DF1176B" w14:textId="77777777">
        <w:trPr>
          <w:trHeight w:val="430"/>
        </w:trPr>
        <w:tc>
          <w:tcPr>
            <w:tcW w:w="1135" w:type="dxa"/>
            <w:shd w:val="clear" w:color="auto" w:fill="C4EFCE"/>
            <w:vAlign w:val="center"/>
          </w:tcPr>
          <w:p w14:paraId="3EF0FD70" w14:textId="48FA3140" w:rsidR="00776A1F" w:rsidRDefault="00D8574B">
            <w:pPr>
              <w:pStyle w:val="P68B1DB1-Normal11"/>
              <w:spacing w:after="0" w:line="240" w:lineRule="auto"/>
              <w:jc w:val="center"/>
              <w:rPr>
                <w:rFonts w:eastAsia="Times New Roman" w:cstheme="minorHAnsi"/>
                <w:noProof/>
              </w:rPr>
            </w:pPr>
            <w:r>
              <w:rPr>
                <w:noProof/>
              </w:rPr>
              <w:t>21.42</w:t>
            </w:r>
          </w:p>
        </w:tc>
        <w:tc>
          <w:tcPr>
            <w:tcW w:w="1276" w:type="dxa"/>
            <w:shd w:val="clear" w:color="auto" w:fill="C4EFCE"/>
            <w:noWrap/>
            <w:vAlign w:val="center"/>
          </w:tcPr>
          <w:p w14:paraId="3E37980A" w14:textId="32943EB6" w:rsidR="00776A1F" w:rsidRDefault="00D8574B">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75D0961D" w14:textId="5C584069" w:rsidR="00776A1F" w:rsidRDefault="00D8574B">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E1BD89C" w14:textId="0763BBE2" w:rsidR="00776A1F" w:rsidRDefault="00D8574B">
            <w:pPr>
              <w:pStyle w:val="P68B1DB1-Normal12"/>
              <w:spacing w:after="0" w:line="240" w:lineRule="auto"/>
              <w:jc w:val="center"/>
              <w:rPr>
                <w:rFonts w:eastAsia="Times New Roman" w:cstheme="minorHAnsi"/>
                <w:noProof/>
              </w:rPr>
            </w:pPr>
            <w:r>
              <w:rPr>
                <w:noProof/>
              </w:rPr>
              <w:t>Projekta īstenošanas līguma parakstīšana</w:t>
            </w:r>
          </w:p>
        </w:tc>
        <w:tc>
          <w:tcPr>
            <w:tcW w:w="1275" w:type="dxa"/>
            <w:shd w:val="clear" w:color="auto" w:fill="C4EFCE"/>
            <w:noWrap/>
            <w:vAlign w:val="center"/>
          </w:tcPr>
          <w:p w14:paraId="6D51BF19" w14:textId="1E92AFD0" w:rsidR="00776A1F" w:rsidRDefault="00D8574B">
            <w:pPr>
              <w:pStyle w:val="P68B1DB1-Normal12"/>
              <w:spacing w:after="0" w:line="240" w:lineRule="auto"/>
              <w:jc w:val="center"/>
              <w:rPr>
                <w:rFonts w:eastAsia="Times New Roman" w:cstheme="minorHAnsi"/>
                <w:noProof/>
              </w:rPr>
            </w:pPr>
            <w:r>
              <w:rPr>
                <w:noProof/>
              </w:rPr>
              <w:t>Līguma parakstīšana;</w:t>
            </w:r>
          </w:p>
        </w:tc>
        <w:tc>
          <w:tcPr>
            <w:tcW w:w="993" w:type="dxa"/>
            <w:shd w:val="clear" w:color="auto" w:fill="C4EFCE"/>
            <w:noWrap/>
            <w:vAlign w:val="center"/>
          </w:tcPr>
          <w:p w14:paraId="741D0788"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18B6EA83"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C4F720A"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4ED6CA4A" w14:textId="7C6F7542" w:rsidR="00776A1F" w:rsidRDefault="00D8574B">
            <w:pPr>
              <w:pStyle w:val="P68B1DB1-Normal12"/>
              <w:spacing w:after="0" w:line="240" w:lineRule="auto"/>
              <w:jc w:val="center"/>
              <w:rPr>
                <w:rFonts w:eastAsia="Times New Roman" w:cstheme="minorHAnsi"/>
                <w:noProof/>
              </w:rPr>
            </w:pPr>
            <w:r>
              <w:rPr>
                <w:noProof/>
              </w:rPr>
              <w:t>3. CET.</w:t>
            </w:r>
          </w:p>
        </w:tc>
        <w:tc>
          <w:tcPr>
            <w:tcW w:w="708" w:type="dxa"/>
            <w:shd w:val="clear" w:color="auto" w:fill="C4EFCE"/>
            <w:noWrap/>
            <w:vAlign w:val="center"/>
          </w:tcPr>
          <w:p w14:paraId="211B5EDD" w14:textId="5AF255BE" w:rsidR="00776A1F" w:rsidRDefault="00D8574B">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3212FFEE" w14:textId="40EC26CF" w:rsidR="00776A1F" w:rsidRDefault="00D8574B">
            <w:pPr>
              <w:pStyle w:val="P68B1DB1-Normal12"/>
              <w:spacing w:after="0" w:line="240" w:lineRule="auto"/>
              <w:jc w:val="both"/>
              <w:rPr>
                <w:rFonts w:eastAsia="Times New Roman" w:cstheme="minorHAnsi"/>
                <w:noProof/>
              </w:rPr>
            </w:pPr>
            <w:r>
              <w:rPr>
                <w:noProof/>
              </w:rPr>
              <w:t>Projekta īstenošanas līguma parakstīšana starp valsts iestādēm un līgumslēdzēju, kas izraudzīts starptautiskā atklātā konkursā.</w:t>
            </w:r>
          </w:p>
        </w:tc>
      </w:tr>
      <w:tr w:rsidR="00776A1F" w14:paraId="529C25C3" w14:textId="77777777">
        <w:trPr>
          <w:trHeight w:val="430"/>
        </w:trPr>
        <w:tc>
          <w:tcPr>
            <w:tcW w:w="1135" w:type="dxa"/>
            <w:shd w:val="clear" w:color="auto" w:fill="C4EFCE"/>
            <w:vAlign w:val="center"/>
          </w:tcPr>
          <w:p w14:paraId="2ADCAD91" w14:textId="62A09313" w:rsidR="00776A1F" w:rsidRDefault="00D8574B">
            <w:pPr>
              <w:pStyle w:val="P68B1DB1-Normal11"/>
              <w:spacing w:after="0" w:line="240" w:lineRule="auto"/>
              <w:jc w:val="center"/>
              <w:rPr>
                <w:rFonts w:eastAsia="Times New Roman" w:cstheme="minorHAnsi"/>
                <w:noProof/>
              </w:rPr>
            </w:pPr>
            <w:r>
              <w:rPr>
                <w:noProof/>
              </w:rPr>
              <w:t>21.43</w:t>
            </w:r>
          </w:p>
        </w:tc>
        <w:tc>
          <w:tcPr>
            <w:tcW w:w="1276" w:type="dxa"/>
            <w:shd w:val="clear" w:color="auto" w:fill="C4EFCE"/>
            <w:noWrap/>
            <w:vAlign w:val="center"/>
          </w:tcPr>
          <w:p w14:paraId="6EFB5CCE" w14:textId="7C36AC8C" w:rsidR="00776A1F" w:rsidRDefault="00D8574B">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3C242F77" w14:textId="218D6D72" w:rsidR="00776A1F" w:rsidRDefault="00D8574B">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33DBFF8" w14:textId="384221C4" w:rsidR="00776A1F" w:rsidRDefault="00D8574B">
            <w:pPr>
              <w:pStyle w:val="P68B1DB1-Normal12"/>
              <w:spacing w:after="0" w:line="240" w:lineRule="auto"/>
              <w:jc w:val="center"/>
              <w:rPr>
                <w:rFonts w:eastAsia="Times New Roman"/>
                <w:noProof/>
              </w:rPr>
            </w:pPr>
            <w:r>
              <w:rPr>
                <w:noProof/>
              </w:rPr>
              <w:t>Funikulāra uzbūve</w:t>
            </w:r>
          </w:p>
        </w:tc>
        <w:tc>
          <w:tcPr>
            <w:tcW w:w="1275" w:type="dxa"/>
            <w:shd w:val="clear" w:color="auto" w:fill="C4EFCE"/>
            <w:noWrap/>
            <w:vAlign w:val="center"/>
          </w:tcPr>
          <w:p w14:paraId="02FA81D6" w14:textId="764DECD3" w:rsidR="00776A1F" w:rsidRDefault="00D8574B">
            <w:pPr>
              <w:pStyle w:val="P68B1DB1-Normal12"/>
              <w:spacing w:after="0" w:line="240" w:lineRule="auto"/>
              <w:jc w:val="center"/>
              <w:rPr>
                <w:rFonts w:eastAsia="Times New Roman" w:cstheme="minorHAnsi"/>
                <w:noProof/>
              </w:rPr>
            </w:pPr>
            <w:r>
              <w:rPr>
                <w:noProof/>
              </w:rPr>
              <w:t>Darbības sākšana</w:t>
            </w:r>
          </w:p>
        </w:tc>
        <w:tc>
          <w:tcPr>
            <w:tcW w:w="993" w:type="dxa"/>
            <w:shd w:val="clear" w:color="auto" w:fill="C4EFCE"/>
            <w:noWrap/>
            <w:vAlign w:val="center"/>
          </w:tcPr>
          <w:p w14:paraId="5F53A211"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267D5047" w14:textId="77777777" w:rsidR="00776A1F" w:rsidRDefault="00776A1F">
            <w:pPr>
              <w:spacing w:after="0" w:line="240" w:lineRule="auto"/>
              <w:jc w:val="center"/>
              <w:rPr>
                <w:rFonts w:eastAsia="Times New Roman" w:cstheme="minorHAnsi"/>
                <w:noProof/>
                <w:sz w:val="16"/>
              </w:rPr>
            </w:pPr>
          </w:p>
        </w:tc>
        <w:tc>
          <w:tcPr>
            <w:tcW w:w="992" w:type="dxa"/>
            <w:shd w:val="clear" w:color="auto" w:fill="C4EFCE"/>
            <w:noWrap/>
            <w:vAlign w:val="center"/>
          </w:tcPr>
          <w:p w14:paraId="307D8611" w14:textId="77777777" w:rsidR="00776A1F" w:rsidRDefault="00776A1F">
            <w:pPr>
              <w:spacing w:after="0" w:line="240" w:lineRule="auto"/>
              <w:jc w:val="center"/>
              <w:rPr>
                <w:rFonts w:eastAsia="Times New Roman" w:cstheme="minorHAnsi"/>
                <w:noProof/>
                <w:sz w:val="16"/>
              </w:rPr>
            </w:pPr>
          </w:p>
        </w:tc>
        <w:tc>
          <w:tcPr>
            <w:tcW w:w="567" w:type="dxa"/>
            <w:shd w:val="clear" w:color="auto" w:fill="C4EFCE"/>
            <w:noWrap/>
            <w:vAlign w:val="center"/>
          </w:tcPr>
          <w:p w14:paraId="5A8CFE96" w14:textId="2683462D" w:rsidR="00776A1F" w:rsidRDefault="00D8574B">
            <w:pPr>
              <w:pStyle w:val="P68B1DB1-Normal12"/>
              <w:spacing w:after="0" w:line="240" w:lineRule="auto"/>
              <w:jc w:val="center"/>
              <w:rPr>
                <w:rFonts w:eastAsia="Times New Roman" w:cstheme="minorHAnsi"/>
                <w:noProof/>
              </w:rPr>
            </w:pPr>
            <w:r>
              <w:rPr>
                <w:noProof/>
              </w:rPr>
              <w:t>1. CET.</w:t>
            </w:r>
          </w:p>
        </w:tc>
        <w:tc>
          <w:tcPr>
            <w:tcW w:w="708" w:type="dxa"/>
            <w:shd w:val="clear" w:color="auto" w:fill="C4EFCE"/>
            <w:noWrap/>
            <w:vAlign w:val="center"/>
          </w:tcPr>
          <w:p w14:paraId="6E0F941C" w14:textId="1527F901" w:rsidR="00776A1F" w:rsidRDefault="00D8574B">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6B1EB48" w14:textId="691924FE" w:rsidR="00776A1F" w:rsidRDefault="00D8574B">
            <w:pPr>
              <w:pStyle w:val="P68B1DB1-Normal12"/>
              <w:spacing w:after="0" w:line="240" w:lineRule="auto"/>
              <w:jc w:val="both"/>
              <w:rPr>
                <w:rFonts w:eastAsia="Times New Roman"/>
                <w:noProof/>
              </w:rPr>
            </w:pPr>
            <w:r>
              <w:rPr>
                <w:noProof/>
              </w:rPr>
              <w:t>Mehāniskajam transporta risinājumam (funikulāram), kura garums ir aptuveni 200 metri, jābūt gatavam tūlītējai darbībai, savienojot Pedreneiras apgabalu ar Nazaré ciemata apakšējo apgabalu.</w:t>
            </w:r>
          </w:p>
        </w:tc>
      </w:tr>
    </w:tbl>
    <w:p w14:paraId="35ED878F" w14:textId="77777777" w:rsidR="00776A1F" w:rsidRDefault="00776A1F">
      <w:pPr>
        <w:spacing w:after="0"/>
        <w:jc w:val="both"/>
        <w:rPr>
          <w:rFonts w:ascii="Times New Roman" w:hAnsi="Times New Roman" w:cs="Times New Roman"/>
          <w:noProof/>
          <w:sz w:val="24"/>
        </w:rPr>
        <w:sectPr w:rsidR="00776A1F" w:rsidSect="00587917">
          <w:headerReference w:type="even" r:id="rId374"/>
          <w:headerReference w:type="default" r:id="rId375"/>
          <w:footerReference w:type="even" r:id="rId376"/>
          <w:footerReference w:type="default" r:id="rId377"/>
          <w:headerReference w:type="first" r:id="rId378"/>
          <w:footerReference w:type="first" r:id="rId379"/>
          <w:pgSz w:w="16838" w:h="11906" w:orient="landscape"/>
          <w:pgMar w:top="1134" w:right="1134" w:bottom="1134" w:left="1134" w:header="567" w:footer="567" w:gutter="0"/>
          <w:cols w:space="708"/>
          <w:docGrid w:linePitch="360"/>
        </w:sectPr>
      </w:pPr>
    </w:p>
    <w:p w14:paraId="236D10E6" w14:textId="66A5EAFD" w:rsidR="00776A1F" w:rsidRDefault="00D8574B">
      <w:pPr>
        <w:pStyle w:val="P68B1DB1-Normal3"/>
        <w:keepNext/>
        <w:spacing w:before="40" w:after="0" w:line="259" w:lineRule="auto"/>
        <w:ind w:left="130" w:firstLine="720"/>
        <w:jc w:val="both"/>
        <w:outlineLvl w:val="1"/>
        <w:rPr>
          <w:rFonts w:eastAsiaTheme="minorEastAsia" w:cs="Times New Roman"/>
          <w:noProof/>
        </w:rPr>
      </w:pPr>
      <w:r>
        <w:rPr>
          <w:noProof/>
        </w:rPr>
        <w:t>V. 22. SASTĀVDAĻA: Revīzija un kontrole</w:t>
      </w:r>
    </w:p>
    <w:p w14:paraId="44234FA0"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2542E50" w14:textId="77777777"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V.1. Reformas apraksts</w:t>
      </w:r>
    </w:p>
    <w:p w14:paraId="4C7B8830" w14:textId="27F623A3" w:rsidR="00776A1F" w:rsidRDefault="00D8574B">
      <w:pPr>
        <w:pStyle w:val="P68B1DB1-Normal5"/>
        <w:keepNext/>
        <w:spacing w:before="240" w:after="0" w:line="259" w:lineRule="auto"/>
        <w:ind w:left="851"/>
        <w:jc w:val="both"/>
        <w:outlineLvl w:val="2"/>
        <w:rPr>
          <w:rFonts w:eastAsiaTheme="minorEastAsia" w:cs="Times New Roman"/>
          <w:noProof/>
        </w:rPr>
      </w:pPr>
      <w:r>
        <w:rPr>
          <w:noProof/>
        </w:rPr>
        <w:t>Reforma RE-C22–r49: Atveseļošanas un noturības plāna uzraudzības un īstenošanas kārtība</w:t>
      </w:r>
    </w:p>
    <w:p w14:paraId="180C4631" w14:textId="314000A4" w:rsidR="00776A1F" w:rsidRDefault="00D8574B">
      <w:pPr>
        <w:pStyle w:val="P68B1DB1-Normal4"/>
        <w:spacing w:after="0" w:line="240" w:lineRule="auto"/>
        <w:jc w:val="both"/>
        <w:rPr>
          <w:rFonts w:cs="Times New Roman"/>
          <w:noProof/>
        </w:rPr>
      </w:pPr>
      <w:r>
        <w:rPr>
          <w:noProof/>
        </w:rPr>
        <w:t>Pasākuma mērķis ir uzlabot atveseļošanas un noturības plāna uzraudzību un īstenošanu. Lai nodrošinātu samērīgu krāpšanas un korupcijas apkarošanas pasākumu efektīvu īstenošanu, Portugāle groza līgumus, kas parakstīti starp koordinējošo struktūru “EMRP” un visām iestādēm, kuras ir atbildīgas par ANP īstenošanu, lai pievienotu juridisku pienākumu īstenošanas struktūrām veikt krāpšanas riska novērtējumu trīs mēnešu laikā pēc to līgumu grozīšanas un, ja krāpšanas riska novērtējumā ir konstatēti riski, kas nav novērsti esošajās kontrolēs, izstrādāt rīcības plānu, kurā ietvertas papildu kontroles. Šo pienākumu atspoguļo koordinējošās struktūras procedūru rokasgrāmatā. Koordinējošā struktūra arī oficiāli paziņo visām īstenošanas struktūrām tehniskos norādījumus, lai palīdzētu tām veikt krāpšanas riska novērtējumu. Turklāt Portugāle uzlabo procedūras, lai samazinātu vai mazinātu dubulta finansējuma risku, ieviešot efektīvas sistemātiskas kontrolpārbaudes attiecībā uz pieteikumiem iespējamam finansējumam ANM ietvaros un starp ANM un citām Savienības programmām saskaņā ar pareizas finanšu pārvaldības principu. Koordinējošā struktūra iesniedz dokumentu, kurā aprakstītas ierosinātās detalizētās dubultās finansēšanas kontrolpārbaudes, lai apstiprinātu, ka ir ieviestas atbilstošas procedūras, lai izvairītos no dubultas finansēšanas.</w:t>
      </w:r>
    </w:p>
    <w:p w14:paraId="74765BC7" w14:textId="77777777" w:rsidR="00776A1F" w:rsidRDefault="00776A1F">
      <w:pPr>
        <w:spacing w:before="40" w:after="0" w:line="259" w:lineRule="auto"/>
        <w:jc w:val="both"/>
        <w:rPr>
          <w:rFonts w:ascii="Times New Roman" w:hAnsi="Times New Roman" w:cs="Times New Roman"/>
          <w:noProof/>
          <w:sz w:val="24"/>
        </w:rPr>
        <w:sectPr w:rsidR="00776A1F" w:rsidSect="00737670">
          <w:headerReference w:type="even" r:id="rId380"/>
          <w:headerReference w:type="default" r:id="rId381"/>
          <w:footerReference w:type="even" r:id="rId382"/>
          <w:footerReference w:type="default" r:id="rId383"/>
          <w:headerReference w:type="first" r:id="rId384"/>
          <w:footerReference w:type="first" r:id="rId385"/>
          <w:pgSz w:w="11906" w:h="16838"/>
          <w:pgMar w:top="1134" w:right="1134" w:bottom="1134" w:left="1134" w:header="567" w:footer="567" w:gutter="0"/>
          <w:cols w:space="708"/>
          <w:docGrid w:linePitch="360"/>
        </w:sectPr>
      </w:pPr>
    </w:p>
    <w:p w14:paraId="3636EC65" w14:textId="77777777" w:rsidR="00776A1F" w:rsidRDefault="00776A1F">
      <w:pPr>
        <w:spacing w:before="40" w:after="0" w:line="259" w:lineRule="auto"/>
        <w:jc w:val="both"/>
        <w:rPr>
          <w:rFonts w:ascii="Times New Roman" w:hAnsi="Times New Roman" w:cs="Times New Roman"/>
          <w:noProof/>
          <w:sz w:val="24"/>
        </w:rPr>
      </w:pPr>
    </w:p>
    <w:p w14:paraId="2CBAD660" w14:textId="647AAFB2" w:rsidR="00776A1F" w:rsidRDefault="00D8574B">
      <w:pPr>
        <w:pStyle w:val="P68B1DB1-Normal3"/>
        <w:keepNext/>
        <w:spacing w:before="40" w:after="0" w:line="259" w:lineRule="auto"/>
        <w:ind w:left="130" w:firstLine="720"/>
        <w:jc w:val="both"/>
        <w:outlineLvl w:val="2"/>
        <w:rPr>
          <w:rFonts w:eastAsiaTheme="minorEastAsia" w:cs="Times New Roman"/>
          <w:noProof/>
        </w:rPr>
      </w:pPr>
      <w:r>
        <w:rPr>
          <w:noProof/>
        </w:rPr>
        <w:t>V.2. Starpposma mērķi, mērķrādītāji, rādītāji un uzraudzības un īstenošanas grafiks</w:t>
      </w:r>
    </w:p>
    <w:p w14:paraId="68A62073" w14:textId="77777777"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984"/>
        <w:gridCol w:w="1134"/>
        <w:gridCol w:w="851"/>
        <w:gridCol w:w="992"/>
        <w:gridCol w:w="709"/>
        <w:gridCol w:w="567"/>
        <w:gridCol w:w="708"/>
        <w:gridCol w:w="4395"/>
      </w:tblGrid>
      <w:tr w:rsidR="00776A1F" w14:paraId="7A27D3D1" w14:textId="77777777">
        <w:trPr>
          <w:trHeight w:val="300"/>
          <w:tblHeader/>
        </w:trPr>
        <w:tc>
          <w:tcPr>
            <w:tcW w:w="1135" w:type="dxa"/>
            <w:vMerge w:val="restart"/>
            <w:shd w:val="clear" w:color="auto" w:fill="BDD6EE"/>
            <w:vAlign w:val="center"/>
            <w:hideMark/>
          </w:tcPr>
          <w:p w14:paraId="5CC94774"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276" w:type="dxa"/>
            <w:vMerge w:val="restart"/>
            <w:shd w:val="clear" w:color="auto" w:fill="BDD6EE"/>
            <w:noWrap/>
            <w:vAlign w:val="center"/>
            <w:hideMark/>
          </w:tcPr>
          <w:p w14:paraId="30C71F68" w14:textId="77777777" w:rsidR="00776A1F" w:rsidRDefault="00D8574B">
            <w:pPr>
              <w:pStyle w:val="P68B1DB1-Normal6"/>
              <w:spacing w:after="0" w:line="240" w:lineRule="auto"/>
              <w:jc w:val="center"/>
              <w:rPr>
                <w:rFonts w:eastAsia="Times New Roman" w:cs="Times New Roman"/>
                <w:noProof/>
              </w:rPr>
            </w:pPr>
            <w:r>
              <w:rPr>
                <w:noProof/>
              </w:rPr>
              <w:t>Pasākums (reforma vai investīcijas)</w:t>
            </w:r>
          </w:p>
        </w:tc>
        <w:tc>
          <w:tcPr>
            <w:tcW w:w="1134" w:type="dxa"/>
            <w:vMerge w:val="restart"/>
            <w:shd w:val="clear" w:color="auto" w:fill="BDD6EE"/>
            <w:noWrap/>
            <w:vAlign w:val="center"/>
            <w:hideMark/>
          </w:tcPr>
          <w:p w14:paraId="620CB2B2"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1984" w:type="dxa"/>
            <w:vMerge w:val="restart"/>
            <w:shd w:val="clear" w:color="auto" w:fill="BDD6EE"/>
            <w:noWrap/>
            <w:vAlign w:val="center"/>
            <w:hideMark/>
          </w:tcPr>
          <w:p w14:paraId="1C302F4F"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1134" w:type="dxa"/>
            <w:vMerge w:val="restart"/>
            <w:shd w:val="clear" w:color="auto" w:fill="BDD6EE"/>
            <w:noWrap/>
            <w:vAlign w:val="center"/>
            <w:hideMark/>
          </w:tcPr>
          <w:p w14:paraId="7F93989A" w14:textId="77777777" w:rsidR="00776A1F" w:rsidRDefault="00D8574B">
            <w:pPr>
              <w:pStyle w:val="P68B1DB1-Normal6"/>
              <w:spacing w:after="0" w:line="240" w:lineRule="auto"/>
              <w:jc w:val="center"/>
              <w:rPr>
                <w:rFonts w:eastAsia="Times New Roman" w:cs="Times New Roman"/>
                <w:noProof/>
              </w:rPr>
            </w:pPr>
            <w:r>
              <w:rPr>
                <w:noProof/>
              </w:rPr>
              <w:t>Kvalitatīvie rādītāji (atskaites punktiem)</w:t>
            </w:r>
          </w:p>
        </w:tc>
        <w:tc>
          <w:tcPr>
            <w:tcW w:w="2552" w:type="dxa"/>
            <w:gridSpan w:val="3"/>
            <w:shd w:val="clear" w:color="auto" w:fill="BDD6EE"/>
            <w:noWrap/>
            <w:vAlign w:val="center"/>
            <w:hideMark/>
          </w:tcPr>
          <w:p w14:paraId="5C5240E8" w14:textId="77777777" w:rsidR="00776A1F" w:rsidRDefault="00D8574B">
            <w:pPr>
              <w:pStyle w:val="P68B1DB1-Normal6"/>
              <w:spacing w:after="0" w:line="240" w:lineRule="auto"/>
              <w:jc w:val="center"/>
              <w:rPr>
                <w:rFonts w:eastAsia="Times New Roman" w:cs="Times New Roman"/>
                <w:noProof/>
              </w:rPr>
            </w:pPr>
            <w:r>
              <w:rPr>
                <w:noProof/>
              </w:rPr>
              <w:t>Kvantitatīvie rādītāji (mērķrādītājiem)</w:t>
            </w:r>
          </w:p>
        </w:tc>
        <w:tc>
          <w:tcPr>
            <w:tcW w:w="1275" w:type="dxa"/>
            <w:gridSpan w:val="2"/>
            <w:shd w:val="clear" w:color="auto" w:fill="BDD6EE"/>
            <w:noWrap/>
            <w:vAlign w:val="center"/>
            <w:hideMark/>
          </w:tcPr>
          <w:p w14:paraId="5A90F2F3" w14:textId="77777777" w:rsidR="00776A1F" w:rsidRDefault="00D8574B">
            <w:pPr>
              <w:pStyle w:val="P68B1DB1-Normal6"/>
              <w:spacing w:after="0" w:line="240" w:lineRule="auto"/>
              <w:jc w:val="center"/>
              <w:rPr>
                <w:rFonts w:eastAsia="Times New Roman" w:cs="Times New Roman"/>
                <w:noProof/>
              </w:rPr>
            </w:pPr>
            <w:r>
              <w:rPr>
                <w:noProof/>
              </w:rPr>
              <w:t>Pabeigšanas grafiks</w:t>
            </w:r>
          </w:p>
        </w:tc>
        <w:tc>
          <w:tcPr>
            <w:tcW w:w="4395" w:type="dxa"/>
            <w:vMerge w:val="restart"/>
            <w:shd w:val="clear" w:color="auto" w:fill="BDD6EE"/>
            <w:vAlign w:val="center"/>
            <w:hideMark/>
          </w:tcPr>
          <w:p w14:paraId="05C538FC" w14:textId="77777777" w:rsidR="00776A1F" w:rsidRDefault="00D8574B">
            <w:pPr>
              <w:pStyle w:val="P68B1DB1-Normal6"/>
              <w:spacing w:after="0" w:line="240" w:lineRule="auto"/>
              <w:jc w:val="center"/>
              <w:rPr>
                <w:rFonts w:eastAsia="Times New Roman" w:cs="Times New Roman"/>
                <w:noProof/>
              </w:rPr>
            </w:pPr>
            <w:r>
              <w:rPr>
                <w:noProof/>
              </w:rPr>
              <w:t>Katra atskaites punkta un mērķrādītāja apraksts un skaidra definīcija</w:t>
            </w:r>
          </w:p>
        </w:tc>
      </w:tr>
      <w:tr w:rsidR="00776A1F" w14:paraId="791474D6" w14:textId="77777777">
        <w:trPr>
          <w:trHeight w:val="300"/>
          <w:tblHeader/>
        </w:trPr>
        <w:tc>
          <w:tcPr>
            <w:tcW w:w="1135" w:type="dxa"/>
            <w:vMerge/>
            <w:vAlign w:val="center"/>
            <w:hideMark/>
          </w:tcPr>
          <w:p w14:paraId="64F5E293" w14:textId="77777777" w:rsidR="00776A1F" w:rsidRDefault="00776A1F">
            <w:pPr>
              <w:spacing w:after="0" w:line="240" w:lineRule="auto"/>
              <w:rPr>
                <w:rFonts w:ascii="Times New Roman" w:eastAsia="Times New Roman" w:hAnsi="Times New Roman" w:cs="Times New Roman"/>
                <w:b/>
                <w:noProof/>
                <w:sz w:val="18"/>
              </w:rPr>
            </w:pPr>
          </w:p>
        </w:tc>
        <w:tc>
          <w:tcPr>
            <w:tcW w:w="1276" w:type="dxa"/>
            <w:vMerge/>
            <w:vAlign w:val="center"/>
            <w:hideMark/>
          </w:tcPr>
          <w:p w14:paraId="4801FFBD"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0FBCC370" w14:textId="77777777" w:rsidR="00776A1F" w:rsidRDefault="00776A1F">
            <w:pPr>
              <w:spacing w:after="0" w:line="240" w:lineRule="auto"/>
              <w:jc w:val="center"/>
              <w:rPr>
                <w:rFonts w:ascii="Times New Roman" w:eastAsia="Times New Roman" w:hAnsi="Times New Roman" w:cs="Times New Roman"/>
                <w:b/>
                <w:noProof/>
                <w:sz w:val="18"/>
              </w:rPr>
            </w:pPr>
          </w:p>
        </w:tc>
        <w:tc>
          <w:tcPr>
            <w:tcW w:w="1984" w:type="dxa"/>
            <w:vMerge/>
            <w:vAlign w:val="center"/>
            <w:hideMark/>
          </w:tcPr>
          <w:p w14:paraId="57A267FE" w14:textId="77777777" w:rsidR="00776A1F" w:rsidRDefault="00776A1F">
            <w:pPr>
              <w:spacing w:after="0" w:line="240" w:lineRule="auto"/>
              <w:rPr>
                <w:rFonts w:ascii="Times New Roman" w:eastAsia="Times New Roman" w:hAnsi="Times New Roman" w:cs="Times New Roman"/>
                <w:b/>
                <w:noProof/>
                <w:sz w:val="18"/>
              </w:rPr>
            </w:pPr>
          </w:p>
        </w:tc>
        <w:tc>
          <w:tcPr>
            <w:tcW w:w="1134" w:type="dxa"/>
            <w:vMerge/>
            <w:vAlign w:val="center"/>
            <w:hideMark/>
          </w:tcPr>
          <w:p w14:paraId="0C7C5FFB" w14:textId="77777777" w:rsidR="00776A1F" w:rsidRDefault="00776A1F">
            <w:pPr>
              <w:spacing w:after="0" w:line="240" w:lineRule="auto"/>
              <w:rPr>
                <w:rFonts w:ascii="Times New Roman" w:eastAsia="Times New Roman" w:hAnsi="Times New Roman" w:cs="Times New Roman"/>
                <w:b/>
                <w:noProof/>
                <w:sz w:val="18"/>
              </w:rPr>
            </w:pPr>
          </w:p>
        </w:tc>
        <w:tc>
          <w:tcPr>
            <w:tcW w:w="851" w:type="dxa"/>
            <w:shd w:val="clear" w:color="auto" w:fill="BDD6EE"/>
            <w:noWrap/>
            <w:vAlign w:val="center"/>
            <w:hideMark/>
          </w:tcPr>
          <w:p w14:paraId="1A7AD875" w14:textId="77777777" w:rsidR="00776A1F" w:rsidRDefault="00D8574B">
            <w:pPr>
              <w:pStyle w:val="P68B1DB1-Normal6"/>
              <w:spacing w:after="0" w:line="240" w:lineRule="auto"/>
              <w:jc w:val="center"/>
              <w:rPr>
                <w:rFonts w:eastAsia="Times New Roman" w:cs="Times New Roman"/>
                <w:noProof/>
              </w:rPr>
            </w:pPr>
            <w:r>
              <w:rPr>
                <w:noProof/>
              </w:rPr>
              <w:t>Mēra vienība</w:t>
            </w:r>
          </w:p>
        </w:tc>
        <w:tc>
          <w:tcPr>
            <w:tcW w:w="992" w:type="dxa"/>
            <w:shd w:val="clear" w:color="auto" w:fill="BDD6EE"/>
            <w:noWrap/>
            <w:vAlign w:val="center"/>
            <w:hideMark/>
          </w:tcPr>
          <w:p w14:paraId="75CEC3C9" w14:textId="77777777" w:rsidR="00776A1F" w:rsidRDefault="00D8574B">
            <w:pPr>
              <w:pStyle w:val="P68B1DB1-Normal6"/>
              <w:spacing w:after="0" w:line="240" w:lineRule="auto"/>
              <w:jc w:val="center"/>
              <w:rPr>
                <w:rFonts w:eastAsia="Times New Roman" w:cs="Times New Roman"/>
                <w:noProof/>
              </w:rPr>
            </w:pPr>
            <w:r>
              <w:rPr>
                <w:noProof/>
              </w:rPr>
              <w:t>Pamatscenārijs</w:t>
            </w:r>
          </w:p>
        </w:tc>
        <w:tc>
          <w:tcPr>
            <w:tcW w:w="709" w:type="dxa"/>
            <w:shd w:val="clear" w:color="auto" w:fill="BDD6EE"/>
            <w:noWrap/>
            <w:vAlign w:val="center"/>
            <w:hideMark/>
          </w:tcPr>
          <w:p w14:paraId="1839FA92" w14:textId="77777777" w:rsidR="00776A1F" w:rsidRDefault="00D8574B">
            <w:pPr>
              <w:pStyle w:val="P68B1DB1-Normal6"/>
              <w:spacing w:after="0" w:line="240" w:lineRule="auto"/>
              <w:jc w:val="center"/>
              <w:rPr>
                <w:rFonts w:eastAsia="Times New Roman" w:cs="Times New Roman"/>
                <w:noProof/>
              </w:rPr>
            </w:pPr>
            <w:r>
              <w:rPr>
                <w:noProof/>
              </w:rPr>
              <w:t>Mērķis</w:t>
            </w:r>
          </w:p>
        </w:tc>
        <w:tc>
          <w:tcPr>
            <w:tcW w:w="567" w:type="dxa"/>
            <w:shd w:val="clear" w:color="auto" w:fill="BDD6EE"/>
            <w:noWrap/>
            <w:vAlign w:val="center"/>
            <w:hideMark/>
          </w:tcPr>
          <w:p w14:paraId="034E72F5" w14:textId="77777777" w:rsidR="00776A1F" w:rsidRDefault="00D8574B">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739CD227" w14:textId="77777777" w:rsidR="00776A1F" w:rsidRDefault="00D8574B">
            <w:pPr>
              <w:pStyle w:val="P68B1DB1-Normal6"/>
              <w:spacing w:after="0" w:line="240" w:lineRule="auto"/>
              <w:jc w:val="center"/>
              <w:rPr>
                <w:rFonts w:eastAsia="Times New Roman" w:cs="Times New Roman"/>
                <w:noProof/>
              </w:rPr>
            </w:pPr>
            <w:r>
              <w:rPr>
                <w:noProof/>
              </w:rPr>
              <w:t>Gadā</w:t>
            </w:r>
          </w:p>
        </w:tc>
        <w:tc>
          <w:tcPr>
            <w:tcW w:w="4395" w:type="dxa"/>
            <w:vMerge/>
            <w:vAlign w:val="center"/>
            <w:hideMark/>
          </w:tcPr>
          <w:p w14:paraId="6237285D" w14:textId="77777777" w:rsidR="00776A1F" w:rsidRDefault="00776A1F">
            <w:pPr>
              <w:spacing w:after="0" w:line="240" w:lineRule="auto"/>
              <w:rPr>
                <w:rFonts w:ascii="Times New Roman" w:eastAsia="Times New Roman" w:hAnsi="Times New Roman" w:cs="Times New Roman"/>
                <w:b/>
                <w:noProof/>
                <w:sz w:val="18"/>
              </w:rPr>
            </w:pPr>
          </w:p>
        </w:tc>
      </w:tr>
      <w:tr w:rsidR="00776A1F" w14:paraId="6842EF63" w14:textId="77777777">
        <w:trPr>
          <w:trHeight w:val="1260"/>
          <w:tblHeader/>
        </w:trPr>
        <w:tc>
          <w:tcPr>
            <w:tcW w:w="1135" w:type="dxa"/>
            <w:shd w:val="clear" w:color="auto" w:fill="C4EFCE"/>
            <w:noWrap/>
            <w:vAlign w:val="center"/>
          </w:tcPr>
          <w:p w14:paraId="20D33C04" w14:textId="3BE29466" w:rsidR="00776A1F" w:rsidRDefault="00D8574B">
            <w:pPr>
              <w:pStyle w:val="P68B1DB1-Normal7"/>
              <w:spacing w:after="0" w:line="240" w:lineRule="auto"/>
              <w:jc w:val="center"/>
              <w:rPr>
                <w:rFonts w:eastAsia="Times New Roman" w:cs="Calibri"/>
                <w:noProof/>
              </w:rPr>
            </w:pPr>
            <w:r>
              <w:rPr>
                <w:noProof/>
              </w:rPr>
              <w:t>22.1</w:t>
            </w:r>
          </w:p>
        </w:tc>
        <w:tc>
          <w:tcPr>
            <w:tcW w:w="1276" w:type="dxa"/>
            <w:shd w:val="clear" w:color="auto" w:fill="C4EFCE"/>
            <w:noWrap/>
            <w:vAlign w:val="center"/>
          </w:tcPr>
          <w:p w14:paraId="62B22C1C" w14:textId="0E34FE03" w:rsidR="00776A1F" w:rsidRDefault="00D8574B">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8531306" w14:textId="7F47F2D7" w:rsidR="00776A1F" w:rsidRDefault="00D8574B">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560DB9C0" w14:textId="2B36040C" w:rsidR="00776A1F" w:rsidRDefault="00D8574B">
            <w:pPr>
              <w:pStyle w:val="P68B1DB1-Normal8"/>
              <w:spacing w:after="0" w:line="240" w:lineRule="auto"/>
              <w:jc w:val="center"/>
              <w:rPr>
                <w:rFonts w:eastAsia="Times New Roman" w:cs="Calibri"/>
                <w:noProof/>
              </w:rPr>
            </w:pPr>
            <w:r>
              <w:rPr>
                <w:noProof/>
              </w:rPr>
              <w:t>Grozījumi finansēšanas līgumos starp EMPP un īstenošanas struktūrām, lai iekļautu pienākumu veikt krāpšanas riska novērtējumu</w:t>
            </w:r>
          </w:p>
        </w:tc>
        <w:tc>
          <w:tcPr>
            <w:tcW w:w="1134" w:type="dxa"/>
            <w:shd w:val="clear" w:color="auto" w:fill="C4EFCE"/>
            <w:noWrap/>
            <w:vAlign w:val="center"/>
          </w:tcPr>
          <w:p w14:paraId="205B0F66" w14:textId="77777777" w:rsidR="00776A1F" w:rsidRDefault="00776A1F">
            <w:pPr>
              <w:spacing w:after="0" w:line="240" w:lineRule="auto"/>
              <w:rPr>
                <w:rFonts w:ascii="Calibri" w:hAnsi="Calibri" w:cs="Calibri"/>
                <w:noProof/>
                <w:sz w:val="16"/>
              </w:rPr>
            </w:pPr>
          </w:p>
          <w:p w14:paraId="679BDC28" w14:textId="5A459A31" w:rsidR="00776A1F" w:rsidRDefault="00D8574B">
            <w:pPr>
              <w:pStyle w:val="P68B1DB1-Normal8"/>
              <w:jc w:val="center"/>
              <w:rPr>
                <w:rFonts w:cs="Calibri"/>
                <w:noProof/>
              </w:rPr>
            </w:pPr>
            <w:r>
              <w:rPr>
                <w:noProof/>
              </w:rPr>
              <w:t>Grozītie līgumi</w:t>
            </w:r>
          </w:p>
        </w:tc>
        <w:tc>
          <w:tcPr>
            <w:tcW w:w="851" w:type="dxa"/>
            <w:shd w:val="clear" w:color="auto" w:fill="C4EFCE"/>
            <w:noWrap/>
            <w:vAlign w:val="center"/>
          </w:tcPr>
          <w:p w14:paraId="6159C977"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C92B964"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3DEFF08"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0CEA973F" w14:textId="74F5DD87"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tcPr>
          <w:p w14:paraId="1EB90E5A" w14:textId="798D8660" w:rsidR="00776A1F" w:rsidRDefault="00D8574B">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23E3766D" w14:textId="2A2CD04B" w:rsidR="00776A1F" w:rsidRDefault="00D8574B">
            <w:pPr>
              <w:pStyle w:val="P68B1DB1-Normal8"/>
              <w:spacing w:after="0" w:line="240" w:lineRule="auto"/>
              <w:jc w:val="both"/>
              <w:rPr>
                <w:rFonts w:eastAsia="Times New Roman" w:cs="Calibri"/>
                <w:noProof/>
              </w:rPr>
            </w:pPr>
            <w:r>
              <w:rPr>
                <w:noProof/>
              </w:rPr>
              <w:t>Koordinējošā struktūra “EMRP” groza līgumus, kas parakstīti ar visām iestādēm, kuras ir atbildīgas par ANP īstenošanu, lai pievienotu juridisku pienākumu īstenošanas struktūrām veikt krāpšanas riska novērtējumu trīs mēnešu laikā pēc to līgumu grozīšanas un, ja krāpšanas riska novērtējumā ir konstatēti riski, kas nav novērsti esošajās kontrolēs, izstrādāt rīcības plānu, kurā ietvertas papildu kontroles. Šo pienākumu atspoguļo koordinējošās struktūras procedūru rokasgrāmatā. Koordinējošā struktūra arī oficiāli paziņo visām īstenošanas struktūrām tehniskos norādījumus, lai palīdzētu tām veikt krāpšanas riska novērtējumu.</w:t>
            </w:r>
          </w:p>
        </w:tc>
      </w:tr>
      <w:tr w:rsidR="00776A1F" w14:paraId="4F83E9D0" w14:textId="77777777">
        <w:trPr>
          <w:trHeight w:val="1050"/>
          <w:tblHeader/>
        </w:trPr>
        <w:tc>
          <w:tcPr>
            <w:tcW w:w="1135" w:type="dxa"/>
            <w:shd w:val="clear" w:color="auto" w:fill="C4EFCE"/>
            <w:noWrap/>
            <w:vAlign w:val="center"/>
          </w:tcPr>
          <w:p w14:paraId="6AE6A737" w14:textId="1AC80AEF" w:rsidR="00776A1F" w:rsidRDefault="00D8574B">
            <w:pPr>
              <w:pStyle w:val="P68B1DB1-Normal7"/>
              <w:spacing w:after="0" w:line="240" w:lineRule="auto"/>
              <w:jc w:val="center"/>
              <w:rPr>
                <w:rFonts w:eastAsia="Times New Roman" w:cs="Calibri"/>
                <w:noProof/>
              </w:rPr>
            </w:pPr>
            <w:r>
              <w:rPr>
                <w:noProof/>
              </w:rPr>
              <w:t>22.2</w:t>
            </w:r>
          </w:p>
        </w:tc>
        <w:tc>
          <w:tcPr>
            <w:tcW w:w="1276" w:type="dxa"/>
            <w:shd w:val="clear" w:color="auto" w:fill="C4EFCE"/>
            <w:noWrap/>
            <w:vAlign w:val="center"/>
          </w:tcPr>
          <w:p w14:paraId="2DA9EBA8" w14:textId="6B386F7E" w:rsidR="00776A1F" w:rsidRDefault="00D8574B">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AC25D7A" w14:textId="40D4B45C" w:rsidR="00776A1F" w:rsidRDefault="00D8574B">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3D88FC2B" w14:textId="5245F9E7" w:rsidR="00776A1F" w:rsidRDefault="00D8574B">
            <w:pPr>
              <w:pStyle w:val="P68B1DB1-Normal8"/>
              <w:spacing w:after="0" w:line="240" w:lineRule="auto"/>
              <w:jc w:val="center"/>
              <w:rPr>
                <w:rFonts w:eastAsia="Times New Roman" w:cs="Calibri"/>
                <w:noProof/>
              </w:rPr>
            </w:pPr>
            <w:r>
              <w:rPr>
                <w:noProof/>
              </w:rPr>
              <w:t>Dubultas finansēšanas kontrolpārbaužu ieviešana</w:t>
            </w:r>
          </w:p>
        </w:tc>
        <w:tc>
          <w:tcPr>
            <w:tcW w:w="1134" w:type="dxa"/>
            <w:shd w:val="clear" w:color="auto" w:fill="C4EFCE"/>
            <w:noWrap/>
            <w:vAlign w:val="center"/>
          </w:tcPr>
          <w:p w14:paraId="4B3ED836" w14:textId="6F92F713" w:rsidR="00776A1F" w:rsidRDefault="00D8574B">
            <w:pPr>
              <w:pStyle w:val="P68B1DB1-Normal8"/>
              <w:spacing w:after="0" w:line="240" w:lineRule="auto"/>
              <w:jc w:val="center"/>
              <w:rPr>
                <w:rFonts w:eastAsia="Times New Roman" w:cs="Calibri"/>
                <w:noProof/>
              </w:rPr>
            </w:pPr>
            <w:r>
              <w:rPr>
                <w:noProof/>
              </w:rPr>
              <w:t xml:space="preserve">Piemērotu procedūru īstenošana </w:t>
            </w:r>
          </w:p>
        </w:tc>
        <w:tc>
          <w:tcPr>
            <w:tcW w:w="851" w:type="dxa"/>
            <w:shd w:val="clear" w:color="auto" w:fill="C4EFCE"/>
            <w:noWrap/>
            <w:vAlign w:val="center"/>
          </w:tcPr>
          <w:p w14:paraId="44F95A3F" w14:textId="77777777" w:rsidR="00776A1F" w:rsidRDefault="00776A1F">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2D07F96E" w14:textId="77777777" w:rsidR="00776A1F" w:rsidRDefault="00776A1F">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25F8C2EF" w14:textId="77777777" w:rsidR="00776A1F" w:rsidRDefault="00776A1F">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535B19B9" w14:textId="6AAFBEC9" w:rsidR="00776A1F" w:rsidRDefault="00D8574B">
            <w:pPr>
              <w:pStyle w:val="P68B1DB1-Normal8"/>
              <w:spacing w:after="0" w:line="240" w:lineRule="auto"/>
              <w:jc w:val="center"/>
              <w:rPr>
                <w:rFonts w:eastAsia="Times New Roman" w:cs="Calibri"/>
                <w:noProof/>
              </w:rPr>
            </w:pPr>
            <w:r>
              <w:rPr>
                <w:noProof/>
              </w:rPr>
              <w:t>3. CET.</w:t>
            </w:r>
          </w:p>
        </w:tc>
        <w:tc>
          <w:tcPr>
            <w:tcW w:w="708" w:type="dxa"/>
            <w:shd w:val="clear" w:color="auto" w:fill="C4EFCE"/>
            <w:noWrap/>
            <w:vAlign w:val="center"/>
          </w:tcPr>
          <w:p w14:paraId="68F6B24F" w14:textId="4C019A52" w:rsidR="00776A1F" w:rsidRDefault="00D8574B">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02C4B5ED" w14:textId="533404F6" w:rsidR="00776A1F" w:rsidRDefault="00D8574B">
            <w:pPr>
              <w:pStyle w:val="P68B1DB1-Normal8"/>
              <w:spacing w:after="0" w:line="240" w:lineRule="auto"/>
              <w:jc w:val="both"/>
              <w:rPr>
                <w:rFonts w:eastAsia="Times New Roman" w:cs="Calibri"/>
                <w:noProof/>
              </w:rPr>
            </w:pPr>
            <w:r>
              <w:rPr>
                <w:noProof/>
              </w:rPr>
              <w:t>Portugāles iestādes uzlabo un īsteno pienācīgas procedūras, lai samazinātu vai mazinātu dubultas finansēšanas risku, ieviešot efektīvas sistemātiskas kontrolpārbaudes attiecībā uz pieteikumiem iespējamam finansējumam ANM ietvaros un starp ANM un citām Savienības programmām saskaņā ar pareizas finanšu pārvaldības principu.</w:t>
            </w:r>
          </w:p>
        </w:tc>
      </w:tr>
    </w:tbl>
    <w:p w14:paraId="43BA5E3A" w14:textId="40FA9800" w:rsidR="00776A1F" w:rsidRDefault="00776A1F">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776A1F" w:rsidSect="00587917">
          <w:headerReference w:type="even" r:id="rId386"/>
          <w:headerReference w:type="default" r:id="rId387"/>
          <w:footerReference w:type="even" r:id="rId388"/>
          <w:footerReference w:type="default" r:id="rId389"/>
          <w:headerReference w:type="first" r:id="rId390"/>
          <w:footerReference w:type="first" r:id="rId391"/>
          <w:pgSz w:w="16838" w:h="11906" w:orient="landscape"/>
          <w:pgMar w:top="1134" w:right="1134" w:bottom="1134" w:left="1134" w:header="567" w:footer="567" w:gutter="0"/>
          <w:cols w:space="708"/>
          <w:docGrid w:linePitch="360"/>
        </w:sectPr>
      </w:pPr>
    </w:p>
    <w:p w14:paraId="38339004" w14:textId="15E78D3A" w:rsidR="00776A1F" w:rsidRDefault="00D8574B">
      <w:pPr>
        <w:pStyle w:val="P68B1DB1-Normal3"/>
        <w:keepNext/>
        <w:spacing w:before="40" w:after="0" w:line="259" w:lineRule="auto"/>
        <w:ind w:left="130" w:firstLine="720"/>
        <w:jc w:val="both"/>
        <w:outlineLvl w:val="1"/>
        <w:rPr>
          <w:rFonts w:eastAsiaTheme="majorEastAsia" w:cs="Times New Roman"/>
          <w:noProof/>
        </w:rPr>
      </w:pPr>
      <w:r>
        <w:rPr>
          <w:noProof/>
        </w:rPr>
        <w:t>2. Atveseļošanas un noturības plānā aplēstās kopējās izmaksas</w:t>
      </w:r>
    </w:p>
    <w:p w14:paraId="7A12B998" w14:textId="77777777" w:rsidR="00776A1F" w:rsidRDefault="00776A1F">
      <w:pPr>
        <w:jc w:val="both"/>
        <w:rPr>
          <w:rFonts w:ascii="Times New Roman" w:eastAsia="Calibri" w:hAnsi="Times New Roman" w:cs="Times New Roman"/>
          <w:noProof/>
          <w:sz w:val="24"/>
        </w:rPr>
      </w:pPr>
    </w:p>
    <w:p w14:paraId="2D28C8C3" w14:textId="5C177C46" w:rsidR="00776A1F" w:rsidRDefault="00D8574B">
      <w:pPr>
        <w:pStyle w:val="P68B1DB1-Normal4"/>
        <w:spacing w:before="40" w:after="0" w:line="259" w:lineRule="auto"/>
        <w:jc w:val="both"/>
        <w:rPr>
          <w:rFonts w:eastAsia="Calibri" w:cs="Times New Roman"/>
          <w:noProof/>
        </w:rPr>
      </w:pPr>
      <w:r>
        <w:rPr>
          <w:noProof/>
        </w:rPr>
        <w:t>Portugāles atveseļošanas un noturības plāna aplēstās kopējās izmaksas ir 22 215 870 313 EUR.</w:t>
      </w:r>
    </w:p>
    <w:p w14:paraId="10AABC7B" w14:textId="5DB77EB7" w:rsidR="00776A1F" w:rsidRDefault="00D8574B">
      <w:pPr>
        <w:pStyle w:val="P68B1DB1-Normal4"/>
        <w:spacing w:before="40" w:after="0" w:line="259" w:lineRule="auto"/>
        <w:jc w:val="both"/>
        <w:rPr>
          <w:rFonts w:eastAsia="Calibri" w:cs="Times New Roman"/>
          <w:noProof/>
        </w:rPr>
      </w:pPr>
      <w:r>
        <w:rPr>
          <w:noProof/>
        </w:rPr>
        <w:t>REPowerEU nodaļas aplēstās kopējās izmaksas ir 855 400 000 EUR. Konkrētāk, Regulas (ES) 2023/435 21.c panta 3. punkta a) apakšpunktā minēto pasākumu aplēstās kopējās izmaksas ir 0 EUR, savukārt citu REPowerEU nodaļas pasākumu izmaksas ir 855 400 000 EUR.</w:t>
      </w:r>
    </w:p>
    <w:p w14:paraId="1303DF5E" w14:textId="77777777" w:rsidR="00776A1F" w:rsidRDefault="00776A1F">
      <w:pPr>
        <w:keepNext/>
        <w:spacing w:before="40" w:after="0" w:line="259" w:lineRule="auto"/>
        <w:jc w:val="both"/>
        <w:outlineLvl w:val="1"/>
        <w:rPr>
          <w:noProof/>
        </w:rPr>
      </w:pPr>
    </w:p>
    <w:p w14:paraId="515F6B1D" w14:textId="2D642D65" w:rsidR="00776A1F" w:rsidRDefault="00D8574B">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t>2</w:t>
      </w:r>
      <w:r>
        <w:rPr>
          <w:rFonts w:ascii="Times New Roman" w:hAnsi="Times New Roman"/>
          <w:b/>
          <w:smallCaps/>
          <w:noProof/>
          <w:sz w:val="24"/>
        </w:rPr>
        <w:t xml:space="preserve">. IEDAĻA. FINANSIĀLAIS ATBALSTS </w:t>
      </w:r>
    </w:p>
    <w:p w14:paraId="549D205C" w14:textId="77777777" w:rsidR="00776A1F" w:rsidRDefault="00D8574B">
      <w:pPr>
        <w:pStyle w:val="P68B1DB1-Normal3"/>
        <w:keepNext/>
        <w:numPr>
          <w:ilvl w:val="1"/>
          <w:numId w:val="46"/>
        </w:numPr>
        <w:spacing w:before="40" w:after="0" w:line="259" w:lineRule="auto"/>
        <w:jc w:val="both"/>
        <w:outlineLvl w:val="1"/>
        <w:rPr>
          <w:rFonts w:eastAsiaTheme="majorEastAsia" w:cs="Times New Roman"/>
          <w:noProof/>
        </w:rPr>
      </w:pPr>
      <w:r>
        <w:rPr>
          <w:noProof/>
        </w:rPr>
        <w:t xml:space="preserve">Finanšu ieguldījums </w:t>
      </w:r>
    </w:p>
    <w:p w14:paraId="2AEF47AF"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389DCB62" w14:textId="77777777" w:rsidR="00776A1F" w:rsidRDefault="00D8574B">
      <w:pPr>
        <w:pStyle w:val="P68B1DB1-Normal4"/>
        <w:keepNext/>
        <w:spacing w:before="40" w:after="160" w:line="259" w:lineRule="auto"/>
        <w:contextualSpacing/>
        <w:jc w:val="both"/>
        <w:rPr>
          <w:rFonts w:eastAsiaTheme="minorEastAsia" w:cs="Times New Roman"/>
          <w:noProof/>
        </w:rPr>
      </w:pPr>
      <w:r>
        <w:rPr>
          <w:noProof/>
        </w:rPr>
        <w:t>Šā lēmuma 2. panta 2. punktā minētās maksājumu daļas ir šādas:</w:t>
      </w:r>
    </w:p>
    <w:p w14:paraId="18903B08"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70355FDF"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Pirmais maksājuma pieprasījums (neatmaksājams atbalsts): </w:t>
      </w:r>
    </w:p>
    <w:p w14:paraId="4AABD02B"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46EFA30C" w14:textId="77777777">
        <w:trPr>
          <w:trHeight w:val="509"/>
          <w:tblHeader/>
        </w:trPr>
        <w:tc>
          <w:tcPr>
            <w:tcW w:w="1200" w:type="dxa"/>
            <w:vMerge w:val="restart"/>
            <w:shd w:val="clear" w:color="auto" w:fill="BDD7EE"/>
            <w:vAlign w:val="center"/>
            <w:hideMark/>
          </w:tcPr>
          <w:p w14:paraId="3C5DD9AA"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777412A4"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3AFC0D26"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7291301C"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29D8F5D2" w14:textId="77777777">
        <w:trPr>
          <w:trHeight w:val="509"/>
          <w:tblHeader/>
        </w:trPr>
        <w:tc>
          <w:tcPr>
            <w:tcW w:w="1200" w:type="dxa"/>
            <w:vMerge/>
            <w:vAlign w:val="center"/>
            <w:hideMark/>
          </w:tcPr>
          <w:p w14:paraId="724EED61"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58F5A343"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62853973"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2BF9D123" w14:textId="77777777" w:rsidR="00776A1F" w:rsidRDefault="00776A1F">
            <w:pPr>
              <w:spacing w:after="0" w:line="240" w:lineRule="auto"/>
              <w:rPr>
                <w:rFonts w:ascii="Times New Roman" w:eastAsia="Times New Roman" w:hAnsi="Times New Roman" w:cs="Times New Roman"/>
                <w:noProof/>
                <w:sz w:val="20"/>
              </w:rPr>
            </w:pPr>
          </w:p>
        </w:tc>
      </w:tr>
      <w:tr w:rsidR="00776A1F" w14:paraId="6BFB7F1C" w14:textId="77777777">
        <w:trPr>
          <w:trHeight w:val="440"/>
        </w:trPr>
        <w:tc>
          <w:tcPr>
            <w:tcW w:w="1200" w:type="dxa"/>
            <w:shd w:val="clear" w:color="auto" w:fill="C4EFCE"/>
            <w:vAlign w:val="center"/>
            <w:hideMark/>
          </w:tcPr>
          <w:p w14:paraId="035B456C" w14:textId="77777777" w:rsidR="00776A1F" w:rsidRDefault="00D8574B">
            <w:pPr>
              <w:pStyle w:val="P68B1DB1-Normal23"/>
              <w:spacing w:after="0"/>
              <w:jc w:val="center"/>
              <w:rPr>
                <w:noProof/>
              </w:rPr>
            </w:pPr>
            <w:r>
              <w:rPr>
                <w:noProof/>
              </w:rPr>
              <w:t>1.29</w:t>
            </w:r>
          </w:p>
        </w:tc>
        <w:tc>
          <w:tcPr>
            <w:tcW w:w="1760" w:type="dxa"/>
            <w:shd w:val="clear" w:color="auto" w:fill="C4EFCE"/>
            <w:vAlign w:val="center"/>
            <w:hideMark/>
          </w:tcPr>
          <w:p w14:paraId="5F82E253" w14:textId="77777777" w:rsidR="00776A1F" w:rsidRDefault="00D8574B">
            <w:pPr>
              <w:pStyle w:val="P68B1DB1-Normal23"/>
              <w:spacing w:after="0"/>
              <w:jc w:val="center"/>
              <w:rPr>
                <w:noProof/>
              </w:rPr>
            </w:pPr>
            <w:r>
              <w:rPr>
                <w:noProof/>
              </w:rPr>
              <w:t xml:space="preserve">Re-C01-i05-RAM </w:t>
            </w:r>
          </w:p>
        </w:tc>
        <w:tc>
          <w:tcPr>
            <w:tcW w:w="1520" w:type="dxa"/>
            <w:shd w:val="clear" w:color="auto" w:fill="C4EFCE"/>
            <w:vAlign w:val="center"/>
            <w:hideMark/>
          </w:tcPr>
          <w:p w14:paraId="3B317CCB"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748D4E23" w14:textId="77777777" w:rsidR="00776A1F" w:rsidRDefault="00D8574B">
            <w:pPr>
              <w:pStyle w:val="P68B1DB1-Normal23"/>
              <w:spacing w:after="0"/>
              <w:jc w:val="both"/>
              <w:rPr>
                <w:rFonts w:eastAsia="Calibri" w:cs="Calibri"/>
                <w:noProof/>
              </w:rPr>
            </w:pPr>
            <w:r>
              <w:rPr>
                <w:noProof/>
              </w:rPr>
              <w:t>Klasifikācijas sistēmas, funkcionālā profila un lietotāju nosūtījumu sistēmas ieviešana Madeiras integrēto nepārtrauktas aprūpes pakalpojumu reģionālajam modelim</w:t>
            </w:r>
          </w:p>
        </w:tc>
      </w:tr>
      <w:tr w:rsidR="00776A1F" w14:paraId="3069A8FF" w14:textId="77777777">
        <w:trPr>
          <w:trHeight w:val="440"/>
        </w:trPr>
        <w:tc>
          <w:tcPr>
            <w:tcW w:w="1200" w:type="dxa"/>
            <w:shd w:val="clear" w:color="auto" w:fill="C4EFCE"/>
            <w:vAlign w:val="center"/>
            <w:hideMark/>
          </w:tcPr>
          <w:p w14:paraId="2A4852AE" w14:textId="77777777" w:rsidR="00776A1F" w:rsidRDefault="00D8574B">
            <w:pPr>
              <w:pStyle w:val="P68B1DB1-Normal23"/>
              <w:spacing w:after="0"/>
              <w:jc w:val="center"/>
              <w:rPr>
                <w:noProof/>
              </w:rPr>
            </w:pPr>
            <w:r>
              <w:rPr>
                <w:noProof/>
              </w:rPr>
              <w:t>1.4</w:t>
            </w:r>
          </w:p>
        </w:tc>
        <w:tc>
          <w:tcPr>
            <w:tcW w:w="1760" w:type="dxa"/>
            <w:shd w:val="clear" w:color="auto" w:fill="C4EFCE"/>
            <w:vAlign w:val="center"/>
            <w:hideMark/>
          </w:tcPr>
          <w:p w14:paraId="33989A47" w14:textId="77777777" w:rsidR="00776A1F" w:rsidRDefault="00D8574B">
            <w:pPr>
              <w:pStyle w:val="P68B1DB1-Normal23"/>
              <w:spacing w:after="0"/>
              <w:jc w:val="center"/>
              <w:rPr>
                <w:noProof/>
              </w:rPr>
            </w:pPr>
            <w:r>
              <w:rPr>
                <w:noProof/>
              </w:rPr>
              <w:t xml:space="preserve">Re-C01-r02 </w:t>
            </w:r>
          </w:p>
        </w:tc>
        <w:tc>
          <w:tcPr>
            <w:tcW w:w="1520" w:type="dxa"/>
            <w:shd w:val="clear" w:color="auto" w:fill="C4EFCE"/>
            <w:vAlign w:val="center"/>
            <w:hideMark/>
          </w:tcPr>
          <w:p w14:paraId="0063710F"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01F50912" w14:textId="77777777" w:rsidR="00776A1F" w:rsidRDefault="00D8574B">
            <w:pPr>
              <w:pStyle w:val="P68B1DB1-Normal23"/>
              <w:spacing w:after="0"/>
              <w:jc w:val="both"/>
              <w:rPr>
                <w:rFonts w:eastAsia="Calibri" w:cs="Calibri"/>
                <w:noProof/>
              </w:rPr>
            </w:pPr>
            <w:r>
              <w:rPr>
                <w:noProof/>
              </w:rPr>
              <w:t>Stājas spēkā jaunais Dekrētlikums par garīgo veselību, kurā ir noteikti principi garīgās veselības aprūpes pakalpojumu organizēšanai</w:t>
            </w:r>
          </w:p>
        </w:tc>
      </w:tr>
      <w:tr w:rsidR="00776A1F" w14:paraId="2344BBFE" w14:textId="77777777">
        <w:trPr>
          <w:trHeight w:val="440"/>
        </w:trPr>
        <w:tc>
          <w:tcPr>
            <w:tcW w:w="1200" w:type="dxa"/>
            <w:shd w:val="clear" w:color="auto" w:fill="C4EFCE"/>
            <w:vAlign w:val="center"/>
            <w:hideMark/>
          </w:tcPr>
          <w:p w14:paraId="6084FBFD" w14:textId="77777777" w:rsidR="00776A1F" w:rsidRDefault="00D8574B">
            <w:pPr>
              <w:pStyle w:val="P68B1DB1-Normal23"/>
              <w:spacing w:after="0"/>
              <w:jc w:val="center"/>
              <w:rPr>
                <w:noProof/>
              </w:rPr>
            </w:pPr>
            <w:r>
              <w:rPr>
                <w:noProof/>
              </w:rPr>
              <w:t>2.13</w:t>
            </w:r>
          </w:p>
        </w:tc>
        <w:tc>
          <w:tcPr>
            <w:tcW w:w="1760" w:type="dxa"/>
            <w:shd w:val="clear" w:color="auto" w:fill="C4EFCE"/>
            <w:vAlign w:val="center"/>
            <w:hideMark/>
          </w:tcPr>
          <w:p w14:paraId="68C41028" w14:textId="77777777" w:rsidR="00776A1F" w:rsidRDefault="00D8574B">
            <w:pPr>
              <w:pStyle w:val="P68B1DB1-Normal23"/>
              <w:spacing w:after="0"/>
              <w:jc w:val="center"/>
              <w:rPr>
                <w:noProof/>
              </w:rPr>
            </w:pPr>
            <w:r>
              <w:rPr>
                <w:noProof/>
              </w:rPr>
              <w:t xml:space="preserve">Re-C02-i04-RAA </w:t>
            </w:r>
          </w:p>
        </w:tc>
        <w:tc>
          <w:tcPr>
            <w:tcW w:w="1520" w:type="dxa"/>
            <w:shd w:val="clear" w:color="auto" w:fill="C4EFCE"/>
            <w:vAlign w:val="center"/>
            <w:hideMark/>
          </w:tcPr>
          <w:p w14:paraId="44ACBEA0" w14:textId="77777777" w:rsidR="00776A1F" w:rsidRDefault="00D8574B">
            <w:pPr>
              <w:pStyle w:val="P68B1DB1-Normal23"/>
              <w:spacing w:after="0"/>
              <w:jc w:val="center"/>
              <w:rPr>
                <w:noProof/>
              </w:rPr>
            </w:pPr>
            <w:r>
              <w:rPr>
                <w:noProof/>
              </w:rPr>
              <w:t>T</w:t>
            </w:r>
          </w:p>
        </w:tc>
        <w:tc>
          <w:tcPr>
            <w:tcW w:w="5060" w:type="dxa"/>
            <w:shd w:val="clear" w:color="auto" w:fill="C4EFCE"/>
            <w:vAlign w:val="center"/>
            <w:hideMark/>
          </w:tcPr>
          <w:p w14:paraId="3219CFC6" w14:textId="77777777" w:rsidR="00776A1F" w:rsidRDefault="00D8574B">
            <w:pPr>
              <w:pStyle w:val="P68B1DB1-Normal23"/>
              <w:spacing w:after="0"/>
              <w:jc w:val="both"/>
              <w:rPr>
                <w:rFonts w:eastAsia="Calibri" w:cs="Calibri"/>
                <w:noProof/>
              </w:rPr>
            </w:pPr>
            <w:r>
              <w:rPr>
                <w:noProof/>
              </w:rPr>
              <w:t>Intervences pasākumi valsts mājokļu fondā Azoru salu autonomajā reģionā</w:t>
            </w:r>
          </w:p>
        </w:tc>
      </w:tr>
      <w:tr w:rsidR="00776A1F" w14:paraId="3FC1CC3B" w14:textId="77777777">
        <w:trPr>
          <w:trHeight w:val="440"/>
        </w:trPr>
        <w:tc>
          <w:tcPr>
            <w:tcW w:w="1200" w:type="dxa"/>
            <w:shd w:val="clear" w:color="auto" w:fill="C4EFCE"/>
            <w:vAlign w:val="center"/>
            <w:hideMark/>
          </w:tcPr>
          <w:p w14:paraId="1EECC9AE" w14:textId="77777777" w:rsidR="00776A1F" w:rsidRDefault="00D8574B">
            <w:pPr>
              <w:pStyle w:val="P68B1DB1-Normal23"/>
              <w:spacing w:after="0"/>
              <w:jc w:val="center"/>
              <w:rPr>
                <w:noProof/>
              </w:rPr>
            </w:pPr>
            <w:r>
              <w:rPr>
                <w:noProof/>
              </w:rPr>
              <w:t>2.14</w:t>
            </w:r>
          </w:p>
        </w:tc>
        <w:tc>
          <w:tcPr>
            <w:tcW w:w="1760" w:type="dxa"/>
            <w:shd w:val="clear" w:color="auto" w:fill="C4EFCE"/>
            <w:vAlign w:val="center"/>
            <w:hideMark/>
          </w:tcPr>
          <w:p w14:paraId="7D01D9D8" w14:textId="77777777" w:rsidR="00776A1F" w:rsidRDefault="00D8574B">
            <w:pPr>
              <w:pStyle w:val="P68B1DB1-Normal23"/>
              <w:spacing w:after="0"/>
              <w:jc w:val="center"/>
              <w:rPr>
                <w:noProof/>
              </w:rPr>
            </w:pPr>
            <w:r>
              <w:rPr>
                <w:noProof/>
              </w:rPr>
              <w:t xml:space="preserve">Re-C02-i04-RAA </w:t>
            </w:r>
          </w:p>
        </w:tc>
        <w:tc>
          <w:tcPr>
            <w:tcW w:w="1520" w:type="dxa"/>
            <w:shd w:val="clear" w:color="auto" w:fill="C4EFCE"/>
            <w:vAlign w:val="center"/>
            <w:hideMark/>
          </w:tcPr>
          <w:p w14:paraId="4B0F382B" w14:textId="77777777" w:rsidR="00776A1F" w:rsidRDefault="00D8574B">
            <w:pPr>
              <w:pStyle w:val="P68B1DB1-Normal23"/>
              <w:spacing w:after="0"/>
              <w:jc w:val="center"/>
              <w:rPr>
                <w:noProof/>
              </w:rPr>
            </w:pPr>
            <w:r>
              <w:rPr>
                <w:noProof/>
              </w:rPr>
              <w:t>T</w:t>
            </w:r>
          </w:p>
        </w:tc>
        <w:tc>
          <w:tcPr>
            <w:tcW w:w="5060" w:type="dxa"/>
            <w:shd w:val="clear" w:color="auto" w:fill="C4EFCE"/>
            <w:vAlign w:val="center"/>
            <w:hideMark/>
          </w:tcPr>
          <w:p w14:paraId="21EA9779" w14:textId="77777777" w:rsidR="00776A1F" w:rsidRDefault="00D8574B">
            <w:pPr>
              <w:pStyle w:val="P68B1DB1-Normal23"/>
              <w:spacing w:after="0"/>
              <w:jc w:val="both"/>
              <w:rPr>
                <w:rFonts w:eastAsia="Calibri" w:cs="Calibri"/>
                <w:noProof/>
              </w:rPr>
            </w:pPr>
            <w:r>
              <w:rPr>
                <w:noProof/>
              </w:rPr>
              <w:t>Intervences pasākumi Azoru salu autonomā reģiona publisko mājokļu fondā — renovācija</w:t>
            </w:r>
          </w:p>
        </w:tc>
      </w:tr>
      <w:tr w:rsidR="00776A1F" w14:paraId="27E2DD10" w14:textId="77777777">
        <w:trPr>
          <w:trHeight w:val="440"/>
        </w:trPr>
        <w:tc>
          <w:tcPr>
            <w:tcW w:w="1200" w:type="dxa"/>
            <w:shd w:val="clear" w:color="auto" w:fill="C4EFCE"/>
            <w:vAlign w:val="center"/>
            <w:hideMark/>
          </w:tcPr>
          <w:p w14:paraId="08C4D405" w14:textId="77777777" w:rsidR="00776A1F" w:rsidRDefault="00D8574B">
            <w:pPr>
              <w:pStyle w:val="P68B1DB1-Normal23"/>
              <w:spacing w:after="0"/>
              <w:jc w:val="center"/>
              <w:rPr>
                <w:noProof/>
              </w:rPr>
            </w:pPr>
            <w:r>
              <w:rPr>
                <w:noProof/>
              </w:rPr>
              <w:t>2.19</w:t>
            </w:r>
          </w:p>
        </w:tc>
        <w:tc>
          <w:tcPr>
            <w:tcW w:w="1760" w:type="dxa"/>
            <w:shd w:val="clear" w:color="auto" w:fill="C4EFCE"/>
            <w:vAlign w:val="center"/>
            <w:hideMark/>
          </w:tcPr>
          <w:p w14:paraId="02067C77" w14:textId="77777777" w:rsidR="00776A1F" w:rsidRDefault="00D8574B">
            <w:pPr>
              <w:pStyle w:val="P68B1DB1-Normal23"/>
              <w:spacing w:after="0"/>
              <w:jc w:val="center"/>
              <w:rPr>
                <w:noProof/>
              </w:rPr>
            </w:pPr>
            <w:r>
              <w:rPr>
                <w:noProof/>
              </w:rPr>
              <w:t xml:space="preserve">Re-C02-r04 </w:t>
            </w:r>
          </w:p>
        </w:tc>
        <w:tc>
          <w:tcPr>
            <w:tcW w:w="1520" w:type="dxa"/>
            <w:shd w:val="clear" w:color="auto" w:fill="C4EFCE"/>
            <w:vAlign w:val="center"/>
            <w:hideMark/>
          </w:tcPr>
          <w:p w14:paraId="4DE1A0FE"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3EA2037" w14:textId="77777777" w:rsidR="00776A1F" w:rsidRDefault="00D8574B">
            <w:pPr>
              <w:pStyle w:val="P68B1DB1-Normal23"/>
              <w:spacing w:after="0"/>
              <w:jc w:val="both"/>
              <w:rPr>
                <w:rFonts w:eastAsia="Calibri" w:cs="Calibri"/>
                <w:noProof/>
              </w:rPr>
            </w:pPr>
            <w:r>
              <w:rPr>
                <w:noProof/>
              </w:rPr>
              <w:t>Stājas spēkā Dekrētlikums, ar ko apstiprina valsts steidzamā un pagaidu mājokļu plāna tiesisko regulējumu</w:t>
            </w:r>
          </w:p>
        </w:tc>
      </w:tr>
      <w:tr w:rsidR="00776A1F" w14:paraId="1A823EEC" w14:textId="77777777">
        <w:trPr>
          <w:trHeight w:val="440"/>
        </w:trPr>
        <w:tc>
          <w:tcPr>
            <w:tcW w:w="1200" w:type="dxa"/>
            <w:shd w:val="clear" w:color="auto" w:fill="C4EFCE"/>
            <w:vAlign w:val="center"/>
            <w:hideMark/>
          </w:tcPr>
          <w:p w14:paraId="454764B0" w14:textId="77777777" w:rsidR="00776A1F" w:rsidRDefault="00D8574B">
            <w:pPr>
              <w:pStyle w:val="P68B1DB1-Normal23"/>
              <w:spacing w:after="0"/>
              <w:jc w:val="center"/>
              <w:rPr>
                <w:noProof/>
              </w:rPr>
            </w:pPr>
            <w:r>
              <w:rPr>
                <w:noProof/>
              </w:rPr>
              <w:t>3.17</w:t>
            </w:r>
          </w:p>
        </w:tc>
        <w:tc>
          <w:tcPr>
            <w:tcW w:w="1760" w:type="dxa"/>
            <w:shd w:val="clear" w:color="auto" w:fill="C4EFCE"/>
            <w:vAlign w:val="center"/>
            <w:hideMark/>
          </w:tcPr>
          <w:p w14:paraId="5EEE7E6A" w14:textId="77777777" w:rsidR="00776A1F" w:rsidRDefault="00D8574B">
            <w:pPr>
              <w:pStyle w:val="P68B1DB1-Normal23"/>
              <w:spacing w:after="0"/>
              <w:jc w:val="center"/>
              <w:rPr>
                <w:noProof/>
              </w:rPr>
            </w:pPr>
            <w:r>
              <w:rPr>
                <w:noProof/>
              </w:rPr>
              <w:t xml:space="preserve">Re-C03-i05 </w:t>
            </w:r>
          </w:p>
        </w:tc>
        <w:tc>
          <w:tcPr>
            <w:tcW w:w="1520" w:type="dxa"/>
            <w:shd w:val="clear" w:color="auto" w:fill="C4EFCE"/>
            <w:vAlign w:val="center"/>
            <w:hideMark/>
          </w:tcPr>
          <w:p w14:paraId="7E749779"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59E3FD88" w14:textId="77777777" w:rsidR="00776A1F" w:rsidRDefault="00D8574B">
            <w:pPr>
              <w:pStyle w:val="P68B1DB1-Normal23"/>
              <w:spacing w:after="0"/>
              <w:jc w:val="both"/>
              <w:rPr>
                <w:rFonts w:eastAsia="Calibri" w:cs="Calibri"/>
                <w:noProof/>
              </w:rPr>
            </w:pPr>
            <w:r>
              <w:rPr>
                <w:noProof/>
              </w:rPr>
              <w:t>Piedāvājuma “Digitālās infrastruktūras būve piekļūstamībai 360°” publicēšana</w:t>
            </w:r>
          </w:p>
        </w:tc>
      </w:tr>
      <w:tr w:rsidR="00776A1F" w14:paraId="4A7CD219" w14:textId="77777777">
        <w:trPr>
          <w:trHeight w:val="440"/>
        </w:trPr>
        <w:tc>
          <w:tcPr>
            <w:tcW w:w="1200" w:type="dxa"/>
            <w:shd w:val="clear" w:color="auto" w:fill="C4EFCE"/>
            <w:vAlign w:val="center"/>
            <w:hideMark/>
          </w:tcPr>
          <w:p w14:paraId="11B4A886" w14:textId="77777777" w:rsidR="00776A1F" w:rsidRDefault="00D8574B">
            <w:pPr>
              <w:pStyle w:val="P68B1DB1-Normal23"/>
              <w:spacing w:after="0"/>
              <w:jc w:val="center"/>
              <w:rPr>
                <w:noProof/>
              </w:rPr>
            </w:pPr>
            <w:r>
              <w:rPr>
                <w:noProof/>
              </w:rPr>
              <w:t>3.20</w:t>
            </w:r>
          </w:p>
        </w:tc>
        <w:tc>
          <w:tcPr>
            <w:tcW w:w="1760" w:type="dxa"/>
            <w:shd w:val="clear" w:color="auto" w:fill="C4EFCE"/>
            <w:vAlign w:val="center"/>
            <w:hideMark/>
          </w:tcPr>
          <w:p w14:paraId="5AB1C66A" w14:textId="77777777" w:rsidR="00776A1F" w:rsidRDefault="00D8574B">
            <w:pPr>
              <w:pStyle w:val="P68B1DB1-Normal23"/>
              <w:spacing w:after="0"/>
              <w:jc w:val="center"/>
              <w:rPr>
                <w:noProof/>
              </w:rPr>
            </w:pPr>
            <w:r>
              <w:rPr>
                <w:noProof/>
              </w:rPr>
              <w:t xml:space="preserve">Re-C03-r08 </w:t>
            </w:r>
          </w:p>
        </w:tc>
        <w:tc>
          <w:tcPr>
            <w:tcW w:w="1520" w:type="dxa"/>
            <w:shd w:val="clear" w:color="auto" w:fill="C4EFCE"/>
            <w:vAlign w:val="center"/>
            <w:hideMark/>
          </w:tcPr>
          <w:p w14:paraId="7115B103"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834BE7E" w14:textId="77777777" w:rsidR="00776A1F" w:rsidRDefault="00D8574B">
            <w:pPr>
              <w:pStyle w:val="P68B1DB1-Normal23"/>
              <w:spacing w:after="0"/>
              <w:jc w:val="both"/>
              <w:rPr>
                <w:rFonts w:eastAsia="Calibri" w:cs="Calibri"/>
                <w:noProof/>
              </w:rPr>
            </w:pPr>
            <w:r>
              <w:rPr>
                <w:noProof/>
              </w:rPr>
              <w:t>Valsts stratēģijas cīņai pret nabadzību pieņemšana</w:t>
            </w:r>
          </w:p>
        </w:tc>
      </w:tr>
      <w:tr w:rsidR="00776A1F" w14:paraId="1EA1FEC6" w14:textId="77777777">
        <w:trPr>
          <w:trHeight w:val="440"/>
        </w:trPr>
        <w:tc>
          <w:tcPr>
            <w:tcW w:w="1200" w:type="dxa"/>
            <w:shd w:val="clear" w:color="auto" w:fill="C4EFCE"/>
            <w:vAlign w:val="center"/>
            <w:hideMark/>
          </w:tcPr>
          <w:p w14:paraId="3194D942" w14:textId="77777777" w:rsidR="00776A1F" w:rsidRDefault="00D8574B">
            <w:pPr>
              <w:pStyle w:val="P68B1DB1-Normal23"/>
              <w:spacing w:after="0"/>
              <w:jc w:val="center"/>
              <w:rPr>
                <w:noProof/>
              </w:rPr>
            </w:pPr>
            <w:r>
              <w:rPr>
                <w:noProof/>
              </w:rPr>
              <w:t>3.21</w:t>
            </w:r>
          </w:p>
        </w:tc>
        <w:tc>
          <w:tcPr>
            <w:tcW w:w="1760" w:type="dxa"/>
            <w:shd w:val="clear" w:color="auto" w:fill="C4EFCE"/>
            <w:vAlign w:val="center"/>
            <w:hideMark/>
          </w:tcPr>
          <w:p w14:paraId="365F7A17" w14:textId="77777777" w:rsidR="00776A1F" w:rsidRDefault="00D8574B">
            <w:pPr>
              <w:pStyle w:val="P68B1DB1-Normal23"/>
              <w:spacing w:after="0"/>
              <w:jc w:val="center"/>
              <w:rPr>
                <w:noProof/>
              </w:rPr>
            </w:pPr>
            <w:r>
              <w:rPr>
                <w:noProof/>
              </w:rPr>
              <w:t xml:space="preserve">Re-C03-r06 </w:t>
            </w:r>
          </w:p>
        </w:tc>
        <w:tc>
          <w:tcPr>
            <w:tcW w:w="1520" w:type="dxa"/>
            <w:shd w:val="clear" w:color="auto" w:fill="C4EFCE"/>
            <w:vAlign w:val="center"/>
            <w:hideMark/>
          </w:tcPr>
          <w:p w14:paraId="07DB9847"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0E6DA00E" w14:textId="77777777" w:rsidR="00776A1F" w:rsidRDefault="00D8574B">
            <w:pPr>
              <w:pStyle w:val="P68B1DB1-Normal23"/>
              <w:spacing w:after="0"/>
              <w:jc w:val="both"/>
              <w:rPr>
                <w:rFonts w:eastAsia="Calibri" w:cs="Calibri"/>
                <w:noProof/>
              </w:rPr>
            </w:pPr>
            <w:r>
              <w:rPr>
                <w:noProof/>
              </w:rPr>
              <w:t>Valsts stratēģijas personu ar invaliditāti iekļaušanai 2021.–2025. gadam pieņemšana</w:t>
            </w:r>
          </w:p>
        </w:tc>
      </w:tr>
      <w:tr w:rsidR="00776A1F" w14:paraId="35F21874" w14:textId="77777777">
        <w:trPr>
          <w:trHeight w:val="440"/>
        </w:trPr>
        <w:tc>
          <w:tcPr>
            <w:tcW w:w="1200" w:type="dxa"/>
            <w:shd w:val="clear" w:color="auto" w:fill="C4EFCE"/>
            <w:vAlign w:val="center"/>
            <w:hideMark/>
          </w:tcPr>
          <w:p w14:paraId="47B7A28F" w14:textId="77777777" w:rsidR="00776A1F" w:rsidRDefault="00D8574B">
            <w:pPr>
              <w:pStyle w:val="P68B1DB1-Normal23"/>
              <w:spacing w:after="0"/>
              <w:jc w:val="center"/>
              <w:rPr>
                <w:noProof/>
              </w:rPr>
            </w:pPr>
            <w:r>
              <w:rPr>
                <w:noProof/>
              </w:rPr>
              <w:t>3.22</w:t>
            </w:r>
          </w:p>
        </w:tc>
        <w:tc>
          <w:tcPr>
            <w:tcW w:w="1760" w:type="dxa"/>
            <w:shd w:val="clear" w:color="auto" w:fill="C4EFCE"/>
            <w:vAlign w:val="center"/>
            <w:hideMark/>
          </w:tcPr>
          <w:p w14:paraId="6AE41D5D" w14:textId="77777777" w:rsidR="00776A1F" w:rsidRDefault="00D8574B">
            <w:pPr>
              <w:pStyle w:val="P68B1DB1-Normal23"/>
              <w:spacing w:after="0"/>
              <w:jc w:val="center"/>
              <w:rPr>
                <w:noProof/>
              </w:rPr>
            </w:pPr>
            <w:r>
              <w:rPr>
                <w:noProof/>
              </w:rPr>
              <w:t xml:space="preserve">Re-C03-r05 </w:t>
            </w:r>
          </w:p>
        </w:tc>
        <w:tc>
          <w:tcPr>
            <w:tcW w:w="1520" w:type="dxa"/>
            <w:shd w:val="clear" w:color="auto" w:fill="C4EFCE"/>
            <w:vAlign w:val="center"/>
            <w:hideMark/>
          </w:tcPr>
          <w:p w14:paraId="4C477BAF"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D60CF00" w14:textId="77777777" w:rsidR="00776A1F" w:rsidRDefault="00D8574B">
            <w:pPr>
              <w:pStyle w:val="P68B1DB1-Normal23"/>
              <w:spacing w:after="0"/>
              <w:jc w:val="both"/>
              <w:rPr>
                <w:rFonts w:eastAsia="Calibri" w:cs="Calibri"/>
                <w:noProof/>
              </w:rPr>
            </w:pPr>
            <w:r>
              <w:rPr>
                <w:noProof/>
              </w:rPr>
              <w:t>Vienkāršotā sociālā aprīkojuma uzstādīšanas režīma stāšanās spēkā</w:t>
            </w:r>
          </w:p>
        </w:tc>
      </w:tr>
      <w:tr w:rsidR="00776A1F" w14:paraId="4430CD28" w14:textId="77777777">
        <w:trPr>
          <w:trHeight w:val="440"/>
        </w:trPr>
        <w:tc>
          <w:tcPr>
            <w:tcW w:w="1200" w:type="dxa"/>
            <w:shd w:val="clear" w:color="auto" w:fill="C4EFCE"/>
            <w:vAlign w:val="center"/>
            <w:hideMark/>
          </w:tcPr>
          <w:p w14:paraId="23A0F1E2" w14:textId="77777777" w:rsidR="00776A1F" w:rsidRDefault="00D8574B">
            <w:pPr>
              <w:pStyle w:val="P68B1DB1-Normal23"/>
              <w:spacing w:after="0"/>
              <w:jc w:val="center"/>
              <w:rPr>
                <w:noProof/>
              </w:rPr>
            </w:pPr>
            <w:r>
              <w:rPr>
                <w:noProof/>
              </w:rPr>
              <w:t>3.23</w:t>
            </w:r>
          </w:p>
        </w:tc>
        <w:tc>
          <w:tcPr>
            <w:tcW w:w="1760" w:type="dxa"/>
            <w:shd w:val="clear" w:color="auto" w:fill="C4EFCE"/>
            <w:vAlign w:val="center"/>
            <w:hideMark/>
          </w:tcPr>
          <w:p w14:paraId="706C3979" w14:textId="77777777" w:rsidR="00776A1F" w:rsidRDefault="00D8574B">
            <w:pPr>
              <w:pStyle w:val="P68B1DB1-Normal23"/>
              <w:spacing w:after="0"/>
              <w:jc w:val="center"/>
              <w:rPr>
                <w:noProof/>
              </w:rPr>
            </w:pPr>
            <w:r>
              <w:rPr>
                <w:noProof/>
              </w:rPr>
              <w:t xml:space="preserve">Re-C03-r07 </w:t>
            </w:r>
          </w:p>
        </w:tc>
        <w:tc>
          <w:tcPr>
            <w:tcW w:w="1520" w:type="dxa"/>
            <w:shd w:val="clear" w:color="auto" w:fill="C4EFCE"/>
            <w:vAlign w:val="center"/>
            <w:hideMark/>
          </w:tcPr>
          <w:p w14:paraId="02E5D703"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467651E6" w14:textId="77777777" w:rsidR="00776A1F" w:rsidRDefault="00D8574B">
            <w:pPr>
              <w:pStyle w:val="P68B1DB1-Normal23"/>
              <w:spacing w:after="0"/>
              <w:jc w:val="both"/>
              <w:rPr>
                <w:rFonts w:eastAsia="Calibri" w:cs="Calibri"/>
                <w:noProof/>
              </w:rPr>
            </w:pPr>
            <w:r>
              <w:rPr>
                <w:noProof/>
              </w:rPr>
              <w:t>Rīcības plānu apstiprināšana nelabvēlīgā situācijā esošām kopienām Lisabonas un Portu aglomerācijās</w:t>
            </w:r>
          </w:p>
        </w:tc>
      </w:tr>
      <w:tr w:rsidR="00776A1F" w14:paraId="0188275D" w14:textId="77777777">
        <w:trPr>
          <w:trHeight w:val="440"/>
        </w:trPr>
        <w:tc>
          <w:tcPr>
            <w:tcW w:w="1200" w:type="dxa"/>
            <w:shd w:val="clear" w:color="auto" w:fill="C4EFCE"/>
            <w:vAlign w:val="center"/>
            <w:hideMark/>
          </w:tcPr>
          <w:p w14:paraId="1F3B57E4" w14:textId="77777777" w:rsidR="00776A1F" w:rsidRDefault="00D8574B">
            <w:pPr>
              <w:pStyle w:val="P68B1DB1-Normal23"/>
              <w:spacing w:after="0"/>
              <w:jc w:val="center"/>
              <w:rPr>
                <w:noProof/>
              </w:rPr>
            </w:pPr>
            <w:r>
              <w:rPr>
                <w:noProof/>
              </w:rPr>
              <w:t>5.1</w:t>
            </w:r>
          </w:p>
        </w:tc>
        <w:tc>
          <w:tcPr>
            <w:tcW w:w="1760" w:type="dxa"/>
            <w:shd w:val="clear" w:color="auto" w:fill="C4EFCE"/>
            <w:vAlign w:val="center"/>
            <w:hideMark/>
          </w:tcPr>
          <w:p w14:paraId="42A78FEF" w14:textId="77777777" w:rsidR="00776A1F" w:rsidRDefault="00D8574B">
            <w:pPr>
              <w:pStyle w:val="P68B1DB1-Normal23"/>
              <w:spacing w:after="0"/>
              <w:jc w:val="center"/>
              <w:rPr>
                <w:noProof/>
              </w:rPr>
            </w:pPr>
            <w:r>
              <w:rPr>
                <w:noProof/>
              </w:rPr>
              <w:t xml:space="preserve">Re-C05-r09 </w:t>
            </w:r>
          </w:p>
        </w:tc>
        <w:tc>
          <w:tcPr>
            <w:tcW w:w="1520" w:type="dxa"/>
            <w:shd w:val="clear" w:color="auto" w:fill="C4EFCE"/>
            <w:vAlign w:val="center"/>
            <w:hideMark/>
          </w:tcPr>
          <w:p w14:paraId="31498FF4"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E244C18" w14:textId="77777777" w:rsidR="00776A1F" w:rsidRDefault="00D8574B">
            <w:pPr>
              <w:pStyle w:val="P68B1DB1-Normal23"/>
              <w:spacing w:after="0"/>
              <w:jc w:val="both"/>
              <w:rPr>
                <w:rFonts w:eastAsia="Calibri" w:cs="Calibri"/>
                <w:noProof/>
              </w:rPr>
            </w:pPr>
            <w:r>
              <w:rPr>
                <w:noProof/>
              </w:rPr>
              <w:t>Portugāles 2030. gada tehnoloģiskās un uzņēmējdarbības inovācijas stratēģijas pamatnostādņu atjaunināšana</w:t>
            </w:r>
          </w:p>
        </w:tc>
      </w:tr>
      <w:tr w:rsidR="00776A1F" w14:paraId="78C3ED81" w14:textId="77777777">
        <w:trPr>
          <w:trHeight w:val="440"/>
        </w:trPr>
        <w:tc>
          <w:tcPr>
            <w:tcW w:w="1200" w:type="dxa"/>
            <w:shd w:val="clear" w:color="auto" w:fill="C4EFCE"/>
            <w:vAlign w:val="center"/>
            <w:hideMark/>
          </w:tcPr>
          <w:p w14:paraId="5F5ACAF6" w14:textId="77777777" w:rsidR="00776A1F" w:rsidRDefault="00D8574B">
            <w:pPr>
              <w:pStyle w:val="P68B1DB1-Normal23"/>
              <w:spacing w:after="0"/>
              <w:jc w:val="center"/>
              <w:rPr>
                <w:noProof/>
              </w:rPr>
            </w:pPr>
            <w:r>
              <w:rPr>
                <w:noProof/>
              </w:rPr>
              <w:t>5.11</w:t>
            </w:r>
          </w:p>
        </w:tc>
        <w:tc>
          <w:tcPr>
            <w:tcW w:w="1760" w:type="dxa"/>
            <w:shd w:val="clear" w:color="auto" w:fill="C4EFCE"/>
            <w:vAlign w:val="center"/>
            <w:hideMark/>
          </w:tcPr>
          <w:p w14:paraId="392937B4" w14:textId="77777777" w:rsidR="00776A1F" w:rsidRDefault="00D8574B">
            <w:pPr>
              <w:pStyle w:val="P68B1DB1-Normal23"/>
              <w:spacing w:after="0"/>
              <w:jc w:val="center"/>
              <w:rPr>
                <w:noProof/>
              </w:rPr>
            </w:pPr>
            <w:r>
              <w:rPr>
                <w:noProof/>
              </w:rPr>
              <w:t xml:space="preserve">Re-C05-i03 </w:t>
            </w:r>
          </w:p>
        </w:tc>
        <w:tc>
          <w:tcPr>
            <w:tcW w:w="1520" w:type="dxa"/>
            <w:shd w:val="clear" w:color="auto" w:fill="C4EFCE"/>
            <w:vAlign w:val="center"/>
            <w:hideMark/>
          </w:tcPr>
          <w:p w14:paraId="7D4ACEC0"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39EA9E33" w14:textId="77777777" w:rsidR="00776A1F" w:rsidRDefault="00D8574B">
            <w:pPr>
              <w:pStyle w:val="P68B1DB1-Normal23"/>
              <w:spacing w:after="0"/>
              <w:jc w:val="both"/>
              <w:rPr>
                <w:rFonts w:eastAsia="Calibri" w:cs="Calibri"/>
                <w:noProof/>
              </w:rPr>
            </w:pPr>
            <w:r>
              <w:rPr>
                <w:noProof/>
              </w:rPr>
              <w:t>Konkursa procedūra pētniecības un inovācijas projektiem</w:t>
            </w:r>
          </w:p>
        </w:tc>
      </w:tr>
      <w:tr w:rsidR="00776A1F" w14:paraId="1D0B4AB1" w14:textId="77777777">
        <w:trPr>
          <w:trHeight w:val="440"/>
        </w:trPr>
        <w:tc>
          <w:tcPr>
            <w:tcW w:w="1200" w:type="dxa"/>
            <w:shd w:val="clear" w:color="auto" w:fill="C4EFCE"/>
            <w:vAlign w:val="center"/>
            <w:hideMark/>
          </w:tcPr>
          <w:p w14:paraId="0F7B6C0C" w14:textId="77777777" w:rsidR="00776A1F" w:rsidRDefault="00D8574B">
            <w:pPr>
              <w:pStyle w:val="P68B1DB1-Normal23"/>
              <w:spacing w:after="0"/>
              <w:jc w:val="center"/>
              <w:rPr>
                <w:noProof/>
              </w:rPr>
            </w:pPr>
            <w:r>
              <w:rPr>
                <w:noProof/>
              </w:rPr>
              <w:t>5.15</w:t>
            </w:r>
          </w:p>
        </w:tc>
        <w:tc>
          <w:tcPr>
            <w:tcW w:w="1760" w:type="dxa"/>
            <w:shd w:val="clear" w:color="auto" w:fill="C4EFCE"/>
            <w:vAlign w:val="center"/>
            <w:hideMark/>
          </w:tcPr>
          <w:p w14:paraId="0CECB758" w14:textId="77777777" w:rsidR="00776A1F" w:rsidRDefault="00D8574B">
            <w:pPr>
              <w:pStyle w:val="P68B1DB1-Normal23"/>
              <w:spacing w:after="0"/>
              <w:jc w:val="center"/>
              <w:rPr>
                <w:noProof/>
              </w:rPr>
            </w:pPr>
            <w:r>
              <w:rPr>
                <w:noProof/>
              </w:rPr>
              <w:t xml:space="preserve">Re-C05-i04-RAA </w:t>
            </w:r>
          </w:p>
        </w:tc>
        <w:tc>
          <w:tcPr>
            <w:tcW w:w="1520" w:type="dxa"/>
            <w:shd w:val="clear" w:color="auto" w:fill="C4EFCE"/>
            <w:vAlign w:val="center"/>
            <w:hideMark/>
          </w:tcPr>
          <w:p w14:paraId="70425A2C"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3C8A3475" w14:textId="77777777" w:rsidR="00776A1F" w:rsidRDefault="00D8574B">
            <w:pPr>
              <w:pStyle w:val="P68B1DB1-Normal23"/>
              <w:spacing w:after="0"/>
              <w:jc w:val="both"/>
              <w:rPr>
                <w:rFonts w:eastAsia="Calibri" w:cs="Calibri"/>
                <w:noProof/>
              </w:rPr>
            </w:pPr>
            <w:r>
              <w:rPr>
                <w:noProof/>
              </w:rPr>
              <w:t>Regulas par Azoru salu uzņēmumu rekapitalizācijas instrumentu pieņemšana</w:t>
            </w:r>
          </w:p>
        </w:tc>
      </w:tr>
      <w:tr w:rsidR="00776A1F" w14:paraId="176FDD0D" w14:textId="77777777">
        <w:trPr>
          <w:trHeight w:val="440"/>
        </w:trPr>
        <w:tc>
          <w:tcPr>
            <w:tcW w:w="1200" w:type="dxa"/>
            <w:shd w:val="clear" w:color="auto" w:fill="C4EFCE"/>
            <w:vAlign w:val="center"/>
            <w:hideMark/>
          </w:tcPr>
          <w:p w14:paraId="553D2824" w14:textId="77777777" w:rsidR="00776A1F" w:rsidRDefault="00D8574B">
            <w:pPr>
              <w:pStyle w:val="P68B1DB1-Normal23"/>
              <w:spacing w:after="0"/>
              <w:jc w:val="center"/>
              <w:rPr>
                <w:noProof/>
              </w:rPr>
            </w:pPr>
            <w:r>
              <w:rPr>
                <w:noProof/>
              </w:rPr>
              <w:t>5.16</w:t>
            </w:r>
          </w:p>
        </w:tc>
        <w:tc>
          <w:tcPr>
            <w:tcW w:w="1760" w:type="dxa"/>
            <w:shd w:val="clear" w:color="auto" w:fill="C4EFCE"/>
            <w:vAlign w:val="center"/>
            <w:hideMark/>
          </w:tcPr>
          <w:p w14:paraId="2639BDA1" w14:textId="77777777" w:rsidR="00776A1F" w:rsidRDefault="00D8574B">
            <w:pPr>
              <w:pStyle w:val="P68B1DB1-Normal23"/>
              <w:spacing w:after="0"/>
              <w:jc w:val="center"/>
              <w:rPr>
                <w:noProof/>
              </w:rPr>
            </w:pPr>
            <w:r>
              <w:rPr>
                <w:noProof/>
              </w:rPr>
              <w:t xml:space="preserve">Re-C05-i04-RAA </w:t>
            </w:r>
          </w:p>
        </w:tc>
        <w:tc>
          <w:tcPr>
            <w:tcW w:w="1520" w:type="dxa"/>
            <w:shd w:val="clear" w:color="auto" w:fill="C4EFCE"/>
            <w:vAlign w:val="center"/>
            <w:hideMark/>
          </w:tcPr>
          <w:p w14:paraId="102C8715"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746EFF2" w14:textId="77777777" w:rsidR="00776A1F" w:rsidRDefault="00D8574B">
            <w:pPr>
              <w:pStyle w:val="P68B1DB1-Normal23"/>
              <w:spacing w:after="0"/>
              <w:jc w:val="both"/>
              <w:rPr>
                <w:rFonts w:eastAsia="Calibri" w:cs="Calibri"/>
                <w:noProof/>
              </w:rPr>
            </w:pPr>
            <w:r>
              <w:rPr>
                <w:noProof/>
              </w:rPr>
              <w:t>Ieguldījumu politikas pieņemšana uzņēmumu rekapitalizācijas instrumentam Azoru salās</w:t>
            </w:r>
          </w:p>
        </w:tc>
      </w:tr>
      <w:tr w:rsidR="00776A1F" w14:paraId="07EDB729" w14:textId="77777777">
        <w:trPr>
          <w:trHeight w:val="440"/>
        </w:trPr>
        <w:tc>
          <w:tcPr>
            <w:tcW w:w="1200" w:type="dxa"/>
            <w:shd w:val="clear" w:color="auto" w:fill="C4EFCE"/>
            <w:vAlign w:val="center"/>
            <w:hideMark/>
          </w:tcPr>
          <w:p w14:paraId="397FEFCC" w14:textId="77777777" w:rsidR="00776A1F" w:rsidRDefault="00D8574B">
            <w:pPr>
              <w:pStyle w:val="P68B1DB1-Normal23"/>
              <w:spacing w:after="0"/>
              <w:jc w:val="center"/>
              <w:rPr>
                <w:noProof/>
              </w:rPr>
            </w:pPr>
            <w:r>
              <w:rPr>
                <w:noProof/>
              </w:rPr>
              <w:t>5.2</w:t>
            </w:r>
          </w:p>
        </w:tc>
        <w:tc>
          <w:tcPr>
            <w:tcW w:w="1760" w:type="dxa"/>
            <w:shd w:val="clear" w:color="auto" w:fill="C4EFCE"/>
            <w:vAlign w:val="center"/>
            <w:hideMark/>
          </w:tcPr>
          <w:p w14:paraId="7C1F4829" w14:textId="77777777" w:rsidR="00776A1F" w:rsidRDefault="00D8574B">
            <w:pPr>
              <w:pStyle w:val="P68B1DB1-Normal23"/>
              <w:spacing w:after="0"/>
              <w:jc w:val="center"/>
              <w:rPr>
                <w:noProof/>
              </w:rPr>
            </w:pPr>
            <w:r>
              <w:rPr>
                <w:noProof/>
              </w:rPr>
              <w:t xml:space="preserve">Re-C05-r11 </w:t>
            </w:r>
          </w:p>
        </w:tc>
        <w:tc>
          <w:tcPr>
            <w:tcW w:w="1520" w:type="dxa"/>
            <w:shd w:val="clear" w:color="auto" w:fill="C4EFCE"/>
            <w:vAlign w:val="center"/>
            <w:hideMark/>
          </w:tcPr>
          <w:p w14:paraId="5720520B" w14:textId="77777777" w:rsidR="00776A1F" w:rsidRDefault="00D8574B">
            <w:pPr>
              <w:pStyle w:val="P68B1DB1-Normal23"/>
              <w:spacing w:after="0"/>
              <w:jc w:val="center"/>
              <w:rPr>
                <w:noProof/>
              </w:rPr>
            </w:pPr>
            <w:r>
              <w:rPr>
                <w:noProof/>
              </w:rPr>
              <w:t>T</w:t>
            </w:r>
          </w:p>
        </w:tc>
        <w:tc>
          <w:tcPr>
            <w:tcW w:w="5060" w:type="dxa"/>
            <w:shd w:val="clear" w:color="auto" w:fill="C4EFCE"/>
            <w:vAlign w:val="center"/>
            <w:hideMark/>
          </w:tcPr>
          <w:p w14:paraId="0DF8414C" w14:textId="77777777" w:rsidR="00776A1F" w:rsidRDefault="00D8574B">
            <w:pPr>
              <w:pStyle w:val="P68B1DB1-Normal23"/>
              <w:spacing w:after="0"/>
              <w:jc w:val="both"/>
              <w:rPr>
                <w:rFonts w:eastAsia="Calibri" w:cs="Calibri"/>
                <w:noProof/>
              </w:rPr>
            </w:pPr>
            <w:r>
              <w:rPr>
                <w:noProof/>
              </w:rPr>
              <w:t>Atzīto sadarbības laboratoriju tīkla paplašināšana</w:t>
            </w:r>
          </w:p>
        </w:tc>
      </w:tr>
      <w:tr w:rsidR="00776A1F" w14:paraId="5A009809" w14:textId="77777777">
        <w:trPr>
          <w:trHeight w:val="440"/>
        </w:trPr>
        <w:tc>
          <w:tcPr>
            <w:tcW w:w="1200" w:type="dxa"/>
            <w:shd w:val="clear" w:color="auto" w:fill="C4EFCE"/>
            <w:vAlign w:val="center"/>
            <w:hideMark/>
          </w:tcPr>
          <w:p w14:paraId="45985C5D" w14:textId="77777777" w:rsidR="00776A1F" w:rsidRDefault="00D8574B">
            <w:pPr>
              <w:pStyle w:val="P68B1DB1-Normal23"/>
              <w:spacing w:after="0"/>
              <w:jc w:val="center"/>
              <w:rPr>
                <w:noProof/>
              </w:rPr>
            </w:pPr>
            <w:r>
              <w:rPr>
                <w:noProof/>
              </w:rPr>
              <w:t>5.3</w:t>
            </w:r>
          </w:p>
        </w:tc>
        <w:tc>
          <w:tcPr>
            <w:tcW w:w="1760" w:type="dxa"/>
            <w:shd w:val="clear" w:color="auto" w:fill="C4EFCE"/>
            <w:vAlign w:val="center"/>
            <w:hideMark/>
          </w:tcPr>
          <w:p w14:paraId="011C25AB" w14:textId="77777777" w:rsidR="00776A1F" w:rsidRDefault="00D8574B">
            <w:pPr>
              <w:pStyle w:val="P68B1DB1-Normal23"/>
              <w:spacing w:after="0"/>
              <w:jc w:val="center"/>
              <w:rPr>
                <w:noProof/>
              </w:rPr>
            </w:pPr>
            <w:r>
              <w:rPr>
                <w:noProof/>
              </w:rPr>
              <w:t xml:space="preserve">Re-C05-r11 </w:t>
            </w:r>
          </w:p>
        </w:tc>
        <w:tc>
          <w:tcPr>
            <w:tcW w:w="1520" w:type="dxa"/>
            <w:shd w:val="clear" w:color="auto" w:fill="C4EFCE"/>
            <w:vAlign w:val="center"/>
            <w:hideMark/>
          </w:tcPr>
          <w:p w14:paraId="2FDDC858"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A5BACC9" w14:textId="77777777" w:rsidR="00776A1F" w:rsidRDefault="00D8574B">
            <w:pPr>
              <w:pStyle w:val="P68B1DB1-Normal23"/>
              <w:spacing w:after="0"/>
              <w:jc w:val="both"/>
              <w:rPr>
                <w:rFonts w:eastAsia="Calibri" w:cs="Calibri"/>
                <w:noProof/>
              </w:rPr>
            </w:pPr>
            <w:r>
              <w:rPr>
                <w:noProof/>
              </w:rPr>
              <w:t>Jaunā tiesiskā režīma stāšanās spēkā attiecībā uz tehnoloģiju un inovācijas centriem</w:t>
            </w:r>
          </w:p>
        </w:tc>
      </w:tr>
      <w:tr w:rsidR="00776A1F" w14:paraId="19FDD4F0" w14:textId="77777777">
        <w:trPr>
          <w:trHeight w:val="440"/>
        </w:trPr>
        <w:tc>
          <w:tcPr>
            <w:tcW w:w="1200" w:type="dxa"/>
            <w:shd w:val="clear" w:color="auto" w:fill="C4EFCE"/>
            <w:vAlign w:val="center"/>
            <w:hideMark/>
          </w:tcPr>
          <w:p w14:paraId="63D580E9" w14:textId="77777777" w:rsidR="00776A1F" w:rsidRDefault="00D8574B">
            <w:pPr>
              <w:pStyle w:val="P68B1DB1-Normal23"/>
              <w:spacing w:after="0"/>
              <w:jc w:val="center"/>
              <w:rPr>
                <w:noProof/>
              </w:rPr>
            </w:pPr>
            <w:r>
              <w:rPr>
                <w:noProof/>
              </w:rPr>
              <w:t>5.4</w:t>
            </w:r>
          </w:p>
        </w:tc>
        <w:tc>
          <w:tcPr>
            <w:tcW w:w="1760" w:type="dxa"/>
            <w:shd w:val="clear" w:color="auto" w:fill="C4EFCE"/>
            <w:vAlign w:val="center"/>
            <w:hideMark/>
          </w:tcPr>
          <w:p w14:paraId="10BF5D37" w14:textId="77777777" w:rsidR="00776A1F" w:rsidRDefault="00D8574B">
            <w:pPr>
              <w:pStyle w:val="P68B1DB1-Normal23"/>
              <w:spacing w:after="0"/>
              <w:jc w:val="center"/>
              <w:rPr>
                <w:noProof/>
              </w:rPr>
            </w:pPr>
            <w:r>
              <w:rPr>
                <w:noProof/>
              </w:rPr>
              <w:t xml:space="preserve">Re-C05-r12 </w:t>
            </w:r>
          </w:p>
        </w:tc>
        <w:tc>
          <w:tcPr>
            <w:tcW w:w="1520" w:type="dxa"/>
            <w:shd w:val="clear" w:color="auto" w:fill="C4EFCE"/>
            <w:vAlign w:val="center"/>
            <w:hideMark/>
          </w:tcPr>
          <w:p w14:paraId="1867B00B"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5CD95E27" w14:textId="77777777" w:rsidR="00776A1F" w:rsidRDefault="00D8574B">
            <w:pPr>
              <w:pStyle w:val="P68B1DB1-Normal23"/>
              <w:spacing w:after="0"/>
              <w:jc w:val="both"/>
              <w:rPr>
                <w:rFonts w:eastAsia="Calibri" w:cs="Calibri"/>
                <w:noProof/>
              </w:rPr>
            </w:pPr>
            <w:r>
              <w:rPr>
                <w:noProof/>
              </w:rPr>
              <w:t>Inovācijas programmas lauksaimniecībai apstiprināšana</w:t>
            </w:r>
          </w:p>
        </w:tc>
      </w:tr>
      <w:tr w:rsidR="00776A1F" w14:paraId="12F9AFB2" w14:textId="77777777">
        <w:trPr>
          <w:trHeight w:val="440"/>
        </w:trPr>
        <w:tc>
          <w:tcPr>
            <w:tcW w:w="1200" w:type="dxa"/>
            <w:shd w:val="clear" w:color="auto" w:fill="C4EFCE"/>
            <w:vAlign w:val="center"/>
            <w:hideMark/>
          </w:tcPr>
          <w:p w14:paraId="39DEBBB4" w14:textId="77777777" w:rsidR="00776A1F" w:rsidRDefault="00D8574B">
            <w:pPr>
              <w:pStyle w:val="P68B1DB1-Normal23"/>
              <w:spacing w:after="0"/>
              <w:jc w:val="center"/>
              <w:rPr>
                <w:noProof/>
              </w:rPr>
            </w:pPr>
            <w:r>
              <w:rPr>
                <w:noProof/>
              </w:rPr>
              <w:t>6.13</w:t>
            </w:r>
          </w:p>
        </w:tc>
        <w:tc>
          <w:tcPr>
            <w:tcW w:w="1760" w:type="dxa"/>
            <w:shd w:val="clear" w:color="auto" w:fill="C4EFCE"/>
            <w:vAlign w:val="center"/>
            <w:hideMark/>
          </w:tcPr>
          <w:p w14:paraId="30D3AAEE" w14:textId="77777777" w:rsidR="00776A1F" w:rsidRDefault="00D8574B">
            <w:pPr>
              <w:pStyle w:val="P68B1DB1-Normal23"/>
              <w:spacing w:after="0"/>
              <w:jc w:val="center"/>
              <w:rPr>
                <w:noProof/>
              </w:rPr>
            </w:pPr>
            <w:r>
              <w:rPr>
                <w:noProof/>
              </w:rPr>
              <w:t xml:space="preserve">Re-C06-r15 </w:t>
            </w:r>
          </w:p>
        </w:tc>
        <w:tc>
          <w:tcPr>
            <w:tcW w:w="1520" w:type="dxa"/>
            <w:shd w:val="clear" w:color="auto" w:fill="C4EFCE"/>
            <w:vAlign w:val="center"/>
            <w:hideMark/>
          </w:tcPr>
          <w:p w14:paraId="43512B53"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BF7F834" w14:textId="77777777" w:rsidR="00776A1F" w:rsidRDefault="00D8574B">
            <w:pPr>
              <w:pStyle w:val="P68B1DB1-Normal23"/>
              <w:spacing w:after="0"/>
              <w:jc w:val="both"/>
              <w:rPr>
                <w:rFonts w:eastAsia="Calibri" w:cs="Calibri"/>
                <w:noProof/>
              </w:rPr>
            </w:pPr>
            <w:r>
              <w:rPr>
                <w:noProof/>
              </w:rPr>
              <w:t>Stājas spēkā likums, ar ko izveido īpašus konkursus augstākās izglītības iegūšanai</w:t>
            </w:r>
          </w:p>
        </w:tc>
      </w:tr>
      <w:tr w:rsidR="00776A1F" w14:paraId="61C18867" w14:textId="77777777">
        <w:trPr>
          <w:trHeight w:val="440"/>
        </w:trPr>
        <w:tc>
          <w:tcPr>
            <w:tcW w:w="1200" w:type="dxa"/>
            <w:shd w:val="clear" w:color="auto" w:fill="C4EFCE"/>
            <w:vAlign w:val="center"/>
            <w:hideMark/>
          </w:tcPr>
          <w:p w14:paraId="0FD5FA1D" w14:textId="77777777" w:rsidR="00776A1F" w:rsidRDefault="00D8574B">
            <w:pPr>
              <w:pStyle w:val="P68B1DB1-Normal23"/>
              <w:spacing w:after="0"/>
              <w:jc w:val="center"/>
              <w:rPr>
                <w:noProof/>
              </w:rPr>
            </w:pPr>
            <w:r>
              <w:rPr>
                <w:noProof/>
              </w:rPr>
              <w:t>6.14</w:t>
            </w:r>
          </w:p>
        </w:tc>
        <w:tc>
          <w:tcPr>
            <w:tcW w:w="1760" w:type="dxa"/>
            <w:shd w:val="clear" w:color="auto" w:fill="C4EFCE"/>
            <w:vAlign w:val="center"/>
            <w:hideMark/>
          </w:tcPr>
          <w:p w14:paraId="1EE8D1BA" w14:textId="77777777" w:rsidR="00776A1F" w:rsidRDefault="00D8574B">
            <w:pPr>
              <w:pStyle w:val="P68B1DB1-Normal23"/>
              <w:spacing w:after="0"/>
              <w:jc w:val="center"/>
              <w:rPr>
                <w:noProof/>
              </w:rPr>
            </w:pPr>
            <w:r>
              <w:rPr>
                <w:noProof/>
              </w:rPr>
              <w:t xml:space="preserve">Re-C06-r15 </w:t>
            </w:r>
          </w:p>
        </w:tc>
        <w:tc>
          <w:tcPr>
            <w:tcW w:w="1520" w:type="dxa"/>
            <w:shd w:val="clear" w:color="auto" w:fill="C4EFCE"/>
            <w:vAlign w:val="center"/>
            <w:hideMark/>
          </w:tcPr>
          <w:p w14:paraId="64C27FF8"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4B43E2A" w14:textId="77777777" w:rsidR="00776A1F" w:rsidRDefault="00D8574B">
            <w:pPr>
              <w:pStyle w:val="P68B1DB1-Normal23"/>
              <w:spacing w:after="0"/>
              <w:jc w:val="both"/>
              <w:rPr>
                <w:rFonts w:eastAsia="Calibri" w:cs="Calibri"/>
                <w:noProof/>
              </w:rPr>
            </w:pPr>
            <w:r>
              <w:rPr>
                <w:noProof/>
              </w:rPr>
              <w:t>Stājas spēkā jaunais tiesiskais regulējums, kas reglamentē augstākās izglītības iestāžu sadarbību ar valsts pārvaldi un uzņēmumiem</w:t>
            </w:r>
          </w:p>
        </w:tc>
      </w:tr>
      <w:tr w:rsidR="00776A1F" w14:paraId="4A58B578" w14:textId="77777777">
        <w:trPr>
          <w:trHeight w:val="440"/>
        </w:trPr>
        <w:tc>
          <w:tcPr>
            <w:tcW w:w="1200" w:type="dxa"/>
            <w:shd w:val="clear" w:color="auto" w:fill="C4EFCE"/>
            <w:vAlign w:val="center"/>
            <w:hideMark/>
          </w:tcPr>
          <w:p w14:paraId="589ACBA1" w14:textId="77777777" w:rsidR="00776A1F" w:rsidRDefault="00D8574B">
            <w:pPr>
              <w:pStyle w:val="P68B1DB1-Normal23"/>
              <w:spacing w:after="0"/>
              <w:jc w:val="center"/>
              <w:rPr>
                <w:noProof/>
              </w:rPr>
            </w:pPr>
            <w:r>
              <w:rPr>
                <w:noProof/>
              </w:rPr>
              <w:t>7.13</w:t>
            </w:r>
          </w:p>
        </w:tc>
        <w:tc>
          <w:tcPr>
            <w:tcW w:w="1760" w:type="dxa"/>
            <w:shd w:val="clear" w:color="auto" w:fill="C4EFCE"/>
            <w:vAlign w:val="center"/>
            <w:hideMark/>
          </w:tcPr>
          <w:p w14:paraId="4582D520" w14:textId="77777777" w:rsidR="00776A1F" w:rsidRDefault="00D8574B">
            <w:pPr>
              <w:pStyle w:val="P68B1DB1-Normal23"/>
              <w:spacing w:after="0"/>
              <w:jc w:val="center"/>
              <w:rPr>
                <w:noProof/>
              </w:rPr>
            </w:pPr>
            <w:r>
              <w:rPr>
                <w:noProof/>
              </w:rPr>
              <w:t xml:space="preserve">Re-C07-i05-RAA </w:t>
            </w:r>
          </w:p>
        </w:tc>
        <w:tc>
          <w:tcPr>
            <w:tcW w:w="1520" w:type="dxa"/>
            <w:shd w:val="clear" w:color="auto" w:fill="C4EFCE"/>
            <w:vAlign w:val="center"/>
            <w:hideMark/>
          </w:tcPr>
          <w:p w14:paraId="47370D35"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26028944" w14:textId="77777777" w:rsidR="00776A1F" w:rsidRDefault="00D8574B">
            <w:pPr>
              <w:pStyle w:val="P68B1DB1-Normal23"/>
              <w:spacing w:after="0"/>
              <w:jc w:val="both"/>
              <w:rPr>
                <w:rFonts w:eastAsia="Calibri" w:cs="Calibri"/>
                <w:noProof/>
              </w:rPr>
            </w:pPr>
            <w:r>
              <w:rPr>
                <w:noProof/>
              </w:rPr>
              <w:t>Parakstīts līgums par diviem ceļu projektiem</w:t>
            </w:r>
          </w:p>
        </w:tc>
      </w:tr>
      <w:tr w:rsidR="00776A1F" w14:paraId="5A75393F" w14:textId="77777777">
        <w:trPr>
          <w:trHeight w:val="440"/>
        </w:trPr>
        <w:tc>
          <w:tcPr>
            <w:tcW w:w="1200" w:type="dxa"/>
            <w:shd w:val="clear" w:color="auto" w:fill="C4EFCE"/>
            <w:vAlign w:val="center"/>
            <w:hideMark/>
          </w:tcPr>
          <w:p w14:paraId="4836862C" w14:textId="77777777" w:rsidR="00776A1F" w:rsidRDefault="00D8574B">
            <w:pPr>
              <w:pStyle w:val="P68B1DB1-Normal23"/>
              <w:spacing w:after="0"/>
              <w:jc w:val="center"/>
              <w:rPr>
                <w:noProof/>
              </w:rPr>
            </w:pPr>
            <w:r>
              <w:rPr>
                <w:noProof/>
              </w:rPr>
              <w:t>7.4</w:t>
            </w:r>
          </w:p>
        </w:tc>
        <w:tc>
          <w:tcPr>
            <w:tcW w:w="1760" w:type="dxa"/>
            <w:shd w:val="clear" w:color="auto" w:fill="C4EFCE"/>
            <w:vAlign w:val="center"/>
            <w:hideMark/>
          </w:tcPr>
          <w:p w14:paraId="6EC62E0F" w14:textId="77777777" w:rsidR="00776A1F" w:rsidRDefault="00D8574B">
            <w:pPr>
              <w:pStyle w:val="P68B1DB1-Normal23"/>
              <w:spacing w:after="0"/>
              <w:jc w:val="center"/>
              <w:rPr>
                <w:noProof/>
              </w:rPr>
            </w:pPr>
            <w:r>
              <w:rPr>
                <w:noProof/>
              </w:rPr>
              <w:t xml:space="preserve">Re-C07-i01 </w:t>
            </w:r>
          </w:p>
        </w:tc>
        <w:tc>
          <w:tcPr>
            <w:tcW w:w="1520" w:type="dxa"/>
            <w:shd w:val="clear" w:color="auto" w:fill="C4EFCE"/>
            <w:vAlign w:val="center"/>
            <w:hideMark/>
          </w:tcPr>
          <w:p w14:paraId="43E1DAC1"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4A91E7C4" w14:textId="77777777" w:rsidR="00776A1F" w:rsidRDefault="00D8574B">
            <w:pPr>
              <w:pStyle w:val="P68B1DB1-Normal23"/>
              <w:spacing w:after="0"/>
              <w:jc w:val="both"/>
              <w:rPr>
                <w:rFonts w:eastAsia="Calibri" w:cs="Calibri"/>
                <w:noProof/>
              </w:rPr>
            </w:pPr>
            <w:r>
              <w:rPr>
                <w:noProof/>
              </w:rPr>
              <w:t>Uzņēmējdarbības uzņemšanas jomu atlase intervencēm, kuru mērķis ir uzlabot vidisko ilgtspēju un digitalizāciju</w:t>
            </w:r>
          </w:p>
        </w:tc>
      </w:tr>
      <w:tr w:rsidR="00776A1F" w14:paraId="75CC5DDC" w14:textId="77777777">
        <w:trPr>
          <w:trHeight w:val="440"/>
        </w:trPr>
        <w:tc>
          <w:tcPr>
            <w:tcW w:w="1200" w:type="dxa"/>
            <w:shd w:val="clear" w:color="auto" w:fill="C4EFCE"/>
            <w:vAlign w:val="center"/>
            <w:hideMark/>
          </w:tcPr>
          <w:p w14:paraId="5E220711" w14:textId="77777777" w:rsidR="00776A1F" w:rsidRDefault="00D8574B">
            <w:pPr>
              <w:pStyle w:val="P68B1DB1-Normal23"/>
              <w:spacing w:after="0"/>
              <w:jc w:val="center"/>
              <w:rPr>
                <w:noProof/>
              </w:rPr>
            </w:pPr>
            <w:r>
              <w:rPr>
                <w:noProof/>
              </w:rPr>
              <w:t>7.6</w:t>
            </w:r>
          </w:p>
        </w:tc>
        <w:tc>
          <w:tcPr>
            <w:tcW w:w="1760" w:type="dxa"/>
            <w:shd w:val="clear" w:color="auto" w:fill="C4EFCE"/>
            <w:vAlign w:val="center"/>
            <w:hideMark/>
          </w:tcPr>
          <w:p w14:paraId="5A760791" w14:textId="77777777" w:rsidR="00776A1F" w:rsidRDefault="00D8574B">
            <w:pPr>
              <w:pStyle w:val="P68B1DB1-Normal23"/>
              <w:spacing w:after="0"/>
              <w:jc w:val="center"/>
              <w:rPr>
                <w:noProof/>
              </w:rPr>
            </w:pPr>
            <w:r>
              <w:rPr>
                <w:noProof/>
              </w:rPr>
              <w:t xml:space="preserve">Re-C07-i02 </w:t>
            </w:r>
          </w:p>
        </w:tc>
        <w:tc>
          <w:tcPr>
            <w:tcW w:w="1520" w:type="dxa"/>
            <w:shd w:val="clear" w:color="auto" w:fill="C4EFCE"/>
            <w:vAlign w:val="center"/>
            <w:hideMark/>
          </w:tcPr>
          <w:p w14:paraId="7D0D3132"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7E253E1A" w14:textId="77777777" w:rsidR="00776A1F" w:rsidRDefault="00D8574B">
            <w:pPr>
              <w:pStyle w:val="P68B1DB1-Normal23"/>
              <w:spacing w:after="0"/>
              <w:jc w:val="both"/>
              <w:rPr>
                <w:rFonts w:eastAsia="Calibri" w:cs="Calibri"/>
                <w:noProof/>
              </w:rPr>
            </w:pPr>
            <w:r>
              <w:rPr>
                <w:noProof/>
              </w:rPr>
              <w:t>Parakstīts līgums par 1 autoceļa projektu</w:t>
            </w:r>
          </w:p>
        </w:tc>
      </w:tr>
      <w:tr w:rsidR="00776A1F" w14:paraId="5BEA9678" w14:textId="77777777">
        <w:trPr>
          <w:trHeight w:val="440"/>
        </w:trPr>
        <w:tc>
          <w:tcPr>
            <w:tcW w:w="1200" w:type="dxa"/>
            <w:shd w:val="clear" w:color="auto" w:fill="C4EFCE"/>
            <w:vAlign w:val="center"/>
            <w:hideMark/>
          </w:tcPr>
          <w:p w14:paraId="3C39A8D9" w14:textId="77777777" w:rsidR="00776A1F" w:rsidRDefault="00D8574B">
            <w:pPr>
              <w:pStyle w:val="P68B1DB1-Normal23"/>
              <w:spacing w:after="0"/>
              <w:jc w:val="center"/>
              <w:rPr>
                <w:noProof/>
              </w:rPr>
            </w:pPr>
            <w:r>
              <w:rPr>
                <w:noProof/>
              </w:rPr>
              <w:t>8.17</w:t>
            </w:r>
          </w:p>
        </w:tc>
        <w:tc>
          <w:tcPr>
            <w:tcW w:w="1760" w:type="dxa"/>
            <w:shd w:val="clear" w:color="auto" w:fill="C4EFCE"/>
            <w:vAlign w:val="center"/>
            <w:hideMark/>
          </w:tcPr>
          <w:p w14:paraId="0B0F6447" w14:textId="77777777" w:rsidR="00776A1F" w:rsidRDefault="00D8574B">
            <w:pPr>
              <w:pStyle w:val="P68B1DB1-Normal23"/>
              <w:spacing w:after="0"/>
              <w:jc w:val="center"/>
              <w:rPr>
                <w:noProof/>
              </w:rPr>
            </w:pPr>
            <w:r>
              <w:rPr>
                <w:noProof/>
              </w:rPr>
              <w:t xml:space="preserve">Re-C08-r19 </w:t>
            </w:r>
          </w:p>
        </w:tc>
        <w:tc>
          <w:tcPr>
            <w:tcW w:w="1520" w:type="dxa"/>
            <w:shd w:val="clear" w:color="auto" w:fill="C4EFCE"/>
            <w:vAlign w:val="center"/>
            <w:hideMark/>
          </w:tcPr>
          <w:p w14:paraId="6886AA4B"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13FE96C" w14:textId="77777777" w:rsidR="00776A1F" w:rsidRDefault="00D8574B">
            <w:pPr>
              <w:pStyle w:val="P68B1DB1-Normal23"/>
              <w:spacing w:after="0"/>
              <w:jc w:val="both"/>
              <w:rPr>
                <w:rFonts w:eastAsia="Calibri" w:cs="Calibri"/>
                <w:noProof/>
              </w:rPr>
            </w:pPr>
            <w:r>
              <w:rPr>
                <w:noProof/>
              </w:rPr>
              <w:t>Tiesiskais regulējums par lauku zemes obligātu lietošanu mežsaimniecības teritorijās</w:t>
            </w:r>
          </w:p>
        </w:tc>
      </w:tr>
      <w:tr w:rsidR="00776A1F" w14:paraId="5B8ABD10" w14:textId="77777777">
        <w:trPr>
          <w:trHeight w:val="440"/>
        </w:trPr>
        <w:tc>
          <w:tcPr>
            <w:tcW w:w="1200" w:type="dxa"/>
            <w:shd w:val="clear" w:color="auto" w:fill="C4EFCE"/>
            <w:vAlign w:val="center"/>
            <w:hideMark/>
          </w:tcPr>
          <w:p w14:paraId="519B6950" w14:textId="77777777" w:rsidR="00776A1F" w:rsidRDefault="00D8574B">
            <w:pPr>
              <w:pStyle w:val="P68B1DB1-Normal23"/>
              <w:spacing w:after="0"/>
              <w:jc w:val="center"/>
              <w:rPr>
                <w:noProof/>
              </w:rPr>
            </w:pPr>
            <w:r>
              <w:rPr>
                <w:noProof/>
              </w:rPr>
              <w:t>8.19</w:t>
            </w:r>
          </w:p>
        </w:tc>
        <w:tc>
          <w:tcPr>
            <w:tcW w:w="1760" w:type="dxa"/>
            <w:shd w:val="clear" w:color="auto" w:fill="C4EFCE"/>
            <w:vAlign w:val="center"/>
            <w:hideMark/>
          </w:tcPr>
          <w:p w14:paraId="5223F53B" w14:textId="77777777" w:rsidR="00776A1F" w:rsidRDefault="00D8574B">
            <w:pPr>
              <w:pStyle w:val="P68B1DB1-Normal23"/>
              <w:spacing w:after="0"/>
              <w:jc w:val="center"/>
              <w:rPr>
                <w:noProof/>
              </w:rPr>
            </w:pPr>
            <w:r>
              <w:rPr>
                <w:noProof/>
              </w:rPr>
              <w:t xml:space="preserve">Re-C08-r21 </w:t>
            </w:r>
          </w:p>
        </w:tc>
        <w:tc>
          <w:tcPr>
            <w:tcW w:w="1520" w:type="dxa"/>
            <w:shd w:val="clear" w:color="auto" w:fill="C4EFCE"/>
            <w:vAlign w:val="center"/>
            <w:hideMark/>
          </w:tcPr>
          <w:p w14:paraId="4883CA1A"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02ED0FFB" w14:textId="77777777" w:rsidR="00776A1F" w:rsidRDefault="00D8574B">
            <w:pPr>
              <w:pStyle w:val="P68B1DB1-Normal23"/>
              <w:spacing w:after="0"/>
              <w:jc w:val="both"/>
              <w:rPr>
                <w:rFonts w:eastAsia="Calibri" w:cs="Calibri"/>
                <w:noProof/>
              </w:rPr>
            </w:pPr>
            <w:r>
              <w:rPr>
                <w:noProof/>
              </w:rPr>
              <w:t>Likums par lauku ugunsgrēku integrētas pārvaldības sistēmas (SGIFR) izveidi</w:t>
            </w:r>
          </w:p>
        </w:tc>
      </w:tr>
      <w:tr w:rsidR="00776A1F" w14:paraId="7BBE62F1" w14:textId="77777777">
        <w:trPr>
          <w:trHeight w:val="440"/>
        </w:trPr>
        <w:tc>
          <w:tcPr>
            <w:tcW w:w="1200" w:type="dxa"/>
            <w:shd w:val="clear" w:color="auto" w:fill="C4EFCE"/>
            <w:vAlign w:val="center"/>
            <w:hideMark/>
          </w:tcPr>
          <w:p w14:paraId="74840772" w14:textId="77777777" w:rsidR="00776A1F" w:rsidRDefault="00D8574B">
            <w:pPr>
              <w:pStyle w:val="P68B1DB1-Normal23"/>
              <w:spacing w:after="0"/>
              <w:jc w:val="center"/>
              <w:rPr>
                <w:noProof/>
              </w:rPr>
            </w:pPr>
            <w:r>
              <w:rPr>
                <w:noProof/>
              </w:rPr>
              <w:t>10.1</w:t>
            </w:r>
          </w:p>
        </w:tc>
        <w:tc>
          <w:tcPr>
            <w:tcW w:w="1760" w:type="dxa"/>
            <w:shd w:val="clear" w:color="auto" w:fill="C4EFCE"/>
            <w:vAlign w:val="center"/>
            <w:hideMark/>
          </w:tcPr>
          <w:p w14:paraId="081EA232" w14:textId="77777777" w:rsidR="00776A1F" w:rsidRDefault="00D8574B">
            <w:pPr>
              <w:pStyle w:val="P68B1DB1-Normal23"/>
              <w:spacing w:after="0"/>
              <w:jc w:val="center"/>
              <w:rPr>
                <w:noProof/>
              </w:rPr>
            </w:pPr>
            <w:r>
              <w:rPr>
                <w:noProof/>
              </w:rPr>
              <w:t xml:space="preserve">TC-C10-r23 </w:t>
            </w:r>
          </w:p>
        </w:tc>
        <w:tc>
          <w:tcPr>
            <w:tcW w:w="1520" w:type="dxa"/>
            <w:shd w:val="clear" w:color="auto" w:fill="C4EFCE"/>
            <w:vAlign w:val="center"/>
            <w:hideMark/>
          </w:tcPr>
          <w:p w14:paraId="1A40FC5B"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4A1DFEA2" w14:textId="77777777" w:rsidR="00776A1F" w:rsidRDefault="00D8574B">
            <w:pPr>
              <w:pStyle w:val="P68B1DB1-Normal23"/>
              <w:spacing w:after="0"/>
              <w:jc w:val="both"/>
              <w:rPr>
                <w:rFonts w:eastAsia="Calibri" w:cs="Calibri"/>
                <w:noProof/>
              </w:rPr>
            </w:pPr>
            <w:r>
              <w:rPr>
                <w:noProof/>
              </w:rPr>
              <w:t>Stājas spēkā pārskatītie Jūras ministrijas tiesību akti, kas saistīti ar jūras ekonomikas un inovācijas finansēšanas spējas stiprināšanu, izmantojot Zilo fondu</w:t>
            </w:r>
          </w:p>
        </w:tc>
      </w:tr>
      <w:tr w:rsidR="00776A1F" w14:paraId="595FF18B" w14:textId="77777777">
        <w:trPr>
          <w:trHeight w:val="440"/>
        </w:trPr>
        <w:tc>
          <w:tcPr>
            <w:tcW w:w="1200" w:type="dxa"/>
            <w:shd w:val="clear" w:color="auto" w:fill="C4EFCE"/>
            <w:vAlign w:val="center"/>
            <w:hideMark/>
          </w:tcPr>
          <w:p w14:paraId="51E6AC70" w14:textId="77777777" w:rsidR="00776A1F" w:rsidRDefault="00D8574B">
            <w:pPr>
              <w:pStyle w:val="P68B1DB1-Normal23"/>
              <w:spacing w:after="0"/>
              <w:jc w:val="center"/>
              <w:rPr>
                <w:noProof/>
              </w:rPr>
            </w:pPr>
            <w:r>
              <w:rPr>
                <w:noProof/>
              </w:rPr>
              <w:t>11.1</w:t>
            </w:r>
          </w:p>
        </w:tc>
        <w:tc>
          <w:tcPr>
            <w:tcW w:w="1760" w:type="dxa"/>
            <w:shd w:val="clear" w:color="auto" w:fill="C4EFCE"/>
            <w:vAlign w:val="center"/>
            <w:hideMark/>
          </w:tcPr>
          <w:p w14:paraId="19722C51" w14:textId="77777777" w:rsidR="00776A1F" w:rsidRDefault="00D8574B">
            <w:pPr>
              <w:pStyle w:val="P68B1DB1-Normal23"/>
              <w:spacing w:after="0"/>
              <w:jc w:val="center"/>
              <w:rPr>
                <w:noProof/>
              </w:rPr>
            </w:pPr>
            <w:r>
              <w:rPr>
                <w:noProof/>
              </w:rPr>
              <w:t xml:space="preserve">TC-C11-i01 </w:t>
            </w:r>
          </w:p>
        </w:tc>
        <w:tc>
          <w:tcPr>
            <w:tcW w:w="1520" w:type="dxa"/>
            <w:shd w:val="clear" w:color="auto" w:fill="C4EFCE"/>
            <w:vAlign w:val="center"/>
            <w:hideMark/>
          </w:tcPr>
          <w:p w14:paraId="4C1ADAEB"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3D4D4BC1" w14:textId="77777777" w:rsidR="00776A1F" w:rsidRDefault="00D8574B">
            <w:pPr>
              <w:pStyle w:val="P68B1DB1-Normal23"/>
              <w:spacing w:after="0"/>
              <w:jc w:val="both"/>
              <w:rPr>
                <w:rFonts w:eastAsia="Calibri" w:cs="Calibri"/>
                <w:noProof/>
              </w:rPr>
            </w:pPr>
            <w:r>
              <w:rPr>
                <w:noProof/>
              </w:rPr>
              <w:t>Pirmais uzaicinājums iesniegt piedāvājumus par rūpniecības dekarbonizācijas projektiem</w:t>
            </w:r>
          </w:p>
        </w:tc>
      </w:tr>
      <w:tr w:rsidR="00776A1F" w14:paraId="31460A21" w14:textId="77777777">
        <w:trPr>
          <w:trHeight w:val="440"/>
        </w:trPr>
        <w:tc>
          <w:tcPr>
            <w:tcW w:w="1200" w:type="dxa"/>
            <w:shd w:val="clear" w:color="auto" w:fill="C4EFCE"/>
            <w:vAlign w:val="center"/>
            <w:hideMark/>
          </w:tcPr>
          <w:p w14:paraId="50C257CF" w14:textId="77777777" w:rsidR="00776A1F" w:rsidRDefault="00D8574B">
            <w:pPr>
              <w:pStyle w:val="P68B1DB1-Normal23"/>
              <w:spacing w:after="0"/>
              <w:jc w:val="center"/>
              <w:rPr>
                <w:noProof/>
              </w:rPr>
            </w:pPr>
            <w:r>
              <w:rPr>
                <w:noProof/>
              </w:rPr>
              <w:t>12.1</w:t>
            </w:r>
          </w:p>
        </w:tc>
        <w:tc>
          <w:tcPr>
            <w:tcW w:w="1760" w:type="dxa"/>
            <w:shd w:val="clear" w:color="auto" w:fill="C4EFCE"/>
            <w:vAlign w:val="center"/>
            <w:hideMark/>
          </w:tcPr>
          <w:p w14:paraId="4AAF72C5" w14:textId="77777777" w:rsidR="00776A1F" w:rsidRDefault="00D8574B">
            <w:pPr>
              <w:pStyle w:val="P68B1DB1-Normal23"/>
              <w:spacing w:after="0"/>
              <w:jc w:val="center"/>
              <w:rPr>
                <w:noProof/>
              </w:rPr>
            </w:pPr>
            <w:r>
              <w:rPr>
                <w:noProof/>
              </w:rPr>
              <w:t xml:space="preserve">TC-C12-i01 </w:t>
            </w:r>
          </w:p>
        </w:tc>
        <w:tc>
          <w:tcPr>
            <w:tcW w:w="1520" w:type="dxa"/>
            <w:shd w:val="clear" w:color="auto" w:fill="C4EFCE"/>
            <w:vAlign w:val="center"/>
            <w:hideMark/>
          </w:tcPr>
          <w:p w14:paraId="47D2CFD9"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7D7CA154" w14:textId="77777777" w:rsidR="00776A1F" w:rsidRDefault="00D8574B">
            <w:pPr>
              <w:pStyle w:val="P68B1DB1-Normal23"/>
              <w:spacing w:after="0"/>
              <w:jc w:val="both"/>
              <w:rPr>
                <w:rFonts w:eastAsia="Calibri" w:cs="Calibri"/>
                <w:noProof/>
              </w:rPr>
            </w:pPr>
            <w:r>
              <w:rPr>
                <w:noProof/>
              </w:rPr>
              <w:t>Programmas “Resineiros Vigilantes” 2021. gada protokola parakstīšana</w:t>
            </w:r>
          </w:p>
        </w:tc>
      </w:tr>
      <w:tr w:rsidR="00776A1F" w14:paraId="64499990" w14:textId="77777777">
        <w:trPr>
          <w:trHeight w:val="440"/>
        </w:trPr>
        <w:tc>
          <w:tcPr>
            <w:tcW w:w="1200" w:type="dxa"/>
            <w:shd w:val="clear" w:color="auto" w:fill="C4EFCE"/>
            <w:vAlign w:val="center"/>
            <w:hideMark/>
          </w:tcPr>
          <w:p w14:paraId="66FF5C24" w14:textId="77777777" w:rsidR="00776A1F" w:rsidRDefault="00D8574B">
            <w:pPr>
              <w:pStyle w:val="P68B1DB1-Normal23"/>
              <w:spacing w:after="0"/>
              <w:jc w:val="center"/>
              <w:rPr>
                <w:noProof/>
              </w:rPr>
            </w:pPr>
            <w:r>
              <w:rPr>
                <w:noProof/>
              </w:rPr>
              <w:t>12.5</w:t>
            </w:r>
          </w:p>
        </w:tc>
        <w:tc>
          <w:tcPr>
            <w:tcW w:w="1760" w:type="dxa"/>
            <w:shd w:val="clear" w:color="auto" w:fill="C4EFCE"/>
            <w:vAlign w:val="center"/>
            <w:hideMark/>
          </w:tcPr>
          <w:p w14:paraId="6D7ECE35" w14:textId="77777777" w:rsidR="00776A1F" w:rsidRDefault="00D8574B">
            <w:pPr>
              <w:pStyle w:val="P68B1DB1-Normal23"/>
              <w:spacing w:after="0"/>
              <w:jc w:val="center"/>
              <w:rPr>
                <w:noProof/>
              </w:rPr>
            </w:pPr>
            <w:r>
              <w:rPr>
                <w:noProof/>
              </w:rPr>
              <w:t xml:space="preserve">TC-C12-r25 </w:t>
            </w:r>
          </w:p>
        </w:tc>
        <w:tc>
          <w:tcPr>
            <w:tcW w:w="1520" w:type="dxa"/>
            <w:shd w:val="clear" w:color="auto" w:fill="C4EFCE"/>
            <w:vAlign w:val="center"/>
            <w:hideMark/>
          </w:tcPr>
          <w:p w14:paraId="34B9AE22"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525A10F6" w14:textId="77777777" w:rsidR="00776A1F" w:rsidRDefault="00D8574B">
            <w:pPr>
              <w:pStyle w:val="P68B1DB1-Normal23"/>
              <w:spacing w:after="0"/>
              <w:jc w:val="both"/>
              <w:rPr>
                <w:rFonts w:eastAsia="Calibri" w:cs="Calibri"/>
                <w:noProof/>
              </w:rPr>
            </w:pPr>
            <w:r>
              <w:rPr>
                <w:noProof/>
              </w:rPr>
              <w:t>Jaunā vispārējā atkritumu apsaimniekošanas režīma stāšanās spēkā</w:t>
            </w:r>
          </w:p>
        </w:tc>
      </w:tr>
      <w:tr w:rsidR="00776A1F" w14:paraId="3629E8EE" w14:textId="77777777">
        <w:trPr>
          <w:trHeight w:val="440"/>
        </w:trPr>
        <w:tc>
          <w:tcPr>
            <w:tcW w:w="1200" w:type="dxa"/>
            <w:shd w:val="clear" w:color="auto" w:fill="C4EFCE"/>
            <w:vAlign w:val="center"/>
            <w:hideMark/>
          </w:tcPr>
          <w:p w14:paraId="76950E3D" w14:textId="77777777" w:rsidR="00776A1F" w:rsidRDefault="00D8574B">
            <w:pPr>
              <w:pStyle w:val="P68B1DB1-Normal23"/>
              <w:spacing w:after="0"/>
              <w:jc w:val="center"/>
              <w:rPr>
                <w:noProof/>
              </w:rPr>
            </w:pPr>
            <w:r>
              <w:rPr>
                <w:noProof/>
              </w:rPr>
              <w:t>14.1</w:t>
            </w:r>
          </w:p>
        </w:tc>
        <w:tc>
          <w:tcPr>
            <w:tcW w:w="1760" w:type="dxa"/>
            <w:shd w:val="clear" w:color="auto" w:fill="C4EFCE"/>
            <w:vAlign w:val="center"/>
            <w:hideMark/>
          </w:tcPr>
          <w:p w14:paraId="4F502DB3" w14:textId="77777777" w:rsidR="00776A1F" w:rsidRDefault="00D8574B">
            <w:pPr>
              <w:pStyle w:val="P68B1DB1-Normal23"/>
              <w:spacing w:after="0"/>
              <w:jc w:val="center"/>
              <w:rPr>
                <w:noProof/>
              </w:rPr>
            </w:pPr>
            <w:r>
              <w:rPr>
                <w:noProof/>
              </w:rPr>
              <w:t xml:space="preserve">TC-C14-r29 </w:t>
            </w:r>
          </w:p>
        </w:tc>
        <w:tc>
          <w:tcPr>
            <w:tcW w:w="1520" w:type="dxa"/>
            <w:shd w:val="clear" w:color="auto" w:fill="C4EFCE"/>
            <w:vAlign w:val="center"/>
            <w:hideMark/>
          </w:tcPr>
          <w:p w14:paraId="51F60976"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6D5E11C" w14:textId="77777777" w:rsidR="00776A1F" w:rsidRDefault="00D8574B">
            <w:pPr>
              <w:pStyle w:val="P68B1DB1-Normal23"/>
              <w:spacing w:after="0"/>
              <w:jc w:val="both"/>
              <w:rPr>
                <w:rFonts w:eastAsia="Calibri" w:cs="Calibri"/>
                <w:noProof/>
              </w:rPr>
            </w:pPr>
            <w:r>
              <w:rPr>
                <w:noProof/>
              </w:rPr>
              <w:t>Valsts gāzes pārvades tīkla regulas un Valsts gāzes sadales tīkla regulas stāšanās spēkā</w:t>
            </w:r>
          </w:p>
        </w:tc>
      </w:tr>
      <w:tr w:rsidR="00776A1F" w14:paraId="10966324" w14:textId="77777777">
        <w:trPr>
          <w:trHeight w:val="440"/>
        </w:trPr>
        <w:tc>
          <w:tcPr>
            <w:tcW w:w="1200" w:type="dxa"/>
            <w:shd w:val="clear" w:color="auto" w:fill="C4EFCE"/>
            <w:vAlign w:val="center"/>
            <w:hideMark/>
          </w:tcPr>
          <w:p w14:paraId="00D9D2AC" w14:textId="77777777" w:rsidR="00776A1F" w:rsidRDefault="00D8574B">
            <w:pPr>
              <w:pStyle w:val="P68B1DB1-Normal23"/>
              <w:spacing w:after="0"/>
              <w:jc w:val="center"/>
              <w:rPr>
                <w:noProof/>
              </w:rPr>
            </w:pPr>
            <w:r>
              <w:rPr>
                <w:noProof/>
              </w:rPr>
              <w:t>14.2</w:t>
            </w:r>
          </w:p>
        </w:tc>
        <w:tc>
          <w:tcPr>
            <w:tcW w:w="1760" w:type="dxa"/>
            <w:shd w:val="clear" w:color="auto" w:fill="C4EFCE"/>
            <w:vAlign w:val="center"/>
            <w:hideMark/>
          </w:tcPr>
          <w:p w14:paraId="3F73CCA7" w14:textId="77777777" w:rsidR="00776A1F" w:rsidRDefault="00D8574B">
            <w:pPr>
              <w:pStyle w:val="P68B1DB1-Normal23"/>
              <w:spacing w:after="0"/>
              <w:jc w:val="center"/>
              <w:rPr>
                <w:noProof/>
              </w:rPr>
            </w:pPr>
            <w:r>
              <w:rPr>
                <w:noProof/>
              </w:rPr>
              <w:t xml:space="preserve">TC-C14-i01 </w:t>
            </w:r>
          </w:p>
        </w:tc>
        <w:tc>
          <w:tcPr>
            <w:tcW w:w="1520" w:type="dxa"/>
            <w:shd w:val="clear" w:color="auto" w:fill="C4EFCE"/>
            <w:vAlign w:val="center"/>
            <w:hideMark/>
          </w:tcPr>
          <w:p w14:paraId="587EF70A"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9D80DCE" w14:textId="77777777" w:rsidR="00776A1F" w:rsidRDefault="00D8574B">
            <w:pPr>
              <w:pStyle w:val="P68B1DB1-Normal23"/>
              <w:spacing w:after="0"/>
              <w:jc w:val="both"/>
              <w:rPr>
                <w:rFonts w:eastAsia="Calibri" w:cs="Calibri"/>
                <w:noProof/>
              </w:rPr>
            </w:pPr>
            <w:r>
              <w:rPr>
                <w:noProof/>
              </w:rPr>
              <w:t>Pirmais uzaicinājums iesniegt piedāvājumus atjaunojamās gāzes ražošanas projektiem</w:t>
            </w:r>
          </w:p>
        </w:tc>
      </w:tr>
      <w:tr w:rsidR="00776A1F" w14:paraId="757BF45A" w14:textId="77777777">
        <w:trPr>
          <w:trHeight w:val="440"/>
        </w:trPr>
        <w:tc>
          <w:tcPr>
            <w:tcW w:w="1200" w:type="dxa"/>
            <w:shd w:val="clear" w:color="auto" w:fill="C4EFCE"/>
            <w:vAlign w:val="center"/>
            <w:hideMark/>
          </w:tcPr>
          <w:p w14:paraId="7466249B" w14:textId="77777777" w:rsidR="00776A1F" w:rsidRDefault="00D8574B">
            <w:pPr>
              <w:pStyle w:val="P68B1DB1-Normal23"/>
              <w:spacing w:after="0"/>
              <w:jc w:val="center"/>
              <w:rPr>
                <w:noProof/>
              </w:rPr>
            </w:pPr>
            <w:r>
              <w:rPr>
                <w:noProof/>
              </w:rPr>
              <w:t>16.13</w:t>
            </w:r>
          </w:p>
        </w:tc>
        <w:tc>
          <w:tcPr>
            <w:tcW w:w="1760" w:type="dxa"/>
            <w:shd w:val="clear" w:color="auto" w:fill="C4EFCE"/>
            <w:vAlign w:val="center"/>
            <w:hideMark/>
          </w:tcPr>
          <w:p w14:paraId="0D9747EC" w14:textId="77777777" w:rsidR="00776A1F" w:rsidRDefault="00D8574B">
            <w:pPr>
              <w:pStyle w:val="P68B1DB1-Normal23"/>
              <w:spacing w:after="0"/>
              <w:jc w:val="center"/>
              <w:rPr>
                <w:noProof/>
              </w:rPr>
            </w:pPr>
            <w:r>
              <w:rPr>
                <w:noProof/>
              </w:rPr>
              <w:t xml:space="preserve">TD-C16-i03 </w:t>
            </w:r>
          </w:p>
        </w:tc>
        <w:tc>
          <w:tcPr>
            <w:tcW w:w="1520" w:type="dxa"/>
            <w:shd w:val="clear" w:color="auto" w:fill="C4EFCE"/>
            <w:vAlign w:val="center"/>
            <w:hideMark/>
          </w:tcPr>
          <w:p w14:paraId="7FAED4B7" w14:textId="77777777" w:rsidR="00776A1F" w:rsidRDefault="00D8574B">
            <w:pPr>
              <w:pStyle w:val="P68B1DB1-Normal23"/>
              <w:spacing w:after="0"/>
              <w:jc w:val="center"/>
              <w:rPr>
                <w:noProof/>
              </w:rPr>
            </w:pPr>
            <w:r>
              <w:rPr>
                <w:noProof/>
              </w:rPr>
              <w:t>T</w:t>
            </w:r>
          </w:p>
        </w:tc>
        <w:tc>
          <w:tcPr>
            <w:tcW w:w="5060" w:type="dxa"/>
            <w:shd w:val="clear" w:color="auto" w:fill="C4EFCE"/>
            <w:vAlign w:val="center"/>
            <w:hideMark/>
          </w:tcPr>
          <w:p w14:paraId="71236238" w14:textId="77777777" w:rsidR="00776A1F" w:rsidRDefault="00D8574B">
            <w:pPr>
              <w:pStyle w:val="P68B1DB1-Normal23"/>
              <w:spacing w:after="0"/>
              <w:jc w:val="both"/>
              <w:rPr>
                <w:rFonts w:eastAsia="Calibri" w:cs="Calibri"/>
                <w:noProof/>
              </w:rPr>
            </w:pPr>
            <w:r>
              <w:rPr>
                <w:noProof/>
              </w:rPr>
              <w:t>Digitālās inovācijas centri (DIH)</w:t>
            </w:r>
          </w:p>
        </w:tc>
      </w:tr>
      <w:tr w:rsidR="00776A1F" w14:paraId="52D708E9" w14:textId="77777777">
        <w:trPr>
          <w:trHeight w:val="440"/>
        </w:trPr>
        <w:tc>
          <w:tcPr>
            <w:tcW w:w="1200" w:type="dxa"/>
            <w:shd w:val="clear" w:color="auto" w:fill="C4EFCE"/>
            <w:vAlign w:val="center"/>
            <w:hideMark/>
          </w:tcPr>
          <w:p w14:paraId="2F5A2432" w14:textId="77777777" w:rsidR="00776A1F" w:rsidRDefault="00D8574B">
            <w:pPr>
              <w:pStyle w:val="P68B1DB1-Normal23"/>
              <w:spacing w:after="0"/>
              <w:jc w:val="center"/>
              <w:rPr>
                <w:noProof/>
              </w:rPr>
            </w:pPr>
            <w:r>
              <w:rPr>
                <w:noProof/>
              </w:rPr>
              <w:t>17.6</w:t>
            </w:r>
          </w:p>
        </w:tc>
        <w:tc>
          <w:tcPr>
            <w:tcW w:w="1760" w:type="dxa"/>
            <w:shd w:val="clear" w:color="auto" w:fill="C4EFCE"/>
            <w:vAlign w:val="center"/>
            <w:hideMark/>
          </w:tcPr>
          <w:p w14:paraId="302B639D" w14:textId="77777777" w:rsidR="00776A1F" w:rsidRDefault="00D8574B">
            <w:pPr>
              <w:pStyle w:val="P68B1DB1-Normal23"/>
              <w:spacing w:after="0"/>
              <w:jc w:val="center"/>
              <w:rPr>
                <w:noProof/>
              </w:rPr>
            </w:pPr>
            <w:r>
              <w:rPr>
                <w:noProof/>
              </w:rPr>
              <w:t xml:space="preserve">TD-C17-r32 </w:t>
            </w:r>
          </w:p>
        </w:tc>
        <w:tc>
          <w:tcPr>
            <w:tcW w:w="1520" w:type="dxa"/>
            <w:shd w:val="clear" w:color="auto" w:fill="C4EFCE"/>
            <w:vAlign w:val="center"/>
            <w:hideMark/>
          </w:tcPr>
          <w:p w14:paraId="0B994286"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199C2E8" w14:textId="77777777" w:rsidR="00776A1F" w:rsidRDefault="00D8574B">
            <w:pPr>
              <w:pStyle w:val="P68B1DB1-Normal23"/>
              <w:spacing w:after="0"/>
              <w:jc w:val="both"/>
              <w:rPr>
                <w:rFonts w:eastAsia="Calibri" w:cs="Calibri"/>
                <w:noProof/>
              </w:rPr>
            </w:pPr>
            <w:r>
              <w:rPr>
                <w:noProof/>
              </w:rPr>
              <w:t>Stājas spēkā jaunā pārvaldības līguma veidne saskaņā ar jauno stimulu/sankciju sistēmu valsts uzņēmumu pārvaldībai</w:t>
            </w:r>
          </w:p>
        </w:tc>
      </w:tr>
      <w:tr w:rsidR="00776A1F" w14:paraId="5F2EFFB2" w14:textId="77777777">
        <w:trPr>
          <w:trHeight w:val="440"/>
        </w:trPr>
        <w:tc>
          <w:tcPr>
            <w:tcW w:w="1200" w:type="dxa"/>
            <w:shd w:val="clear" w:color="auto" w:fill="C4EFCE"/>
            <w:vAlign w:val="center"/>
            <w:hideMark/>
          </w:tcPr>
          <w:p w14:paraId="1E7DA930" w14:textId="77777777" w:rsidR="00776A1F" w:rsidRDefault="00D8574B">
            <w:pPr>
              <w:pStyle w:val="P68B1DB1-Normal23"/>
              <w:spacing w:after="0"/>
              <w:jc w:val="center"/>
              <w:rPr>
                <w:noProof/>
              </w:rPr>
            </w:pPr>
            <w:r>
              <w:rPr>
                <w:noProof/>
              </w:rPr>
              <w:t>19.22</w:t>
            </w:r>
          </w:p>
        </w:tc>
        <w:tc>
          <w:tcPr>
            <w:tcW w:w="1760" w:type="dxa"/>
            <w:shd w:val="clear" w:color="auto" w:fill="C4EFCE"/>
            <w:vAlign w:val="center"/>
            <w:hideMark/>
          </w:tcPr>
          <w:p w14:paraId="55D06868" w14:textId="77777777" w:rsidR="00776A1F" w:rsidRDefault="00D8574B">
            <w:pPr>
              <w:pStyle w:val="P68B1DB1-Normal23"/>
              <w:spacing w:after="0"/>
              <w:jc w:val="center"/>
              <w:rPr>
                <w:noProof/>
              </w:rPr>
            </w:pPr>
            <w:r>
              <w:rPr>
                <w:noProof/>
              </w:rPr>
              <w:t xml:space="preserve">TD-C19-r34 </w:t>
            </w:r>
          </w:p>
        </w:tc>
        <w:tc>
          <w:tcPr>
            <w:tcW w:w="1520" w:type="dxa"/>
            <w:shd w:val="clear" w:color="auto" w:fill="C4EFCE"/>
            <w:vAlign w:val="center"/>
            <w:hideMark/>
          </w:tcPr>
          <w:p w14:paraId="3742530B"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0678B11B" w14:textId="77777777" w:rsidR="00776A1F" w:rsidRDefault="00D8574B">
            <w:pPr>
              <w:pStyle w:val="P68B1DB1-Normal23"/>
              <w:spacing w:after="0"/>
              <w:jc w:val="both"/>
              <w:rPr>
                <w:rFonts w:eastAsia="Calibri" w:cs="Calibri"/>
                <w:noProof/>
              </w:rPr>
            </w:pPr>
            <w:r>
              <w:rPr>
                <w:noProof/>
              </w:rPr>
              <w:t>Valsts pārvaldes digitālās pārveides tiesiskā regulējuma stāšanās spēkā</w:t>
            </w:r>
          </w:p>
        </w:tc>
      </w:tr>
      <w:tr w:rsidR="00776A1F" w14:paraId="6872084D" w14:textId="77777777">
        <w:trPr>
          <w:trHeight w:val="440"/>
        </w:trPr>
        <w:tc>
          <w:tcPr>
            <w:tcW w:w="1200" w:type="dxa"/>
            <w:shd w:val="clear" w:color="auto" w:fill="C4EFCE"/>
            <w:vAlign w:val="center"/>
            <w:hideMark/>
          </w:tcPr>
          <w:p w14:paraId="291433EB" w14:textId="77777777" w:rsidR="00776A1F" w:rsidRDefault="00D8574B">
            <w:pPr>
              <w:pStyle w:val="P68B1DB1-Normal23"/>
              <w:spacing w:after="0"/>
              <w:jc w:val="center"/>
              <w:rPr>
                <w:noProof/>
              </w:rPr>
            </w:pPr>
            <w:r>
              <w:rPr>
                <w:noProof/>
              </w:rPr>
              <w:t>19.24</w:t>
            </w:r>
          </w:p>
        </w:tc>
        <w:tc>
          <w:tcPr>
            <w:tcW w:w="1760" w:type="dxa"/>
            <w:shd w:val="clear" w:color="auto" w:fill="C4EFCE"/>
            <w:vAlign w:val="center"/>
            <w:hideMark/>
          </w:tcPr>
          <w:p w14:paraId="07189990" w14:textId="77777777" w:rsidR="00776A1F" w:rsidRDefault="00D8574B">
            <w:pPr>
              <w:pStyle w:val="P68B1DB1-Normal23"/>
              <w:spacing w:after="0"/>
              <w:jc w:val="center"/>
              <w:rPr>
                <w:noProof/>
              </w:rPr>
            </w:pPr>
            <w:r>
              <w:rPr>
                <w:noProof/>
              </w:rPr>
              <w:t xml:space="preserve">TD-C19-r36 </w:t>
            </w:r>
          </w:p>
        </w:tc>
        <w:tc>
          <w:tcPr>
            <w:tcW w:w="1520" w:type="dxa"/>
            <w:shd w:val="clear" w:color="auto" w:fill="C4EFCE"/>
            <w:vAlign w:val="center"/>
            <w:hideMark/>
          </w:tcPr>
          <w:p w14:paraId="55C7DEF6"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6FC15F4D" w14:textId="77777777" w:rsidR="00776A1F" w:rsidRDefault="00D8574B">
            <w:pPr>
              <w:pStyle w:val="P68B1DB1-Normal23"/>
              <w:spacing w:after="0"/>
              <w:jc w:val="both"/>
              <w:rPr>
                <w:rFonts w:eastAsia="Calibri" w:cs="Calibri"/>
                <w:noProof/>
              </w:rPr>
            </w:pPr>
            <w:r>
              <w:rPr>
                <w:noProof/>
              </w:rPr>
              <w:t>Valsts pārvaldes institūta izveide, I.P.</w:t>
            </w:r>
          </w:p>
        </w:tc>
      </w:tr>
      <w:tr w:rsidR="00776A1F" w14:paraId="3A0CB96A" w14:textId="77777777">
        <w:trPr>
          <w:trHeight w:val="440"/>
        </w:trPr>
        <w:tc>
          <w:tcPr>
            <w:tcW w:w="1200" w:type="dxa"/>
            <w:shd w:val="clear" w:color="auto" w:fill="C4EFCE"/>
            <w:vAlign w:val="center"/>
            <w:hideMark/>
          </w:tcPr>
          <w:p w14:paraId="79B57193" w14:textId="77777777" w:rsidR="00776A1F" w:rsidRDefault="00D8574B">
            <w:pPr>
              <w:pStyle w:val="P68B1DB1-Normal23"/>
              <w:spacing w:after="0"/>
              <w:jc w:val="center"/>
              <w:rPr>
                <w:noProof/>
              </w:rPr>
            </w:pPr>
            <w:r>
              <w:rPr>
                <w:noProof/>
              </w:rPr>
              <w:t>20.2</w:t>
            </w:r>
          </w:p>
        </w:tc>
        <w:tc>
          <w:tcPr>
            <w:tcW w:w="1760" w:type="dxa"/>
            <w:shd w:val="clear" w:color="auto" w:fill="C4EFCE"/>
            <w:vAlign w:val="center"/>
            <w:hideMark/>
          </w:tcPr>
          <w:p w14:paraId="40D2FB0E" w14:textId="77777777" w:rsidR="00776A1F" w:rsidRDefault="00D8574B">
            <w:pPr>
              <w:pStyle w:val="P68B1DB1-Normal23"/>
              <w:spacing w:after="0"/>
              <w:jc w:val="center"/>
              <w:rPr>
                <w:noProof/>
              </w:rPr>
            </w:pPr>
            <w:r>
              <w:rPr>
                <w:noProof/>
              </w:rPr>
              <w:t xml:space="preserve">TD-C20-i01 </w:t>
            </w:r>
          </w:p>
        </w:tc>
        <w:tc>
          <w:tcPr>
            <w:tcW w:w="1520" w:type="dxa"/>
            <w:shd w:val="clear" w:color="auto" w:fill="C4EFCE"/>
            <w:vAlign w:val="center"/>
            <w:hideMark/>
          </w:tcPr>
          <w:p w14:paraId="78F61C3A"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14A5DC9A" w14:textId="77777777" w:rsidR="00776A1F" w:rsidRDefault="00D8574B">
            <w:pPr>
              <w:pStyle w:val="P68B1DB1-Normal23"/>
              <w:spacing w:after="0"/>
              <w:jc w:val="both"/>
              <w:rPr>
                <w:rFonts w:eastAsia="Calibri" w:cs="Calibri"/>
                <w:noProof/>
              </w:rPr>
            </w:pPr>
            <w:r>
              <w:rPr>
                <w:noProof/>
              </w:rPr>
              <w:t>Līgumu parakstīšana par individuālu datoru iegādi skolēniem un skolotājiem</w:t>
            </w:r>
          </w:p>
        </w:tc>
      </w:tr>
      <w:tr w:rsidR="00776A1F" w14:paraId="6E3E4880" w14:textId="77777777">
        <w:trPr>
          <w:trHeight w:val="440"/>
        </w:trPr>
        <w:tc>
          <w:tcPr>
            <w:tcW w:w="1200" w:type="dxa"/>
            <w:shd w:val="clear" w:color="auto" w:fill="C4EFCE"/>
            <w:vAlign w:val="center"/>
            <w:hideMark/>
          </w:tcPr>
          <w:p w14:paraId="1531FD90"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9D93FED"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E762CEE"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76A68B63" w14:textId="6ADCE395" w:rsidR="00776A1F" w:rsidRDefault="00D8574B">
            <w:pPr>
              <w:pStyle w:val="P68B1DB1-Normal25"/>
              <w:spacing w:after="0" w:line="240" w:lineRule="auto"/>
              <w:jc w:val="center"/>
              <w:rPr>
                <w:rFonts w:cs="Calibri"/>
                <w:noProof/>
              </w:rPr>
            </w:pPr>
            <w:r>
              <w:rPr>
                <w:noProof/>
              </w:rPr>
              <w:t xml:space="preserve">636 139 080 EUR </w:t>
            </w:r>
          </w:p>
        </w:tc>
      </w:tr>
    </w:tbl>
    <w:p w14:paraId="66705A4C" w14:textId="77777777" w:rsidR="00776A1F" w:rsidRDefault="00776A1F">
      <w:pPr>
        <w:keepNext/>
        <w:spacing w:after="160" w:line="259" w:lineRule="auto"/>
        <w:ind w:left="1571" w:hanging="360"/>
        <w:contextualSpacing/>
        <w:jc w:val="both"/>
        <w:rPr>
          <w:rFonts w:ascii="Times New Roman" w:eastAsiaTheme="minorEastAsia" w:hAnsi="Times New Roman" w:cs="Times New Roman"/>
          <w:noProof/>
          <w:sz w:val="24"/>
        </w:rPr>
      </w:pPr>
    </w:p>
    <w:p w14:paraId="7F4502ED"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Otrais maksājuma pieprasījums (neatmaksājams atbalsts): </w:t>
      </w:r>
    </w:p>
    <w:p w14:paraId="158E3ED4"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689"/>
        <w:gridCol w:w="1983"/>
        <w:gridCol w:w="4705"/>
      </w:tblGrid>
      <w:tr w:rsidR="00776A1F" w14:paraId="352FB160" w14:textId="77777777">
        <w:trPr>
          <w:trHeight w:val="509"/>
          <w:tblHeader/>
        </w:trPr>
        <w:tc>
          <w:tcPr>
            <w:tcW w:w="1200" w:type="dxa"/>
            <w:vMerge w:val="restart"/>
            <w:shd w:val="clear" w:color="auto" w:fill="BDD7EE"/>
            <w:vAlign w:val="center"/>
            <w:hideMark/>
          </w:tcPr>
          <w:p w14:paraId="0D0D00E4"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46E7F54F"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4BBAA04E"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51A4AA8D"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1F6741B5" w14:textId="77777777">
        <w:trPr>
          <w:trHeight w:val="509"/>
          <w:tblHeader/>
        </w:trPr>
        <w:tc>
          <w:tcPr>
            <w:tcW w:w="1200" w:type="dxa"/>
            <w:vMerge/>
            <w:vAlign w:val="center"/>
            <w:hideMark/>
          </w:tcPr>
          <w:p w14:paraId="01B474AA"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02EC477F"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3D7F8D49"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615BF232" w14:textId="77777777" w:rsidR="00776A1F" w:rsidRDefault="00776A1F">
            <w:pPr>
              <w:spacing w:after="0" w:line="240" w:lineRule="auto"/>
              <w:rPr>
                <w:rFonts w:ascii="Times New Roman" w:eastAsia="Times New Roman" w:hAnsi="Times New Roman" w:cs="Times New Roman"/>
                <w:noProof/>
                <w:sz w:val="20"/>
              </w:rPr>
            </w:pPr>
          </w:p>
        </w:tc>
      </w:tr>
      <w:tr w:rsidR="00776A1F" w14:paraId="4081C04E" w14:textId="77777777">
        <w:trPr>
          <w:trHeight w:val="440"/>
        </w:trPr>
        <w:tc>
          <w:tcPr>
            <w:tcW w:w="1200" w:type="dxa"/>
            <w:shd w:val="clear" w:color="auto" w:fill="C4EFCE"/>
            <w:vAlign w:val="center"/>
            <w:hideMark/>
          </w:tcPr>
          <w:p w14:paraId="5750728D" w14:textId="77777777" w:rsidR="00776A1F" w:rsidRDefault="00D8574B">
            <w:pPr>
              <w:pStyle w:val="P68B1DB1-Normal23"/>
              <w:spacing w:after="0"/>
              <w:jc w:val="center"/>
              <w:rPr>
                <w:rFonts w:eastAsia="Calibri" w:cs="Calibri"/>
                <w:noProof/>
              </w:rPr>
            </w:pPr>
            <w:r>
              <w:rPr>
                <w:noProof/>
              </w:rPr>
              <w:t>1.13</w:t>
            </w:r>
          </w:p>
        </w:tc>
        <w:tc>
          <w:tcPr>
            <w:tcW w:w="1760" w:type="dxa"/>
            <w:shd w:val="clear" w:color="auto" w:fill="C4EFCE"/>
            <w:vAlign w:val="center"/>
            <w:hideMark/>
          </w:tcPr>
          <w:p w14:paraId="44477519" w14:textId="77777777" w:rsidR="00776A1F" w:rsidRDefault="00D8574B">
            <w:pPr>
              <w:pStyle w:val="P68B1DB1-Normal23"/>
              <w:spacing w:after="0"/>
              <w:jc w:val="center"/>
              <w:rPr>
                <w:rFonts w:eastAsia="Calibri" w:cs="Calibri"/>
                <w:noProof/>
              </w:rPr>
            </w:pPr>
            <w:r>
              <w:rPr>
                <w:noProof/>
              </w:rPr>
              <w:t xml:space="preserve">Re-C01-i02 </w:t>
            </w:r>
          </w:p>
        </w:tc>
        <w:tc>
          <w:tcPr>
            <w:tcW w:w="1520" w:type="dxa"/>
            <w:shd w:val="clear" w:color="auto" w:fill="C4EFCE"/>
            <w:vAlign w:val="center"/>
            <w:hideMark/>
          </w:tcPr>
          <w:p w14:paraId="04640CD0"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D4C3B0B" w14:textId="77777777" w:rsidR="00776A1F" w:rsidRDefault="00D8574B">
            <w:pPr>
              <w:pStyle w:val="P68B1DB1-Normal23"/>
              <w:spacing w:after="0"/>
              <w:jc w:val="both"/>
              <w:rPr>
                <w:rFonts w:eastAsia="Calibri" w:cs="Calibri"/>
                <w:noProof/>
              </w:rPr>
            </w:pPr>
            <w:r>
              <w:rPr>
                <w:noProof/>
              </w:rPr>
              <w:t>Tādu neatliekamās palīdzības epizožu norādīšanas noteikumu stāšanās spēkā, kuri tiek pārbaudīti baltā, zilā vai zaļā krāsā slimnīcu neatliekamās palīdzības dienestos attiecībā uz cita veida veselības aprūpes pakalpojumiem, tostarp primārās veselības aprūpes pakalpojumiem</w:t>
            </w:r>
          </w:p>
        </w:tc>
      </w:tr>
      <w:tr w:rsidR="00776A1F" w14:paraId="0C6EEC60" w14:textId="77777777">
        <w:trPr>
          <w:trHeight w:val="440"/>
        </w:trPr>
        <w:tc>
          <w:tcPr>
            <w:tcW w:w="1200" w:type="dxa"/>
            <w:shd w:val="clear" w:color="auto" w:fill="C4EFCE"/>
            <w:vAlign w:val="center"/>
            <w:hideMark/>
          </w:tcPr>
          <w:p w14:paraId="4CBB49BA" w14:textId="77777777" w:rsidR="00776A1F" w:rsidRDefault="00D8574B">
            <w:pPr>
              <w:pStyle w:val="P68B1DB1-Normal23"/>
              <w:spacing w:after="0"/>
              <w:jc w:val="center"/>
              <w:rPr>
                <w:rFonts w:eastAsia="Calibri" w:cs="Calibri"/>
                <w:noProof/>
              </w:rPr>
            </w:pPr>
            <w:r>
              <w:rPr>
                <w:noProof/>
              </w:rPr>
              <w:t>1.20</w:t>
            </w:r>
          </w:p>
        </w:tc>
        <w:tc>
          <w:tcPr>
            <w:tcW w:w="1760" w:type="dxa"/>
            <w:shd w:val="clear" w:color="auto" w:fill="C4EFCE"/>
            <w:vAlign w:val="center"/>
            <w:hideMark/>
          </w:tcPr>
          <w:p w14:paraId="480832CC" w14:textId="77777777" w:rsidR="00776A1F" w:rsidRDefault="00D8574B">
            <w:pPr>
              <w:pStyle w:val="P68B1DB1-Normal23"/>
              <w:spacing w:after="0"/>
              <w:jc w:val="center"/>
              <w:rPr>
                <w:rFonts w:eastAsia="Calibri" w:cs="Calibri"/>
                <w:noProof/>
              </w:rPr>
            </w:pPr>
            <w:r>
              <w:rPr>
                <w:noProof/>
              </w:rPr>
              <w:t xml:space="preserve">Re-C01-r03 </w:t>
            </w:r>
          </w:p>
        </w:tc>
        <w:tc>
          <w:tcPr>
            <w:tcW w:w="1520" w:type="dxa"/>
            <w:shd w:val="clear" w:color="auto" w:fill="C4EFCE"/>
            <w:vAlign w:val="center"/>
            <w:hideMark/>
          </w:tcPr>
          <w:p w14:paraId="7D9187DC"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315F543" w14:textId="77777777" w:rsidR="00776A1F" w:rsidRDefault="00D8574B">
            <w:pPr>
              <w:pStyle w:val="P68B1DB1-Normal23"/>
              <w:spacing w:after="0"/>
              <w:jc w:val="both"/>
              <w:rPr>
                <w:rFonts w:eastAsia="Calibri" w:cs="Calibri"/>
                <w:noProof/>
              </w:rPr>
            </w:pPr>
            <w:r>
              <w:rPr>
                <w:noProof/>
              </w:rPr>
              <w:t>Stājas spēkā regula par reģionālo veselības aizsardzības iestāžu finansiālā atbalsta piešķiršanu</w:t>
            </w:r>
          </w:p>
        </w:tc>
      </w:tr>
      <w:tr w:rsidR="00776A1F" w14:paraId="69F0FF9C" w14:textId="77777777">
        <w:trPr>
          <w:trHeight w:val="440"/>
        </w:trPr>
        <w:tc>
          <w:tcPr>
            <w:tcW w:w="1200" w:type="dxa"/>
            <w:shd w:val="clear" w:color="auto" w:fill="C4EFCE"/>
            <w:vAlign w:val="center"/>
            <w:hideMark/>
          </w:tcPr>
          <w:p w14:paraId="166EDAF8" w14:textId="31004DB1" w:rsidR="00776A1F" w:rsidRDefault="00D8574B">
            <w:pPr>
              <w:pStyle w:val="P68B1DB1-Normal23"/>
              <w:spacing w:after="0"/>
              <w:jc w:val="center"/>
              <w:rPr>
                <w:rFonts w:eastAsia="Calibri" w:cs="Calibri"/>
                <w:noProof/>
              </w:rPr>
            </w:pPr>
            <w:r>
              <w:rPr>
                <w:noProof/>
              </w:rPr>
              <w:t>1.6</w:t>
            </w:r>
          </w:p>
        </w:tc>
        <w:tc>
          <w:tcPr>
            <w:tcW w:w="1760" w:type="dxa"/>
            <w:shd w:val="clear" w:color="auto" w:fill="C4EFCE"/>
            <w:vAlign w:val="center"/>
            <w:hideMark/>
          </w:tcPr>
          <w:p w14:paraId="35D3297F" w14:textId="77777777" w:rsidR="00776A1F" w:rsidRDefault="00D8574B">
            <w:pPr>
              <w:pStyle w:val="P68B1DB1-Normal23"/>
              <w:spacing w:after="0"/>
              <w:jc w:val="center"/>
              <w:rPr>
                <w:rFonts w:eastAsia="Calibri" w:cs="Calibri"/>
                <w:noProof/>
              </w:rPr>
            </w:pPr>
            <w:r>
              <w:rPr>
                <w:noProof/>
              </w:rPr>
              <w:t xml:space="preserve">Re-C01-i01 </w:t>
            </w:r>
          </w:p>
        </w:tc>
        <w:tc>
          <w:tcPr>
            <w:tcW w:w="1520" w:type="dxa"/>
            <w:shd w:val="clear" w:color="auto" w:fill="C4EFCE"/>
            <w:vAlign w:val="center"/>
            <w:hideMark/>
          </w:tcPr>
          <w:p w14:paraId="00EBB8F8"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E23AEAC" w14:textId="77777777" w:rsidR="00776A1F" w:rsidRDefault="00D8574B">
            <w:pPr>
              <w:pStyle w:val="P68B1DB1-Normal23"/>
              <w:spacing w:after="0"/>
              <w:jc w:val="both"/>
              <w:rPr>
                <w:rFonts w:eastAsia="Calibri" w:cs="Calibri"/>
                <w:noProof/>
              </w:rPr>
            </w:pPr>
            <w:r>
              <w:rPr>
                <w:noProof/>
              </w:rPr>
              <w:t>Jaunās pārvaldības līguma veidnes stāšanās spēkā</w:t>
            </w:r>
          </w:p>
        </w:tc>
      </w:tr>
      <w:tr w:rsidR="00776A1F" w14:paraId="5EFCE41E" w14:textId="77777777">
        <w:trPr>
          <w:trHeight w:val="440"/>
        </w:trPr>
        <w:tc>
          <w:tcPr>
            <w:tcW w:w="1200" w:type="dxa"/>
            <w:shd w:val="clear" w:color="auto" w:fill="C4EFCE"/>
            <w:vAlign w:val="center"/>
            <w:hideMark/>
          </w:tcPr>
          <w:p w14:paraId="5D8AE41A" w14:textId="77777777" w:rsidR="00776A1F" w:rsidRDefault="00D8574B">
            <w:pPr>
              <w:pStyle w:val="P68B1DB1-Normal23"/>
              <w:spacing w:after="0"/>
              <w:jc w:val="center"/>
              <w:rPr>
                <w:rFonts w:eastAsia="Calibri" w:cs="Calibri"/>
                <w:noProof/>
              </w:rPr>
            </w:pPr>
            <w:r>
              <w:rPr>
                <w:noProof/>
              </w:rPr>
              <w:t>3.24</w:t>
            </w:r>
          </w:p>
        </w:tc>
        <w:tc>
          <w:tcPr>
            <w:tcW w:w="1760" w:type="dxa"/>
            <w:shd w:val="clear" w:color="auto" w:fill="C4EFCE"/>
            <w:vAlign w:val="center"/>
            <w:hideMark/>
          </w:tcPr>
          <w:p w14:paraId="345DB0E2" w14:textId="77777777" w:rsidR="00776A1F" w:rsidRDefault="00D8574B">
            <w:pPr>
              <w:pStyle w:val="P68B1DB1-Normal23"/>
              <w:spacing w:after="0"/>
              <w:jc w:val="center"/>
              <w:rPr>
                <w:rFonts w:eastAsia="Calibri" w:cs="Calibri"/>
                <w:noProof/>
              </w:rPr>
            </w:pPr>
            <w:r>
              <w:rPr>
                <w:noProof/>
              </w:rPr>
              <w:t xml:space="preserve">Re-C03-i01 </w:t>
            </w:r>
          </w:p>
        </w:tc>
        <w:tc>
          <w:tcPr>
            <w:tcW w:w="1520" w:type="dxa"/>
            <w:shd w:val="clear" w:color="auto" w:fill="C4EFCE"/>
            <w:vAlign w:val="center"/>
            <w:hideMark/>
          </w:tcPr>
          <w:p w14:paraId="0957961C"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0267902" w14:textId="77777777" w:rsidR="00776A1F" w:rsidRDefault="00D8574B">
            <w:pPr>
              <w:pStyle w:val="P68B1DB1-Normal23"/>
              <w:spacing w:after="0"/>
              <w:jc w:val="both"/>
              <w:rPr>
                <w:rFonts w:eastAsia="Calibri" w:cs="Calibri"/>
                <w:noProof/>
              </w:rPr>
            </w:pPr>
            <w:r>
              <w:rPr>
                <w:noProof/>
              </w:rPr>
              <w:t>Lisabonas/Porto pašvaldību un vietējo tehnisko vienību nolīgumu parakstīšana, kuros noteikts atbalstāmo pasākumu tvērums.</w:t>
            </w:r>
          </w:p>
        </w:tc>
      </w:tr>
      <w:tr w:rsidR="00776A1F" w14:paraId="6D1DB67B" w14:textId="77777777">
        <w:trPr>
          <w:trHeight w:val="440"/>
        </w:trPr>
        <w:tc>
          <w:tcPr>
            <w:tcW w:w="1200" w:type="dxa"/>
            <w:shd w:val="clear" w:color="auto" w:fill="C4EFCE"/>
            <w:vAlign w:val="center"/>
            <w:hideMark/>
          </w:tcPr>
          <w:p w14:paraId="26C83B0D" w14:textId="77777777" w:rsidR="00776A1F" w:rsidRDefault="00D8574B">
            <w:pPr>
              <w:pStyle w:val="P68B1DB1-Normal23"/>
              <w:spacing w:after="0"/>
              <w:jc w:val="center"/>
              <w:rPr>
                <w:rFonts w:eastAsia="Calibri" w:cs="Calibri"/>
                <w:noProof/>
              </w:rPr>
            </w:pPr>
            <w:r>
              <w:rPr>
                <w:noProof/>
              </w:rPr>
              <w:t>3.3</w:t>
            </w:r>
          </w:p>
        </w:tc>
        <w:tc>
          <w:tcPr>
            <w:tcW w:w="1760" w:type="dxa"/>
            <w:shd w:val="clear" w:color="auto" w:fill="C4EFCE"/>
            <w:vAlign w:val="center"/>
            <w:hideMark/>
          </w:tcPr>
          <w:p w14:paraId="6A8E3604" w14:textId="77777777" w:rsidR="00776A1F" w:rsidRDefault="00D8574B">
            <w:pPr>
              <w:pStyle w:val="P68B1DB1-Normal23"/>
              <w:spacing w:after="0"/>
              <w:jc w:val="center"/>
              <w:rPr>
                <w:rFonts w:eastAsia="Calibri" w:cs="Calibri"/>
                <w:noProof/>
              </w:rPr>
            </w:pPr>
            <w:r>
              <w:rPr>
                <w:noProof/>
              </w:rPr>
              <w:t xml:space="preserve">Re-C03-i06 </w:t>
            </w:r>
          </w:p>
        </w:tc>
        <w:tc>
          <w:tcPr>
            <w:tcW w:w="1520" w:type="dxa"/>
            <w:shd w:val="clear" w:color="auto" w:fill="C4EFCE"/>
            <w:vAlign w:val="center"/>
            <w:hideMark/>
          </w:tcPr>
          <w:p w14:paraId="6CBB1E8D"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1900507" w14:textId="77777777" w:rsidR="00776A1F" w:rsidRDefault="00D8574B">
            <w:pPr>
              <w:pStyle w:val="P68B1DB1-Normal23"/>
              <w:spacing w:after="0"/>
              <w:jc w:val="both"/>
              <w:rPr>
                <w:rFonts w:eastAsia="Calibri" w:cs="Calibri"/>
                <w:noProof/>
              </w:rPr>
            </w:pPr>
            <w:r>
              <w:rPr>
                <w:noProof/>
              </w:rPr>
              <w:t>Atbalsta līgumu slēgšanas tiesību piešķiršana, lai veicinātu struktūras sociālo iestāžu tīkla izveidei un paplašināšanai/sociālajai reakcijai.</w:t>
            </w:r>
          </w:p>
        </w:tc>
      </w:tr>
      <w:tr w:rsidR="00776A1F" w14:paraId="5CF43042" w14:textId="77777777">
        <w:trPr>
          <w:trHeight w:val="440"/>
        </w:trPr>
        <w:tc>
          <w:tcPr>
            <w:tcW w:w="1200" w:type="dxa"/>
            <w:shd w:val="clear" w:color="auto" w:fill="C4EFCE"/>
            <w:vAlign w:val="center"/>
            <w:hideMark/>
          </w:tcPr>
          <w:p w14:paraId="27EE7DD4" w14:textId="77777777" w:rsidR="00776A1F" w:rsidRDefault="00D8574B">
            <w:pPr>
              <w:pStyle w:val="P68B1DB1-Normal23"/>
              <w:spacing w:after="0"/>
              <w:jc w:val="center"/>
              <w:rPr>
                <w:rFonts w:eastAsia="Calibri" w:cs="Calibri"/>
                <w:noProof/>
              </w:rPr>
            </w:pPr>
            <w:r>
              <w:rPr>
                <w:noProof/>
              </w:rPr>
              <w:t>4.1</w:t>
            </w:r>
          </w:p>
        </w:tc>
        <w:tc>
          <w:tcPr>
            <w:tcW w:w="1760" w:type="dxa"/>
            <w:shd w:val="clear" w:color="auto" w:fill="C4EFCE"/>
            <w:vAlign w:val="center"/>
            <w:hideMark/>
          </w:tcPr>
          <w:p w14:paraId="035DEC49" w14:textId="625BA17C" w:rsidR="00776A1F" w:rsidRDefault="00D8574B">
            <w:pPr>
              <w:pStyle w:val="P68B1DB1-Normal23"/>
              <w:spacing w:after="0"/>
              <w:jc w:val="center"/>
              <w:rPr>
                <w:rFonts w:eastAsia="Calibri" w:cs="Calibri"/>
                <w:noProof/>
              </w:rPr>
            </w:pPr>
            <w:r>
              <w:rPr>
                <w:noProof/>
              </w:rPr>
              <w:t xml:space="preserve">Re-C04-i01 </w:t>
            </w:r>
          </w:p>
        </w:tc>
        <w:tc>
          <w:tcPr>
            <w:tcW w:w="1520" w:type="dxa"/>
            <w:shd w:val="clear" w:color="auto" w:fill="C4EFCE"/>
            <w:vAlign w:val="center"/>
            <w:hideMark/>
          </w:tcPr>
          <w:p w14:paraId="453E5DD3"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4A22F10" w14:textId="77777777" w:rsidR="00776A1F" w:rsidRDefault="00D8574B">
            <w:pPr>
              <w:pStyle w:val="P68B1DB1-Normal23"/>
              <w:spacing w:after="0"/>
              <w:jc w:val="both"/>
              <w:rPr>
                <w:rFonts w:eastAsia="Calibri" w:cs="Calibri"/>
                <w:noProof/>
              </w:rPr>
            </w:pPr>
            <w:r>
              <w:rPr>
                <w:noProof/>
              </w:rPr>
              <w:t>Kultūras objektu tīkla tehnoloģiskās specifikācijas</w:t>
            </w:r>
          </w:p>
        </w:tc>
      </w:tr>
      <w:tr w:rsidR="00776A1F" w14:paraId="1D67278E" w14:textId="77777777">
        <w:trPr>
          <w:trHeight w:val="440"/>
        </w:trPr>
        <w:tc>
          <w:tcPr>
            <w:tcW w:w="1200" w:type="dxa"/>
            <w:shd w:val="clear" w:color="auto" w:fill="C4EFCE"/>
            <w:vAlign w:val="center"/>
            <w:hideMark/>
          </w:tcPr>
          <w:p w14:paraId="1EEC3DB4" w14:textId="77777777" w:rsidR="00776A1F" w:rsidRDefault="00D8574B">
            <w:pPr>
              <w:pStyle w:val="P68B1DB1-Normal23"/>
              <w:spacing w:after="0"/>
              <w:jc w:val="center"/>
              <w:rPr>
                <w:rFonts w:eastAsia="Calibri" w:cs="Calibri"/>
                <w:noProof/>
              </w:rPr>
            </w:pPr>
            <w:r>
              <w:rPr>
                <w:noProof/>
              </w:rPr>
              <w:t>5.18</w:t>
            </w:r>
          </w:p>
        </w:tc>
        <w:tc>
          <w:tcPr>
            <w:tcW w:w="1760" w:type="dxa"/>
            <w:shd w:val="clear" w:color="auto" w:fill="C4EFCE"/>
            <w:vAlign w:val="center"/>
            <w:hideMark/>
          </w:tcPr>
          <w:p w14:paraId="6807E12E" w14:textId="77777777" w:rsidR="00776A1F" w:rsidRDefault="00D8574B">
            <w:pPr>
              <w:pStyle w:val="P68B1DB1-Normal23"/>
              <w:spacing w:after="0"/>
              <w:jc w:val="center"/>
              <w:rPr>
                <w:rFonts w:eastAsia="Calibri" w:cs="Calibri"/>
                <w:noProof/>
              </w:rPr>
            </w:pPr>
            <w:r>
              <w:rPr>
                <w:noProof/>
              </w:rPr>
              <w:t xml:space="preserve">Re-C05-i05-RAA </w:t>
            </w:r>
          </w:p>
        </w:tc>
        <w:tc>
          <w:tcPr>
            <w:tcW w:w="1520" w:type="dxa"/>
            <w:shd w:val="clear" w:color="auto" w:fill="C4EFCE"/>
            <w:vAlign w:val="center"/>
            <w:hideMark/>
          </w:tcPr>
          <w:p w14:paraId="115683CC"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F0AD3AB" w14:textId="77777777" w:rsidR="00776A1F" w:rsidRDefault="00D8574B">
            <w:pPr>
              <w:pStyle w:val="P68B1DB1-Normal23"/>
              <w:spacing w:after="0"/>
              <w:jc w:val="both"/>
              <w:rPr>
                <w:rFonts w:eastAsia="Calibri" w:cs="Calibri"/>
                <w:noProof/>
              </w:rPr>
            </w:pPr>
            <w:r>
              <w:rPr>
                <w:noProof/>
              </w:rPr>
              <w:t>Azoru salu lauksaimniecības inovācijas un digitalizācijas programmas publicēšana</w:t>
            </w:r>
          </w:p>
        </w:tc>
      </w:tr>
      <w:tr w:rsidR="00776A1F" w14:paraId="12652084" w14:textId="77777777">
        <w:trPr>
          <w:trHeight w:val="440"/>
        </w:trPr>
        <w:tc>
          <w:tcPr>
            <w:tcW w:w="1200" w:type="dxa"/>
            <w:shd w:val="clear" w:color="auto" w:fill="C4EFCE"/>
            <w:vAlign w:val="center"/>
            <w:hideMark/>
          </w:tcPr>
          <w:p w14:paraId="196543A9" w14:textId="77777777" w:rsidR="00776A1F" w:rsidRDefault="00D8574B">
            <w:pPr>
              <w:pStyle w:val="P68B1DB1-Normal23"/>
              <w:spacing w:after="0"/>
              <w:jc w:val="center"/>
              <w:rPr>
                <w:rFonts w:eastAsia="Calibri" w:cs="Calibri"/>
                <w:noProof/>
              </w:rPr>
            </w:pPr>
            <w:r>
              <w:rPr>
                <w:noProof/>
              </w:rPr>
              <w:t>8.14</w:t>
            </w:r>
          </w:p>
        </w:tc>
        <w:tc>
          <w:tcPr>
            <w:tcW w:w="1760" w:type="dxa"/>
            <w:shd w:val="clear" w:color="auto" w:fill="C4EFCE"/>
            <w:vAlign w:val="center"/>
            <w:hideMark/>
          </w:tcPr>
          <w:p w14:paraId="5CE17266" w14:textId="77777777" w:rsidR="00776A1F" w:rsidRDefault="00D8574B">
            <w:pPr>
              <w:pStyle w:val="P68B1DB1-Normal23"/>
              <w:spacing w:after="0"/>
              <w:jc w:val="center"/>
              <w:rPr>
                <w:rFonts w:eastAsia="Calibri" w:cs="Calibri"/>
                <w:noProof/>
              </w:rPr>
            </w:pPr>
            <w:r>
              <w:rPr>
                <w:noProof/>
              </w:rPr>
              <w:t xml:space="preserve">Re-C08-i02 </w:t>
            </w:r>
          </w:p>
        </w:tc>
        <w:tc>
          <w:tcPr>
            <w:tcW w:w="1520" w:type="dxa"/>
            <w:shd w:val="clear" w:color="auto" w:fill="C4EFCE"/>
            <w:vAlign w:val="center"/>
            <w:hideMark/>
          </w:tcPr>
          <w:p w14:paraId="4FEEA23F" w14:textId="77777777" w:rsidR="00776A1F" w:rsidRDefault="00D8574B">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0D33A02" w14:textId="77777777" w:rsidR="00776A1F" w:rsidRDefault="00D8574B">
            <w:pPr>
              <w:pStyle w:val="P68B1DB1-Normal23"/>
              <w:spacing w:after="0"/>
              <w:jc w:val="both"/>
              <w:rPr>
                <w:rFonts w:eastAsia="Calibri" w:cs="Calibri"/>
                <w:noProof/>
              </w:rPr>
            </w:pPr>
            <w:r>
              <w:rPr>
                <w:noProof/>
              </w:rPr>
              <w:t>Valsts Ārkārtas un civilās aizsardzības iestādes (ANEPC) reģionālo un apakšreģionālo struktūru izveide</w:t>
            </w:r>
          </w:p>
        </w:tc>
      </w:tr>
      <w:tr w:rsidR="00776A1F" w14:paraId="35EFEA47" w14:textId="77777777">
        <w:trPr>
          <w:trHeight w:val="440"/>
        </w:trPr>
        <w:tc>
          <w:tcPr>
            <w:tcW w:w="1200" w:type="dxa"/>
            <w:shd w:val="clear" w:color="auto" w:fill="C4EFCE"/>
            <w:vAlign w:val="center"/>
            <w:hideMark/>
          </w:tcPr>
          <w:p w14:paraId="4C9D2DDC" w14:textId="77777777" w:rsidR="00776A1F" w:rsidRDefault="00D8574B">
            <w:pPr>
              <w:pStyle w:val="P68B1DB1-Normal23"/>
              <w:spacing w:after="0"/>
              <w:jc w:val="center"/>
              <w:rPr>
                <w:rFonts w:eastAsia="Calibri" w:cs="Calibri"/>
                <w:noProof/>
              </w:rPr>
            </w:pPr>
            <w:r>
              <w:rPr>
                <w:noProof/>
              </w:rPr>
              <w:t>8.15</w:t>
            </w:r>
          </w:p>
        </w:tc>
        <w:tc>
          <w:tcPr>
            <w:tcW w:w="1760" w:type="dxa"/>
            <w:shd w:val="clear" w:color="auto" w:fill="C4EFCE"/>
            <w:vAlign w:val="center"/>
            <w:hideMark/>
          </w:tcPr>
          <w:p w14:paraId="44F53CD2" w14:textId="77777777" w:rsidR="00776A1F" w:rsidRDefault="00D8574B">
            <w:pPr>
              <w:pStyle w:val="P68B1DB1-Normal23"/>
              <w:spacing w:after="0"/>
              <w:jc w:val="center"/>
              <w:rPr>
                <w:rFonts w:eastAsia="Calibri" w:cs="Calibri"/>
                <w:noProof/>
              </w:rPr>
            </w:pPr>
            <w:r>
              <w:rPr>
                <w:noProof/>
              </w:rPr>
              <w:t xml:space="preserve">Re-C08-i03 </w:t>
            </w:r>
          </w:p>
        </w:tc>
        <w:tc>
          <w:tcPr>
            <w:tcW w:w="1520" w:type="dxa"/>
            <w:shd w:val="clear" w:color="auto" w:fill="C4EFCE"/>
            <w:vAlign w:val="center"/>
            <w:hideMark/>
          </w:tcPr>
          <w:p w14:paraId="0F2B0D59"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1ABC6A2" w14:textId="77777777" w:rsidR="00776A1F" w:rsidRDefault="00D8574B">
            <w:pPr>
              <w:pStyle w:val="P68B1DB1-Normal23"/>
              <w:spacing w:after="0"/>
              <w:jc w:val="both"/>
              <w:rPr>
                <w:rFonts w:eastAsia="Calibri" w:cs="Calibri"/>
                <w:noProof/>
              </w:rPr>
            </w:pPr>
            <w:r>
              <w:rPr>
                <w:noProof/>
              </w:rPr>
              <w:t>Dabas aizsardzības un mežu institūta sākotnējā ziņojuma publicēšana, I.P.</w:t>
            </w:r>
          </w:p>
        </w:tc>
      </w:tr>
      <w:tr w:rsidR="00776A1F" w14:paraId="07159476" w14:textId="77777777">
        <w:trPr>
          <w:trHeight w:val="440"/>
        </w:trPr>
        <w:tc>
          <w:tcPr>
            <w:tcW w:w="1200" w:type="dxa"/>
            <w:shd w:val="clear" w:color="auto" w:fill="C4EFCE"/>
            <w:vAlign w:val="center"/>
            <w:hideMark/>
          </w:tcPr>
          <w:p w14:paraId="4FFB6CD4" w14:textId="77777777" w:rsidR="00776A1F" w:rsidRDefault="00D8574B">
            <w:pPr>
              <w:pStyle w:val="P68B1DB1-Normal23"/>
              <w:spacing w:after="0"/>
              <w:jc w:val="center"/>
              <w:rPr>
                <w:rFonts w:eastAsia="Calibri" w:cs="Calibri"/>
                <w:noProof/>
              </w:rPr>
            </w:pPr>
            <w:r>
              <w:rPr>
                <w:noProof/>
              </w:rPr>
              <w:t>8.4</w:t>
            </w:r>
          </w:p>
        </w:tc>
        <w:tc>
          <w:tcPr>
            <w:tcW w:w="1760" w:type="dxa"/>
            <w:shd w:val="clear" w:color="auto" w:fill="C4EFCE"/>
            <w:vAlign w:val="center"/>
            <w:hideMark/>
          </w:tcPr>
          <w:p w14:paraId="7B8AD2FC" w14:textId="77777777" w:rsidR="00776A1F" w:rsidRDefault="00D8574B">
            <w:pPr>
              <w:pStyle w:val="P68B1DB1-Normal23"/>
              <w:spacing w:after="0"/>
              <w:jc w:val="center"/>
              <w:rPr>
                <w:rFonts w:eastAsia="Calibri" w:cs="Calibri"/>
                <w:noProof/>
              </w:rPr>
            </w:pPr>
            <w:r>
              <w:rPr>
                <w:noProof/>
              </w:rPr>
              <w:t xml:space="preserve">Re-C08-i05 </w:t>
            </w:r>
          </w:p>
        </w:tc>
        <w:tc>
          <w:tcPr>
            <w:tcW w:w="1520" w:type="dxa"/>
            <w:shd w:val="clear" w:color="auto" w:fill="C4EFCE"/>
            <w:vAlign w:val="center"/>
            <w:hideMark/>
          </w:tcPr>
          <w:p w14:paraId="17CD02D0"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2EF1A361" w14:textId="77777777" w:rsidR="00776A1F" w:rsidRDefault="00D8574B">
            <w:pPr>
              <w:pStyle w:val="P68B1DB1-Normal23"/>
              <w:spacing w:after="0"/>
              <w:jc w:val="both"/>
              <w:rPr>
                <w:rFonts w:eastAsia="Calibri" w:cs="Calibri"/>
                <w:noProof/>
              </w:rPr>
            </w:pPr>
            <w:r>
              <w:rPr>
                <w:noProof/>
              </w:rPr>
              <w:t>Virzība uz BUPi 2.0 platformu</w:t>
            </w:r>
          </w:p>
        </w:tc>
      </w:tr>
      <w:tr w:rsidR="00776A1F" w14:paraId="6124AF89" w14:textId="77777777">
        <w:trPr>
          <w:trHeight w:val="440"/>
        </w:trPr>
        <w:tc>
          <w:tcPr>
            <w:tcW w:w="1200" w:type="dxa"/>
            <w:shd w:val="clear" w:color="auto" w:fill="C4EFCE"/>
            <w:vAlign w:val="center"/>
            <w:hideMark/>
          </w:tcPr>
          <w:p w14:paraId="61ED2CA3" w14:textId="77777777" w:rsidR="00776A1F" w:rsidRDefault="00D8574B">
            <w:pPr>
              <w:pStyle w:val="P68B1DB1-Normal23"/>
              <w:spacing w:after="0"/>
              <w:jc w:val="center"/>
              <w:rPr>
                <w:rFonts w:eastAsia="Calibri" w:cs="Calibri"/>
                <w:noProof/>
              </w:rPr>
            </w:pPr>
            <w:r>
              <w:rPr>
                <w:noProof/>
              </w:rPr>
              <w:t>8.7</w:t>
            </w:r>
          </w:p>
        </w:tc>
        <w:tc>
          <w:tcPr>
            <w:tcW w:w="1760" w:type="dxa"/>
            <w:shd w:val="clear" w:color="auto" w:fill="C4EFCE"/>
            <w:vAlign w:val="center"/>
            <w:hideMark/>
          </w:tcPr>
          <w:p w14:paraId="62D644C7" w14:textId="77777777" w:rsidR="00776A1F" w:rsidRDefault="00D8574B">
            <w:pPr>
              <w:pStyle w:val="P68B1DB1-Normal23"/>
              <w:spacing w:after="0"/>
              <w:jc w:val="center"/>
              <w:rPr>
                <w:rFonts w:eastAsia="Calibri" w:cs="Calibri"/>
                <w:noProof/>
              </w:rPr>
            </w:pPr>
            <w:r>
              <w:rPr>
                <w:noProof/>
              </w:rPr>
              <w:t xml:space="preserve">Re-C08-i05 </w:t>
            </w:r>
          </w:p>
        </w:tc>
        <w:tc>
          <w:tcPr>
            <w:tcW w:w="1520" w:type="dxa"/>
            <w:shd w:val="clear" w:color="auto" w:fill="C4EFCE"/>
            <w:vAlign w:val="center"/>
            <w:hideMark/>
          </w:tcPr>
          <w:p w14:paraId="51195EC8"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5560C5A" w14:textId="77777777" w:rsidR="00776A1F" w:rsidRDefault="00D8574B">
            <w:pPr>
              <w:pStyle w:val="P68B1DB1-Normal23"/>
              <w:spacing w:after="0"/>
              <w:jc w:val="both"/>
              <w:rPr>
                <w:rFonts w:eastAsia="Calibri" w:cs="Calibri"/>
                <w:noProof/>
              </w:rPr>
            </w:pPr>
            <w:r>
              <w:rPr>
                <w:noProof/>
              </w:rPr>
              <w:t>Primārās degvielas apsaimniekošanas pārrāvumu strukturēšanas tīkla (RPFGC) līguma publicēšana</w:t>
            </w:r>
          </w:p>
        </w:tc>
      </w:tr>
      <w:tr w:rsidR="00776A1F" w14:paraId="119565A8" w14:textId="77777777">
        <w:trPr>
          <w:trHeight w:val="440"/>
        </w:trPr>
        <w:tc>
          <w:tcPr>
            <w:tcW w:w="1200" w:type="dxa"/>
            <w:shd w:val="clear" w:color="auto" w:fill="C4EFCE"/>
            <w:vAlign w:val="center"/>
            <w:hideMark/>
          </w:tcPr>
          <w:p w14:paraId="576F089D" w14:textId="77777777" w:rsidR="00776A1F" w:rsidRDefault="00D8574B">
            <w:pPr>
              <w:pStyle w:val="P68B1DB1-Normal23"/>
              <w:spacing w:after="0"/>
              <w:jc w:val="center"/>
              <w:rPr>
                <w:rFonts w:eastAsia="Calibri" w:cs="Calibri"/>
                <w:noProof/>
              </w:rPr>
            </w:pPr>
            <w:r>
              <w:rPr>
                <w:noProof/>
              </w:rPr>
              <w:t>9.9</w:t>
            </w:r>
          </w:p>
        </w:tc>
        <w:tc>
          <w:tcPr>
            <w:tcW w:w="1760" w:type="dxa"/>
            <w:shd w:val="clear" w:color="auto" w:fill="C4EFCE"/>
            <w:vAlign w:val="center"/>
            <w:hideMark/>
          </w:tcPr>
          <w:p w14:paraId="59AA53D0" w14:textId="77777777" w:rsidR="00776A1F" w:rsidRDefault="00D8574B">
            <w:pPr>
              <w:pStyle w:val="P68B1DB1-Normal23"/>
              <w:spacing w:after="0"/>
              <w:jc w:val="center"/>
              <w:rPr>
                <w:rFonts w:eastAsia="Calibri" w:cs="Calibri"/>
                <w:noProof/>
              </w:rPr>
            </w:pPr>
            <w:r>
              <w:rPr>
                <w:noProof/>
              </w:rPr>
              <w:t xml:space="preserve">Re-C09-i02 </w:t>
            </w:r>
          </w:p>
        </w:tc>
        <w:tc>
          <w:tcPr>
            <w:tcW w:w="1520" w:type="dxa"/>
            <w:shd w:val="clear" w:color="auto" w:fill="C4EFCE"/>
            <w:vAlign w:val="center"/>
            <w:hideMark/>
          </w:tcPr>
          <w:p w14:paraId="765E382A"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179D88CA" w14:textId="77777777" w:rsidR="00776A1F" w:rsidRDefault="00D8574B">
            <w:pPr>
              <w:pStyle w:val="P68B1DB1-Normal23"/>
              <w:spacing w:after="0"/>
              <w:jc w:val="both"/>
              <w:rPr>
                <w:rFonts w:eastAsia="Calibri" w:cs="Calibri"/>
                <w:noProof/>
              </w:rPr>
            </w:pPr>
            <w:r>
              <w:rPr>
                <w:noProof/>
              </w:rPr>
              <w:t>Pasākuma plānošanas dokumentācijas publicēšana, pilnībā iekļaujot visus IVN rezultātus un nosacījumus</w:t>
            </w:r>
          </w:p>
        </w:tc>
      </w:tr>
      <w:tr w:rsidR="00776A1F" w14:paraId="22E0EAB1" w14:textId="77777777">
        <w:trPr>
          <w:trHeight w:val="440"/>
        </w:trPr>
        <w:tc>
          <w:tcPr>
            <w:tcW w:w="1200" w:type="dxa"/>
            <w:shd w:val="clear" w:color="auto" w:fill="C4EFCE"/>
            <w:vAlign w:val="center"/>
            <w:hideMark/>
          </w:tcPr>
          <w:p w14:paraId="2B69A152" w14:textId="77777777" w:rsidR="00776A1F" w:rsidRDefault="00D8574B">
            <w:pPr>
              <w:pStyle w:val="P68B1DB1-Normal23"/>
              <w:spacing w:after="0"/>
              <w:jc w:val="center"/>
              <w:rPr>
                <w:rFonts w:eastAsia="Calibri" w:cs="Calibri"/>
                <w:noProof/>
              </w:rPr>
            </w:pPr>
            <w:r>
              <w:rPr>
                <w:noProof/>
              </w:rPr>
              <w:t>12.2</w:t>
            </w:r>
          </w:p>
        </w:tc>
        <w:tc>
          <w:tcPr>
            <w:tcW w:w="1760" w:type="dxa"/>
            <w:shd w:val="clear" w:color="auto" w:fill="C4EFCE"/>
            <w:vAlign w:val="center"/>
            <w:hideMark/>
          </w:tcPr>
          <w:p w14:paraId="0E5E7E9D" w14:textId="77777777" w:rsidR="00776A1F" w:rsidRDefault="00D8574B">
            <w:pPr>
              <w:pStyle w:val="P68B1DB1-Normal23"/>
              <w:spacing w:after="0"/>
              <w:jc w:val="center"/>
              <w:rPr>
                <w:rFonts w:eastAsia="Calibri" w:cs="Calibri"/>
                <w:noProof/>
              </w:rPr>
            </w:pPr>
            <w:r>
              <w:rPr>
                <w:noProof/>
              </w:rPr>
              <w:t xml:space="preserve">TC-C12-i01 </w:t>
            </w:r>
          </w:p>
        </w:tc>
        <w:tc>
          <w:tcPr>
            <w:tcW w:w="1520" w:type="dxa"/>
            <w:shd w:val="clear" w:color="auto" w:fill="C4EFCE"/>
            <w:vAlign w:val="center"/>
            <w:hideMark/>
          </w:tcPr>
          <w:p w14:paraId="5A2C0CDF"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6F6BDEC" w14:textId="77777777" w:rsidR="00776A1F" w:rsidRDefault="00D8574B">
            <w:pPr>
              <w:pStyle w:val="P68B1DB1-Normal23"/>
              <w:spacing w:after="0"/>
              <w:jc w:val="both"/>
              <w:rPr>
                <w:rFonts w:eastAsia="Calibri" w:cs="Calibri"/>
                <w:noProof/>
              </w:rPr>
            </w:pPr>
            <w:r>
              <w:rPr>
                <w:noProof/>
              </w:rPr>
              <w:t>Konsorciju iesniegto projektu apstiprināšana jaunu bioekonomikas produktu, tehnoloģiju un procesu izstrādei tekstilizstrādājumu un apģērbu, apavu un dabisko sveķu nozarē</w:t>
            </w:r>
          </w:p>
        </w:tc>
      </w:tr>
      <w:tr w:rsidR="00776A1F" w14:paraId="714F199C" w14:textId="77777777">
        <w:trPr>
          <w:trHeight w:val="440"/>
        </w:trPr>
        <w:tc>
          <w:tcPr>
            <w:tcW w:w="1200" w:type="dxa"/>
            <w:shd w:val="clear" w:color="auto" w:fill="C4EFCE"/>
            <w:vAlign w:val="center"/>
            <w:hideMark/>
          </w:tcPr>
          <w:p w14:paraId="2998479E" w14:textId="77777777" w:rsidR="00776A1F" w:rsidRDefault="00D8574B">
            <w:pPr>
              <w:pStyle w:val="P68B1DB1-Normal23"/>
              <w:spacing w:after="0"/>
              <w:jc w:val="center"/>
              <w:rPr>
                <w:rFonts w:eastAsia="Calibri" w:cs="Calibri"/>
                <w:noProof/>
              </w:rPr>
            </w:pPr>
            <w:r>
              <w:rPr>
                <w:noProof/>
              </w:rPr>
              <w:t>15.10</w:t>
            </w:r>
          </w:p>
        </w:tc>
        <w:tc>
          <w:tcPr>
            <w:tcW w:w="1760" w:type="dxa"/>
            <w:shd w:val="clear" w:color="auto" w:fill="C4EFCE"/>
            <w:vAlign w:val="center"/>
            <w:hideMark/>
          </w:tcPr>
          <w:p w14:paraId="52003E88" w14:textId="77777777" w:rsidR="00776A1F" w:rsidRDefault="00D8574B">
            <w:pPr>
              <w:pStyle w:val="P68B1DB1-Normal23"/>
              <w:spacing w:after="0"/>
              <w:jc w:val="center"/>
              <w:rPr>
                <w:rFonts w:eastAsia="Calibri" w:cs="Calibri"/>
                <w:noProof/>
              </w:rPr>
            </w:pPr>
            <w:r>
              <w:rPr>
                <w:noProof/>
              </w:rPr>
              <w:t xml:space="preserve">TC-C15-i04 </w:t>
            </w:r>
          </w:p>
        </w:tc>
        <w:tc>
          <w:tcPr>
            <w:tcW w:w="1520" w:type="dxa"/>
            <w:shd w:val="clear" w:color="auto" w:fill="C4EFCE"/>
            <w:vAlign w:val="center"/>
            <w:hideMark/>
          </w:tcPr>
          <w:p w14:paraId="6E6BC1D8"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6F85E86" w14:textId="77777777" w:rsidR="00776A1F" w:rsidRDefault="00D8574B">
            <w:pPr>
              <w:pStyle w:val="P68B1DB1-Normal23"/>
              <w:spacing w:after="0"/>
              <w:jc w:val="both"/>
              <w:rPr>
                <w:rFonts w:eastAsia="Calibri" w:cs="Calibri"/>
                <w:noProof/>
              </w:rPr>
            </w:pPr>
            <w:r>
              <w:rPr>
                <w:noProof/>
              </w:rPr>
              <w:t>Līguma parakstīšana par Bus ātrās tranzīta līnijas būvniecību starp Praça do Império un Praça Albuquerque Mouzinho Porto</w:t>
            </w:r>
          </w:p>
        </w:tc>
      </w:tr>
      <w:tr w:rsidR="00776A1F" w14:paraId="533E7E79" w14:textId="77777777">
        <w:trPr>
          <w:trHeight w:val="440"/>
        </w:trPr>
        <w:tc>
          <w:tcPr>
            <w:tcW w:w="1200" w:type="dxa"/>
            <w:shd w:val="clear" w:color="auto" w:fill="C4EFCE"/>
            <w:vAlign w:val="center"/>
            <w:hideMark/>
          </w:tcPr>
          <w:p w14:paraId="02967B33" w14:textId="77777777" w:rsidR="00776A1F" w:rsidRDefault="00D8574B">
            <w:pPr>
              <w:pStyle w:val="P68B1DB1-Normal23"/>
              <w:spacing w:after="0"/>
              <w:jc w:val="center"/>
              <w:rPr>
                <w:rFonts w:eastAsia="Calibri" w:cs="Calibri"/>
                <w:noProof/>
              </w:rPr>
            </w:pPr>
            <w:r>
              <w:rPr>
                <w:noProof/>
              </w:rPr>
              <w:t>16.1</w:t>
            </w:r>
          </w:p>
        </w:tc>
        <w:tc>
          <w:tcPr>
            <w:tcW w:w="1760" w:type="dxa"/>
            <w:shd w:val="clear" w:color="auto" w:fill="C4EFCE"/>
            <w:vAlign w:val="center"/>
            <w:hideMark/>
          </w:tcPr>
          <w:p w14:paraId="6200FB03" w14:textId="77777777" w:rsidR="00776A1F" w:rsidRDefault="00D8574B">
            <w:pPr>
              <w:pStyle w:val="P68B1DB1-Normal23"/>
              <w:spacing w:after="0"/>
              <w:jc w:val="center"/>
              <w:rPr>
                <w:rFonts w:eastAsia="Calibri" w:cs="Calibri"/>
                <w:noProof/>
              </w:rPr>
            </w:pPr>
            <w:r>
              <w:rPr>
                <w:noProof/>
              </w:rPr>
              <w:t xml:space="preserve">TD-C16-r31 </w:t>
            </w:r>
          </w:p>
        </w:tc>
        <w:tc>
          <w:tcPr>
            <w:tcW w:w="1520" w:type="dxa"/>
            <w:shd w:val="clear" w:color="auto" w:fill="C4EFCE"/>
            <w:vAlign w:val="center"/>
            <w:hideMark/>
          </w:tcPr>
          <w:p w14:paraId="5AAA97BA"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D8BB228" w14:textId="77777777" w:rsidR="00776A1F" w:rsidRDefault="00D8574B">
            <w:pPr>
              <w:pStyle w:val="P68B1DB1-Normal23"/>
              <w:spacing w:after="0"/>
              <w:jc w:val="both"/>
              <w:rPr>
                <w:rFonts w:eastAsia="Calibri" w:cs="Calibri"/>
                <w:noProof/>
              </w:rPr>
            </w:pPr>
            <w:r>
              <w:rPr>
                <w:noProof/>
              </w:rPr>
              <w:t>Valsts kvalifikāciju katalogā iekļautā apmācības satura pārskatīšanas stāšanās spēkā attiecībā uz moduļiem digitālo prasmju jomā un tiesību aktiem vai noteikumiem par digitālo parakstu un zīmogu radīšanu</w:t>
            </w:r>
          </w:p>
        </w:tc>
      </w:tr>
      <w:tr w:rsidR="00776A1F" w14:paraId="5CC4D3D1" w14:textId="77777777">
        <w:trPr>
          <w:trHeight w:val="440"/>
        </w:trPr>
        <w:tc>
          <w:tcPr>
            <w:tcW w:w="1200" w:type="dxa"/>
            <w:shd w:val="clear" w:color="auto" w:fill="C4EFCE"/>
            <w:vAlign w:val="center"/>
            <w:hideMark/>
          </w:tcPr>
          <w:p w14:paraId="1F86CEE9" w14:textId="77777777" w:rsidR="00776A1F" w:rsidRDefault="00D8574B">
            <w:pPr>
              <w:pStyle w:val="P68B1DB1-Normal23"/>
              <w:spacing w:after="0"/>
              <w:jc w:val="center"/>
              <w:rPr>
                <w:rFonts w:eastAsia="Calibri" w:cs="Calibri"/>
                <w:noProof/>
              </w:rPr>
            </w:pPr>
            <w:r>
              <w:rPr>
                <w:noProof/>
              </w:rPr>
              <w:t>16.2</w:t>
            </w:r>
          </w:p>
        </w:tc>
        <w:tc>
          <w:tcPr>
            <w:tcW w:w="1760" w:type="dxa"/>
            <w:shd w:val="clear" w:color="auto" w:fill="C4EFCE"/>
            <w:vAlign w:val="center"/>
            <w:hideMark/>
          </w:tcPr>
          <w:p w14:paraId="11BC8A27" w14:textId="77777777" w:rsidR="00776A1F" w:rsidRDefault="00D8574B">
            <w:pPr>
              <w:pStyle w:val="P68B1DB1-Normal23"/>
              <w:spacing w:after="0"/>
              <w:jc w:val="center"/>
              <w:rPr>
                <w:rFonts w:eastAsia="Calibri" w:cs="Calibri"/>
                <w:noProof/>
              </w:rPr>
            </w:pPr>
            <w:r>
              <w:rPr>
                <w:noProof/>
              </w:rPr>
              <w:t xml:space="preserve">TD-C16-i01 </w:t>
            </w:r>
          </w:p>
        </w:tc>
        <w:tc>
          <w:tcPr>
            <w:tcW w:w="1520" w:type="dxa"/>
            <w:shd w:val="clear" w:color="auto" w:fill="C4EFCE"/>
            <w:vAlign w:val="center"/>
            <w:hideMark/>
          </w:tcPr>
          <w:p w14:paraId="090CB4EA"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47853812" w14:textId="77777777" w:rsidR="00776A1F" w:rsidRDefault="00D8574B">
            <w:pPr>
              <w:pStyle w:val="P68B1DB1-Normal23"/>
              <w:spacing w:after="0"/>
              <w:jc w:val="both"/>
              <w:rPr>
                <w:rFonts w:eastAsia="Calibri" w:cs="Calibri"/>
                <w:noProof/>
              </w:rPr>
            </w:pPr>
            <w:r>
              <w:rPr>
                <w:noProof/>
              </w:rPr>
              <w:t>Portugāles Digitālās akadēmijas un nodarbinātības + digitālās programmas sākums</w:t>
            </w:r>
          </w:p>
        </w:tc>
      </w:tr>
      <w:tr w:rsidR="00776A1F" w14:paraId="3200DC7C" w14:textId="77777777">
        <w:trPr>
          <w:trHeight w:val="440"/>
        </w:trPr>
        <w:tc>
          <w:tcPr>
            <w:tcW w:w="1200" w:type="dxa"/>
            <w:shd w:val="clear" w:color="auto" w:fill="C4EFCE"/>
            <w:vAlign w:val="center"/>
            <w:hideMark/>
          </w:tcPr>
          <w:p w14:paraId="05FEEB7F" w14:textId="77777777" w:rsidR="00776A1F" w:rsidRDefault="00D8574B">
            <w:pPr>
              <w:pStyle w:val="P68B1DB1-Normal23"/>
              <w:spacing w:after="0"/>
              <w:jc w:val="center"/>
              <w:rPr>
                <w:rFonts w:eastAsia="Calibri" w:cs="Calibri"/>
                <w:noProof/>
              </w:rPr>
            </w:pPr>
            <w:r>
              <w:rPr>
                <w:noProof/>
              </w:rPr>
              <w:t>17.15</w:t>
            </w:r>
          </w:p>
        </w:tc>
        <w:tc>
          <w:tcPr>
            <w:tcW w:w="1760" w:type="dxa"/>
            <w:shd w:val="clear" w:color="auto" w:fill="C4EFCE"/>
            <w:vAlign w:val="center"/>
            <w:hideMark/>
          </w:tcPr>
          <w:p w14:paraId="1F9D1033" w14:textId="77777777" w:rsidR="00776A1F" w:rsidRDefault="00D8574B">
            <w:pPr>
              <w:pStyle w:val="P68B1DB1-Normal23"/>
              <w:spacing w:after="0"/>
              <w:jc w:val="center"/>
              <w:rPr>
                <w:rFonts w:eastAsia="Calibri" w:cs="Calibri"/>
                <w:noProof/>
              </w:rPr>
            </w:pPr>
            <w:r>
              <w:rPr>
                <w:noProof/>
              </w:rPr>
              <w:t xml:space="preserve">TD-C17-i02 </w:t>
            </w:r>
          </w:p>
        </w:tc>
        <w:tc>
          <w:tcPr>
            <w:tcW w:w="1520" w:type="dxa"/>
            <w:shd w:val="clear" w:color="auto" w:fill="C4EFCE"/>
            <w:vAlign w:val="center"/>
            <w:hideMark/>
          </w:tcPr>
          <w:p w14:paraId="67833CAE" w14:textId="77777777" w:rsidR="00776A1F" w:rsidRDefault="00D8574B">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0BBDC58" w14:textId="77777777" w:rsidR="00776A1F" w:rsidRDefault="00D8574B">
            <w:pPr>
              <w:pStyle w:val="P68B1DB1-Normal23"/>
              <w:spacing w:after="0"/>
              <w:jc w:val="both"/>
              <w:rPr>
                <w:rFonts w:eastAsia="Calibri" w:cs="Calibri"/>
                <w:noProof/>
              </w:rPr>
            </w:pPr>
            <w:r>
              <w:rPr>
                <w:noProof/>
              </w:rPr>
              <w:t>Pabeigt pašvaldības nekustamā īpašuma nodokļa (IMI) 1. parauga deklarācijas iepriekšēju aizpildīšanu, pamatojoties uz Nodokļu un muitas iestādei pieejamajiem datiem.</w:t>
            </w:r>
          </w:p>
        </w:tc>
      </w:tr>
      <w:tr w:rsidR="00776A1F" w14:paraId="67713344" w14:textId="77777777">
        <w:trPr>
          <w:trHeight w:val="440"/>
        </w:trPr>
        <w:tc>
          <w:tcPr>
            <w:tcW w:w="1200" w:type="dxa"/>
            <w:shd w:val="clear" w:color="auto" w:fill="C4EFCE"/>
            <w:vAlign w:val="center"/>
            <w:hideMark/>
          </w:tcPr>
          <w:p w14:paraId="66174395" w14:textId="77777777" w:rsidR="00776A1F" w:rsidRDefault="00D8574B">
            <w:pPr>
              <w:pStyle w:val="P68B1DB1-Normal23"/>
              <w:spacing w:after="0"/>
              <w:jc w:val="center"/>
              <w:rPr>
                <w:rFonts w:eastAsia="Calibri" w:cs="Calibri"/>
                <w:noProof/>
              </w:rPr>
            </w:pPr>
            <w:r>
              <w:rPr>
                <w:noProof/>
              </w:rPr>
              <w:t>19.11</w:t>
            </w:r>
          </w:p>
        </w:tc>
        <w:tc>
          <w:tcPr>
            <w:tcW w:w="1760" w:type="dxa"/>
            <w:shd w:val="clear" w:color="auto" w:fill="C4EFCE"/>
            <w:vAlign w:val="center"/>
            <w:hideMark/>
          </w:tcPr>
          <w:p w14:paraId="2588905C" w14:textId="77777777" w:rsidR="00776A1F" w:rsidRDefault="00D8574B">
            <w:pPr>
              <w:pStyle w:val="P68B1DB1-Normal23"/>
              <w:spacing w:after="0"/>
              <w:jc w:val="center"/>
              <w:rPr>
                <w:rFonts w:eastAsia="Calibri" w:cs="Calibri"/>
                <w:noProof/>
              </w:rPr>
            </w:pPr>
            <w:r>
              <w:rPr>
                <w:noProof/>
              </w:rPr>
              <w:t xml:space="preserve">TD-C19-i04 </w:t>
            </w:r>
          </w:p>
        </w:tc>
        <w:tc>
          <w:tcPr>
            <w:tcW w:w="1520" w:type="dxa"/>
            <w:shd w:val="clear" w:color="auto" w:fill="C4EFCE"/>
            <w:vAlign w:val="center"/>
            <w:hideMark/>
          </w:tcPr>
          <w:p w14:paraId="0316DC1D" w14:textId="77777777" w:rsidR="00776A1F" w:rsidRDefault="00D8574B">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F06EAFA" w14:textId="77777777" w:rsidR="00776A1F" w:rsidRDefault="00D8574B">
            <w:pPr>
              <w:pStyle w:val="P68B1DB1-Normal23"/>
              <w:spacing w:after="0"/>
              <w:jc w:val="both"/>
              <w:rPr>
                <w:rFonts w:eastAsia="Calibri" w:cs="Calibri"/>
                <w:noProof/>
              </w:rPr>
            </w:pPr>
            <w:r>
              <w:rPr>
                <w:noProof/>
              </w:rPr>
              <w:t>Droša mobilo sakaru sistēma valdības darbiniekiem</w:t>
            </w:r>
          </w:p>
        </w:tc>
      </w:tr>
      <w:tr w:rsidR="00776A1F" w14:paraId="53A0C5D6" w14:textId="77777777">
        <w:trPr>
          <w:trHeight w:val="440"/>
        </w:trPr>
        <w:tc>
          <w:tcPr>
            <w:tcW w:w="1200" w:type="dxa"/>
            <w:shd w:val="clear" w:color="auto" w:fill="C4EFCE"/>
            <w:vAlign w:val="center"/>
            <w:hideMark/>
          </w:tcPr>
          <w:p w14:paraId="7CC89C41"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71F60AD"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49CC9873"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4901582E" w14:textId="2E4933F5" w:rsidR="00776A1F" w:rsidRDefault="00D8574B">
            <w:pPr>
              <w:pStyle w:val="P68B1DB1-Normal25"/>
              <w:spacing w:after="0" w:line="240" w:lineRule="auto"/>
              <w:jc w:val="center"/>
              <w:rPr>
                <w:rFonts w:cs="Calibri"/>
                <w:noProof/>
              </w:rPr>
            </w:pPr>
            <w:r>
              <w:rPr>
                <w:noProof/>
              </w:rPr>
              <w:t xml:space="preserve"> 1 967 365 517 EUR</w:t>
            </w:r>
          </w:p>
        </w:tc>
      </w:tr>
    </w:tbl>
    <w:p w14:paraId="59D27683"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7A195C46"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Trešais maksājuma pieprasījums (neatmaksājams atbalsts): </w:t>
      </w:r>
    </w:p>
    <w:p w14:paraId="39F5DDB8"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690"/>
        <w:gridCol w:w="1983"/>
        <w:gridCol w:w="4704"/>
      </w:tblGrid>
      <w:tr w:rsidR="00776A1F" w14:paraId="1430A9DC" w14:textId="77777777">
        <w:trPr>
          <w:trHeight w:val="1018"/>
          <w:tblHeader/>
        </w:trPr>
        <w:tc>
          <w:tcPr>
            <w:tcW w:w="1200" w:type="dxa"/>
            <w:shd w:val="clear" w:color="auto" w:fill="BDD7EE"/>
            <w:vAlign w:val="center"/>
            <w:hideMark/>
          </w:tcPr>
          <w:p w14:paraId="2847B217"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shd w:val="clear" w:color="auto" w:fill="BDD7EE"/>
            <w:vAlign w:val="center"/>
            <w:hideMark/>
          </w:tcPr>
          <w:p w14:paraId="6187D274"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shd w:val="clear" w:color="auto" w:fill="BDD7EE"/>
            <w:vAlign w:val="center"/>
            <w:hideMark/>
          </w:tcPr>
          <w:p w14:paraId="32A18B87"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shd w:val="clear" w:color="auto" w:fill="BDD7EE"/>
            <w:vAlign w:val="center"/>
            <w:hideMark/>
          </w:tcPr>
          <w:p w14:paraId="7A727648"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433173AD" w14:textId="77777777">
        <w:trPr>
          <w:trHeight w:val="440"/>
        </w:trPr>
        <w:tc>
          <w:tcPr>
            <w:tcW w:w="1200" w:type="dxa"/>
            <w:shd w:val="clear" w:color="auto" w:fill="C4EFCE"/>
            <w:vAlign w:val="center"/>
            <w:hideMark/>
          </w:tcPr>
          <w:p w14:paraId="29F12095" w14:textId="77777777" w:rsidR="00776A1F" w:rsidRDefault="00D8574B">
            <w:pPr>
              <w:pStyle w:val="P68B1DB1-Normal23"/>
              <w:spacing w:after="0"/>
              <w:jc w:val="center"/>
              <w:rPr>
                <w:noProof/>
              </w:rPr>
            </w:pPr>
            <w:r>
              <w:rPr>
                <w:noProof/>
              </w:rPr>
              <w:t>1.3</w:t>
            </w:r>
          </w:p>
        </w:tc>
        <w:tc>
          <w:tcPr>
            <w:tcW w:w="1760" w:type="dxa"/>
            <w:shd w:val="clear" w:color="auto" w:fill="C4EFCE"/>
            <w:vAlign w:val="center"/>
            <w:hideMark/>
          </w:tcPr>
          <w:p w14:paraId="227BCECB" w14:textId="77777777" w:rsidR="00776A1F" w:rsidRDefault="00D8574B">
            <w:pPr>
              <w:pStyle w:val="P68B1DB1-Normal23"/>
              <w:spacing w:after="0"/>
              <w:jc w:val="center"/>
              <w:rPr>
                <w:noProof/>
              </w:rPr>
            </w:pPr>
            <w:r>
              <w:rPr>
                <w:noProof/>
              </w:rPr>
              <w:t xml:space="preserve">Re-C01-r01 </w:t>
            </w:r>
          </w:p>
        </w:tc>
        <w:tc>
          <w:tcPr>
            <w:tcW w:w="1520" w:type="dxa"/>
            <w:shd w:val="clear" w:color="auto" w:fill="C4EFCE"/>
            <w:vAlign w:val="center"/>
            <w:hideMark/>
          </w:tcPr>
          <w:p w14:paraId="02B91359"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127E965" w14:textId="77777777" w:rsidR="00776A1F" w:rsidRDefault="00D8574B">
            <w:pPr>
              <w:pStyle w:val="P68B1DB1-Normal23"/>
              <w:spacing w:after="0"/>
              <w:jc w:val="both"/>
              <w:rPr>
                <w:rFonts w:eastAsia="Calibri" w:cs="Calibri"/>
                <w:noProof/>
              </w:rPr>
            </w:pPr>
            <w:r>
              <w:rPr>
                <w:noProof/>
              </w:rPr>
              <w:t>Atbildības decentralizācijas procesa pabeigšana veselības aprūpes jomā pašvaldībās</w:t>
            </w:r>
          </w:p>
        </w:tc>
      </w:tr>
      <w:tr w:rsidR="00776A1F" w14:paraId="35C8B374" w14:textId="77777777">
        <w:trPr>
          <w:trHeight w:val="440"/>
        </w:trPr>
        <w:tc>
          <w:tcPr>
            <w:tcW w:w="1200" w:type="dxa"/>
            <w:shd w:val="clear" w:color="auto" w:fill="C4EFCE"/>
            <w:vAlign w:val="center"/>
            <w:hideMark/>
          </w:tcPr>
          <w:p w14:paraId="5B2F963A" w14:textId="77777777" w:rsidR="00776A1F" w:rsidRDefault="00D8574B">
            <w:pPr>
              <w:pStyle w:val="P68B1DB1-Normal23"/>
              <w:spacing w:after="0"/>
              <w:jc w:val="center"/>
              <w:rPr>
                <w:noProof/>
              </w:rPr>
            </w:pPr>
            <w:r>
              <w:rPr>
                <w:noProof/>
              </w:rPr>
              <w:t>1.8</w:t>
            </w:r>
          </w:p>
        </w:tc>
        <w:tc>
          <w:tcPr>
            <w:tcW w:w="1760" w:type="dxa"/>
            <w:shd w:val="clear" w:color="auto" w:fill="C4EFCE"/>
            <w:vAlign w:val="center"/>
            <w:hideMark/>
          </w:tcPr>
          <w:p w14:paraId="4BA31BDE" w14:textId="77777777" w:rsidR="00776A1F" w:rsidRDefault="00D8574B">
            <w:pPr>
              <w:pStyle w:val="P68B1DB1-Normal23"/>
              <w:spacing w:after="0"/>
              <w:jc w:val="center"/>
              <w:rPr>
                <w:noProof/>
              </w:rPr>
            </w:pPr>
            <w:r>
              <w:rPr>
                <w:noProof/>
              </w:rPr>
              <w:t xml:space="preserve">Re-C01-r03 </w:t>
            </w:r>
          </w:p>
        </w:tc>
        <w:tc>
          <w:tcPr>
            <w:tcW w:w="1520" w:type="dxa"/>
            <w:shd w:val="clear" w:color="auto" w:fill="C4EFCE"/>
            <w:vAlign w:val="center"/>
            <w:hideMark/>
          </w:tcPr>
          <w:p w14:paraId="4B70E399"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D83727" w14:textId="77777777" w:rsidR="00776A1F" w:rsidRDefault="00D8574B">
            <w:pPr>
              <w:pStyle w:val="P68B1DB1-Normal23"/>
              <w:spacing w:after="0"/>
              <w:jc w:val="both"/>
              <w:rPr>
                <w:rFonts w:eastAsia="Calibri" w:cs="Calibri"/>
                <w:noProof/>
              </w:rPr>
            </w:pPr>
            <w:r>
              <w:rPr>
                <w:noProof/>
              </w:rPr>
              <w:t>Jaunu integrētu atbildības centru izveide Valsts veselības dienesta slimnīcās</w:t>
            </w:r>
          </w:p>
        </w:tc>
      </w:tr>
      <w:tr w:rsidR="00776A1F" w14:paraId="612E7BD9" w14:textId="77777777">
        <w:trPr>
          <w:trHeight w:val="440"/>
        </w:trPr>
        <w:tc>
          <w:tcPr>
            <w:tcW w:w="1200" w:type="dxa"/>
            <w:shd w:val="clear" w:color="auto" w:fill="C4EFCE"/>
            <w:vAlign w:val="center"/>
            <w:hideMark/>
          </w:tcPr>
          <w:p w14:paraId="6F992C46" w14:textId="77777777" w:rsidR="00776A1F" w:rsidRDefault="00D8574B">
            <w:pPr>
              <w:pStyle w:val="P68B1DB1-Normal23"/>
              <w:spacing w:after="0"/>
              <w:jc w:val="center"/>
              <w:rPr>
                <w:noProof/>
              </w:rPr>
            </w:pPr>
            <w:r>
              <w:rPr>
                <w:noProof/>
              </w:rPr>
              <w:t>1.24</w:t>
            </w:r>
          </w:p>
        </w:tc>
        <w:tc>
          <w:tcPr>
            <w:tcW w:w="1760" w:type="dxa"/>
            <w:shd w:val="clear" w:color="auto" w:fill="C4EFCE"/>
            <w:vAlign w:val="center"/>
            <w:hideMark/>
          </w:tcPr>
          <w:p w14:paraId="6244700A" w14:textId="77777777" w:rsidR="00776A1F" w:rsidRDefault="00D8574B">
            <w:pPr>
              <w:pStyle w:val="P68B1DB1-Normal23"/>
              <w:spacing w:after="0"/>
              <w:jc w:val="center"/>
              <w:rPr>
                <w:noProof/>
              </w:rPr>
            </w:pPr>
            <w:r>
              <w:rPr>
                <w:noProof/>
              </w:rPr>
              <w:t xml:space="preserve">Re-C01-i03 </w:t>
            </w:r>
          </w:p>
        </w:tc>
        <w:tc>
          <w:tcPr>
            <w:tcW w:w="1520" w:type="dxa"/>
            <w:shd w:val="clear" w:color="auto" w:fill="C4EFCE"/>
            <w:vAlign w:val="center"/>
            <w:hideMark/>
          </w:tcPr>
          <w:p w14:paraId="768B1E26"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21094EF" w14:textId="77777777" w:rsidR="00776A1F" w:rsidRDefault="00D8574B">
            <w:pPr>
              <w:pStyle w:val="P68B1DB1-Normal23"/>
              <w:spacing w:after="0"/>
              <w:jc w:val="both"/>
              <w:rPr>
                <w:rFonts w:eastAsia="Calibri" w:cs="Calibri"/>
                <w:noProof/>
              </w:rPr>
            </w:pPr>
            <w:r>
              <w:rPr>
                <w:noProof/>
              </w:rPr>
              <w:t>Izpratnes veicināšanas un apmācības pasākumu izstrāde “pacientu ceļu veidošanai” demences kontekstā</w:t>
            </w:r>
          </w:p>
        </w:tc>
      </w:tr>
      <w:tr w:rsidR="00776A1F" w14:paraId="16774000" w14:textId="77777777">
        <w:trPr>
          <w:trHeight w:val="440"/>
        </w:trPr>
        <w:tc>
          <w:tcPr>
            <w:tcW w:w="1200" w:type="dxa"/>
            <w:shd w:val="clear" w:color="auto" w:fill="C4EFCE"/>
            <w:vAlign w:val="center"/>
            <w:hideMark/>
          </w:tcPr>
          <w:p w14:paraId="4F522AAB" w14:textId="77777777" w:rsidR="00776A1F" w:rsidRDefault="00D8574B">
            <w:pPr>
              <w:pStyle w:val="P68B1DB1-Normal23"/>
              <w:spacing w:after="0"/>
              <w:jc w:val="center"/>
              <w:rPr>
                <w:noProof/>
              </w:rPr>
            </w:pPr>
            <w:r>
              <w:rPr>
                <w:noProof/>
              </w:rPr>
              <w:t>1.32</w:t>
            </w:r>
          </w:p>
        </w:tc>
        <w:tc>
          <w:tcPr>
            <w:tcW w:w="1760" w:type="dxa"/>
            <w:shd w:val="clear" w:color="auto" w:fill="C4EFCE"/>
            <w:vAlign w:val="center"/>
            <w:hideMark/>
          </w:tcPr>
          <w:p w14:paraId="1E3BBF1C" w14:textId="77777777" w:rsidR="00776A1F" w:rsidRDefault="00D8574B">
            <w:pPr>
              <w:pStyle w:val="P68B1DB1-Normal23"/>
              <w:spacing w:after="0"/>
              <w:jc w:val="center"/>
              <w:rPr>
                <w:noProof/>
              </w:rPr>
            </w:pPr>
            <w:r>
              <w:rPr>
                <w:noProof/>
              </w:rPr>
              <w:t xml:space="preserve">Re-C01-i06 </w:t>
            </w:r>
          </w:p>
        </w:tc>
        <w:tc>
          <w:tcPr>
            <w:tcW w:w="1520" w:type="dxa"/>
            <w:shd w:val="clear" w:color="auto" w:fill="C4EFCE"/>
            <w:vAlign w:val="center"/>
            <w:hideMark/>
          </w:tcPr>
          <w:p w14:paraId="751F589B"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E971E6E" w14:textId="77777777" w:rsidR="00776A1F" w:rsidRDefault="00D8574B">
            <w:pPr>
              <w:pStyle w:val="P68B1DB1-Normal23"/>
              <w:spacing w:after="0"/>
              <w:jc w:val="both"/>
              <w:rPr>
                <w:rFonts w:eastAsia="Calibri" w:cs="Calibri"/>
                <w:noProof/>
              </w:rPr>
            </w:pPr>
            <w:r>
              <w:rPr>
                <w:noProof/>
              </w:rPr>
              <w:t>Vietējo informācijas tehnoloģiju tīklu modernizācija</w:t>
            </w:r>
          </w:p>
        </w:tc>
      </w:tr>
      <w:tr w:rsidR="00776A1F" w14:paraId="30A3EA71" w14:textId="77777777">
        <w:trPr>
          <w:trHeight w:val="440"/>
        </w:trPr>
        <w:tc>
          <w:tcPr>
            <w:tcW w:w="1200" w:type="dxa"/>
            <w:shd w:val="clear" w:color="auto" w:fill="C4EFCE"/>
            <w:vAlign w:val="center"/>
            <w:hideMark/>
          </w:tcPr>
          <w:p w14:paraId="77DEF1E6" w14:textId="77777777" w:rsidR="00776A1F" w:rsidRDefault="00D8574B">
            <w:pPr>
              <w:pStyle w:val="P68B1DB1-Normal23"/>
              <w:spacing w:after="0"/>
              <w:jc w:val="center"/>
              <w:rPr>
                <w:noProof/>
              </w:rPr>
            </w:pPr>
            <w:r>
              <w:rPr>
                <w:noProof/>
              </w:rPr>
              <w:t>1.33</w:t>
            </w:r>
          </w:p>
        </w:tc>
        <w:tc>
          <w:tcPr>
            <w:tcW w:w="1760" w:type="dxa"/>
            <w:shd w:val="clear" w:color="auto" w:fill="C4EFCE"/>
            <w:vAlign w:val="center"/>
            <w:hideMark/>
          </w:tcPr>
          <w:p w14:paraId="3EF303B5" w14:textId="77777777" w:rsidR="00776A1F" w:rsidRDefault="00D8574B">
            <w:pPr>
              <w:pStyle w:val="P68B1DB1-Normal23"/>
              <w:spacing w:after="0"/>
              <w:jc w:val="center"/>
              <w:rPr>
                <w:noProof/>
              </w:rPr>
            </w:pPr>
            <w:r>
              <w:rPr>
                <w:noProof/>
              </w:rPr>
              <w:t xml:space="preserve">Re-C01-i06 </w:t>
            </w:r>
          </w:p>
        </w:tc>
        <w:tc>
          <w:tcPr>
            <w:tcW w:w="1520" w:type="dxa"/>
            <w:shd w:val="clear" w:color="auto" w:fill="C4EFCE"/>
            <w:vAlign w:val="center"/>
            <w:hideMark/>
          </w:tcPr>
          <w:p w14:paraId="0BE21A0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0D9898" w14:textId="77777777" w:rsidR="00776A1F" w:rsidRDefault="00D8574B">
            <w:pPr>
              <w:pStyle w:val="P68B1DB1-Normal23"/>
              <w:spacing w:after="0"/>
              <w:jc w:val="both"/>
              <w:rPr>
                <w:rFonts w:eastAsia="Calibri" w:cs="Calibri"/>
                <w:noProof/>
              </w:rPr>
            </w:pPr>
            <w:r>
              <w:rPr>
                <w:noProof/>
              </w:rPr>
              <w:t>Televeselības un teleuzraudzības funkciju īstenošana</w:t>
            </w:r>
          </w:p>
        </w:tc>
      </w:tr>
      <w:tr w:rsidR="00776A1F" w14:paraId="32F2658E" w14:textId="77777777">
        <w:trPr>
          <w:trHeight w:val="440"/>
        </w:trPr>
        <w:tc>
          <w:tcPr>
            <w:tcW w:w="1200" w:type="dxa"/>
            <w:shd w:val="clear" w:color="auto" w:fill="C4EFCE"/>
            <w:vAlign w:val="center"/>
            <w:hideMark/>
          </w:tcPr>
          <w:p w14:paraId="1B65C832" w14:textId="77777777" w:rsidR="00776A1F" w:rsidRDefault="00D8574B">
            <w:pPr>
              <w:pStyle w:val="P68B1DB1-Normal23"/>
              <w:spacing w:after="0"/>
              <w:jc w:val="center"/>
              <w:rPr>
                <w:noProof/>
              </w:rPr>
            </w:pPr>
            <w:r>
              <w:rPr>
                <w:noProof/>
              </w:rPr>
              <w:t>2.1</w:t>
            </w:r>
          </w:p>
        </w:tc>
        <w:tc>
          <w:tcPr>
            <w:tcW w:w="1760" w:type="dxa"/>
            <w:shd w:val="clear" w:color="auto" w:fill="C4EFCE"/>
            <w:vAlign w:val="center"/>
            <w:hideMark/>
          </w:tcPr>
          <w:p w14:paraId="2ABDE328" w14:textId="77777777" w:rsidR="00776A1F" w:rsidRDefault="00D8574B">
            <w:pPr>
              <w:pStyle w:val="P68B1DB1-Normal23"/>
              <w:spacing w:after="0"/>
              <w:jc w:val="center"/>
              <w:rPr>
                <w:noProof/>
              </w:rPr>
            </w:pPr>
            <w:r>
              <w:rPr>
                <w:noProof/>
              </w:rPr>
              <w:t xml:space="preserve">Re-C02-i01 </w:t>
            </w:r>
          </w:p>
        </w:tc>
        <w:tc>
          <w:tcPr>
            <w:tcW w:w="1520" w:type="dxa"/>
            <w:shd w:val="clear" w:color="auto" w:fill="C4EFCE"/>
            <w:vAlign w:val="center"/>
            <w:hideMark/>
          </w:tcPr>
          <w:p w14:paraId="51C049D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8DD0AC1" w14:textId="77777777" w:rsidR="00776A1F" w:rsidRDefault="00D8574B">
            <w:pPr>
              <w:pStyle w:val="P68B1DB1-Normal23"/>
              <w:spacing w:after="0"/>
              <w:jc w:val="both"/>
              <w:rPr>
                <w:rFonts w:eastAsia="Calibri" w:cs="Calibri"/>
                <w:noProof/>
              </w:rPr>
            </w:pPr>
            <w:r>
              <w:rPr>
                <w:noProof/>
              </w:rPr>
              <w:t>Atbalsta programma piekļuvei mājokļiem — parakstītas sadarbības vai finansēšanas vienošanās</w:t>
            </w:r>
          </w:p>
        </w:tc>
      </w:tr>
      <w:tr w:rsidR="00776A1F" w14:paraId="1B2D04E4" w14:textId="77777777">
        <w:trPr>
          <w:trHeight w:val="440"/>
        </w:trPr>
        <w:tc>
          <w:tcPr>
            <w:tcW w:w="1200" w:type="dxa"/>
            <w:shd w:val="clear" w:color="auto" w:fill="C4EFCE"/>
            <w:vAlign w:val="center"/>
            <w:hideMark/>
          </w:tcPr>
          <w:p w14:paraId="182ED174" w14:textId="77777777" w:rsidR="00776A1F" w:rsidRDefault="00D8574B">
            <w:pPr>
              <w:pStyle w:val="P68B1DB1-Normal23"/>
              <w:spacing w:after="0"/>
              <w:jc w:val="center"/>
              <w:rPr>
                <w:noProof/>
              </w:rPr>
            </w:pPr>
            <w:r>
              <w:rPr>
                <w:noProof/>
              </w:rPr>
              <w:t>2.4</w:t>
            </w:r>
          </w:p>
        </w:tc>
        <w:tc>
          <w:tcPr>
            <w:tcW w:w="1760" w:type="dxa"/>
            <w:shd w:val="clear" w:color="auto" w:fill="C4EFCE"/>
            <w:vAlign w:val="center"/>
            <w:hideMark/>
          </w:tcPr>
          <w:p w14:paraId="572612F3" w14:textId="77777777" w:rsidR="00776A1F" w:rsidRDefault="00D8574B">
            <w:pPr>
              <w:pStyle w:val="P68B1DB1-Normal23"/>
              <w:spacing w:after="0"/>
              <w:jc w:val="center"/>
              <w:rPr>
                <w:noProof/>
              </w:rPr>
            </w:pPr>
            <w:r>
              <w:rPr>
                <w:noProof/>
              </w:rPr>
              <w:t xml:space="preserve">Re-C02-i02 </w:t>
            </w:r>
          </w:p>
        </w:tc>
        <w:tc>
          <w:tcPr>
            <w:tcW w:w="1520" w:type="dxa"/>
            <w:shd w:val="clear" w:color="auto" w:fill="C4EFCE"/>
            <w:vAlign w:val="center"/>
            <w:hideMark/>
          </w:tcPr>
          <w:p w14:paraId="6AB1DCE0"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736D18" w14:textId="77777777" w:rsidR="00776A1F" w:rsidRDefault="00D8574B">
            <w:pPr>
              <w:pStyle w:val="P68B1DB1-Normal23"/>
              <w:spacing w:after="0"/>
              <w:jc w:val="both"/>
              <w:rPr>
                <w:rFonts w:eastAsia="Calibri" w:cs="Calibri"/>
                <w:noProof/>
              </w:rPr>
            </w:pPr>
            <w:r>
              <w:rPr>
                <w:noProof/>
              </w:rPr>
              <w:t>Valsts ārkārtas un pagaidu izmitināšanas dotācija — finansēšanas nolīgumu parakstīšana ārkārtas un pārejas mājokļu jomā</w:t>
            </w:r>
          </w:p>
        </w:tc>
      </w:tr>
      <w:tr w:rsidR="00776A1F" w14:paraId="193180B9" w14:textId="77777777">
        <w:trPr>
          <w:trHeight w:val="440"/>
        </w:trPr>
        <w:tc>
          <w:tcPr>
            <w:tcW w:w="1200" w:type="dxa"/>
            <w:shd w:val="clear" w:color="auto" w:fill="C4EFCE"/>
            <w:vAlign w:val="center"/>
            <w:hideMark/>
          </w:tcPr>
          <w:p w14:paraId="29216A22" w14:textId="77777777" w:rsidR="00776A1F" w:rsidRDefault="00D8574B">
            <w:pPr>
              <w:pStyle w:val="P68B1DB1-Normal23"/>
              <w:spacing w:after="0"/>
              <w:jc w:val="center"/>
              <w:rPr>
                <w:noProof/>
              </w:rPr>
            </w:pPr>
            <w:r>
              <w:rPr>
                <w:noProof/>
              </w:rPr>
              <w:t>3.11</w:t>
            </w:r>
          </w:p>
        </w:tc>
        <w:tc>
          <w:tcPr>
            <w:tcW w:w="1760" w:type="dxa"/>
            <w:shd w:val="clear" w:color="auto" w:fill="C4EFCE"/>
            <w:vAlign w:val="center"/>
            <w:hideMark/>
          </w:tcPr>
          <w:p w14:paraId="01F162E3" w14:textId="77777777" w:rsidR="00776A1F" w:rsidRDefault="00D8574B">
            <w:pPr>
              <w:pStyle w:val="P68B1DB1-Normal23"/>
              <w:spacing w:after="0"/>
              <w:jc w:val="center"/>
              <w:rPr>
                <w:noProof/>
              </w:rPr>
            </w:pPr>
            <w:r>
              <w:rPr>
                <w:noProof/>
              </w:rPr>
              <w:t xml:space="preserve">Re-C03-i03-RAM </w:t>
            </w:r>
          </w:p>
        </w:tc>
        <w:tc>
          <w:tcPr>
            <w:tcW w:w="1520" w:type="dxa"/>
            <w:shd w:val="clear" w:color="auto" w:fill="C4EFCE"/>
            <w:vAlign w:val="center"/>
            <w:hideMark/>
          </w:tcPr>
          <w:p w14:paraId="246B4B59"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336679B" w14:textId="77777777" w:rsidR="00776A1F" w:rsidRDefault="00D8574B">
            <w:pPr>
              <w:pStyle w:val="P68B1DB1-Normal23"/>
              <w:spacing w:after="0"/>
              <w:jc w:val="both"/>
              <w:rPr>
                <w:rFonts w:eastAsia="Calibri" w:cs="Calibri"/>
                <w:noProof/>
              </w:rPr>
            </w:pPr>
            <w:r>
              <w:rPr>
                <w:noProof/>
              </w:rPr>
              <w:t>Dzīves plāni bezpajumtnieku integrācijai.</w:t>
            </w:r>
          </w:p>
        </w:tc>
      </w:tr>
      <w:tr w:rsidR="00776A1F" w14:paraId="0BC61039" w14:textId="77777777">
        <w:trPr>
          <w:trHeight w:val="440"/>
        </w:trPr>
        <w:tc>
          <w:tcPr>
            <w:tcW w:w="1200" w:type="dxa"/>
            <w:shd w:val="clear" w:color="auto" w:fill="C4EFCE"/>
            <w:vAlign w:val="center"/>
            <w:hideMark/>
          </w:tcPr>
          <w:p w14:paraId="1B2403C3" w14:textId="77777777" w:rsidR="00776A1F" w:rsidRDefault="00D8574B">
            <w:pPr>
              <w:pStyle w:val="P68B1DB1-Normal23"/>
              <w:spacing w:after="0"/>
              <w:jc w:val="center"/>
              <w:rPr>
                <w:noProof/>
              </w:rPr>
            </w:pPr>
            <w:r>
              <w:rPr>
                <w:noProof/>
              </w:rPr>
              <w:t>4.6</w:t>
            </w:r>
          </w:p>
        </w:tc>
        <w:tc>
          <w:tcPr>
            <w:tcW w:w="1760" w:type="dxa"/>
            <w:shd w:val="clear" w:color="auto" w:fill="C4EFCE"/>
            <w:vAlign w:val="center"/>
            <w:hideMark/>
          </w:tcPr>
          <w:p w14:paraId="4FB11F6A" w14:textId="292D12E2" w:rsidR="00776A1F" w:rsidRDefault="00D8574B">
            <w:pPr>
              <w:pStyle w:val="P68B1DB1-Normal23"/>
              <w:spacing w:after="0"/>
              <w:jc w:val="center"/>
              <w:rPr>
                <w:noProof/>
              </w:rPr>
            </w:pPr>
            <w:r>
              <w:rPr>
                <w:noProof/>
              </w:rPr>
              <w:t xml:space="preserve">Re-C04-i02 </w:t>
            </w:r>
          </w:p>
        </w:tc>
        <w:tc>
          <w:tcPr>
            <w:tcW w:w="1520" w:type="dxa"/>
            <w:shd w:val="clear" w:color="auto" w:fill="C4EFCE"/>
            <w:vAlign w:val="center"/>
            <w:hideMark/>
          </w:tcPr>
          <w:p w14:paraId="590EFB99"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ED71179" w14:textId="77777777" w:rsidR="00776A1F" w:rsidRDefault="00D8574B">
            <w:pPr>
              <w:pStyle w:val="P68B1DB1-Normal23"/>
              <w:spacing w:after="0"/>
              <w:jc w:val="both"/>
              <w:rPr>
                <w:rFonts w:eastAsia="Calibri" w:cs="Calibri"/>
                <w:noProof/>
              </w:rPr>
            </w:pPr>
            <w:r>
              <w:rPr>
                <w:noProof/>
              </w:rPr>
              <w:t>“Saber Fazer” tīkla izveide</w:t>
            </w:r>
          </w:p>
        </w:tc>
      </w:tr>
      <w:tr w:rsidR="00776A1F" w14:paraId="0D67E78F" w14:textId="77777777">
        <w:trPr>
          <w:trHeight w:val="440"/>
        </w:trPr>
        <w:tc>
          <w:tcPr>
            <w:tcW w:w="1200" w:type="dxa"/>
            <w:shd w:val="clear" w:color="auto" w:fill="C4EFCE"/>
            <w:vAlign w:val="center"/>
            <w:hideMark/>
          </w:tcPr>
          <w:p w14:paraId="48691633" w14:textId="77777777" w:rsidR="00776A1F" w:rsidRDefault="00D8574B">
            <w:pPr>
              <w:pStyle w:val="P68B1DB1-Normal23"/>
              <w:spacing w:after="0"/>
              <w:jc w:val="center"/>
              <w:rPr>
                <w:noProof/>
              </w:rPr>
            </w:pPr>
            <w:r>
              <w:rPr>
                <w:noProof/>
              </w:rPr>
              <w:t>5.5</w:t>
            </w:r>
          </w:p>
        </w:tc>
        <w:tc>
          <w:tcPr>
            <w:tcW w:w="1760" w:type="dxa"/>
            <w:shd w:val="clear" w:color="auto" w:fill="C4EFCE"/>
            <w:vAlign w:val="center"/>
            <w:hideMark/>
          </w:tcPr>
          <w:p w14:paraId="028584EA" w14:textId="77777777" w:rsidR="00776A1F" w:rsidRDefault="00D8574B">
            <w:pPr>
              <w:pStyle w:val="P68B1DB1-Normal23"/>
              <w:spacing w:after="0"/>
              <w:jc w:val="center"/>
              <w:rPr>
                <w:noProof/>
              </w:rPr>
            </w:pPr>
            <w:r>
              <w:rPr>
                <w:noProof/>
              </w:rPr>
              <w:t xml:space="preserve">Re-C05-i01.01 </w:t>
            </w:r>
          </w:p>
        </w:tc>
        <w:tc>
          <w:tcPr>
            <w:tcW w:w="1520" w:type="dxa"/>
            <w:shd w:val="clear" w:color="auto" w:fill="C4EFCE"/>
            <w:vAlign w:val="center"/>
            <w:hideMark/>
          </w:tcPr>
          <w:p w14:paraId="5748A51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8F1C038" w14:textId="413A3F05" w:rsidR="00776A1F" w:rsidRDefault="00D8574B">
            <w:pPr>
              <w:pStyle w:val="P68B1DB1-Normal23"/>
              <w:spacing w:after="0"/>
              <w:jc w:val="both"/>
              <w:rPr>
                <w:rFonts w:eastAsia="Calibri" w:cs="Calibri"/>
                <w:noProof/>
              </w:rPr>
            </w:pPr>
            <w:r>
              <w:rPr>
                <w:noProof/>
              </w:rPr>
              <w:t>Līgumu noslēgšana par jaunu produktu, procesu vai pakalpojumu izstrādi attiecīgajās stratēģiskajās jomās (inovācijas programmas).</w:t>
            </w:r>
          </w:p>
        </w:tc>
      </w:tr>
      <w:tr w:rsidR="00776A1F" w14:paraId="6F9BDCC5" w14:textId="77777777">
        <w:trPr>
          <w:trHeight w:val="440"/>
        </w:trPr>
        <w:tc>
          <w:tcPr>
            <w:tcW w:w="1200" w:type="dxa"/>
            <w:shd w:val="clear" w:color="auto" w:fill="C4EFCE"/>
            <w:vAlign w:val="center"/>
            <w:hideMark/>
          </w:tcPr>
          <w:p w14:paraId="662B09CD" w14:textId="77777777" w:rsidR="00776A1F" w:rsidRDefault="00D8574B">
            <w:pPr>
              <w:pStyle w:val="P68B1DB1-Normal23"/>
              <w:spacing w:after="0"/>
              <w:jc w:val="center"/>
              <w:rPr>
                <w:noProof/>
              </w:rPr>
            </w:pPr>
            <w:r>
              <w:rPr>
                <w:noProof/>
              </w:rPr>
              <w:t>5.7</w:t>
            </w:r>
          </w:p>
        </w:tc>
        <w:tc>
          <w:tcPr>
            <w:tcW w:w="1760" w:type="dxa"/>
            <w:shd w:val="clear" w:color="auto" w:fill="C4EFCE"/>
            <w:vAlign w:val="center"/>
            <w:hideMark/>
          </w:tcPr>
          <w:p w14:paraId="1C23E7CC" w14:textId="77777777" w:rsidR="00776A1F" w:rsidRDefault="00D8574B">
            <w:pPr>
              <w:pStyle w:val="P68B1DB1-Normal23"/>
              <w:spacing w:after="0"/>
              <w:jc w:val="center"/>
              <w:rPr>
                <w:noProof/>
              </w:rPr>
            </w:pPr>
            <w:r>
              <w:rPr>
                <w:noProof/>
              </w:rPr>
              <w:t xml:space="preserve">Re-C05-i01.02 </w:t>
            </w:r>
          </w:p>
        </w:tc>
        <w:tc>
          <w:tcPr>
            <w:tcW w:w="1520" w:type="dxa"/>
            <w:shd w:val="clear" w:color="auto" w:fill="C4EFCE"/>
            <w:vAlign w:val="center"/>
            <w:hideMark/>
          </w:tcPr>
          <w:p w14:paraId="28804D49"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D21AAA1" w14:textId="598F18A7" w:rsidR="00776A1F" w:rsidRDefault="00D8574B">
            <w:pPr>
              <w:pStyle w:val="P68B1DB1-Normal23"/>
              <w:spacing w:after="0"/>
              <w:jc w:val="both"/>
              <w:rPr>
                <w:rFonts w:eastAsia="Calibri" w:cs="Calibri"/>
                <w:noProof/>
              </w:rPr>
            </w:pPr>
            <w:r>
              <w:rPr>
                <w:noProof/>
              </w:rPr>
              <w:t>Līgumu noslēgšana par jaunu produktu, procesu vai pakalpojumu izstrādi stratēģiskās jomās, kas saistītas ar mazoglekļa ekonomiku, noturību un pielāgošanos klimata pārmaiņām</w:t>
            </w:r>
          </w:p>
        </w:tc>
      </w:tr>
      <w:tr w:rsidR="00776A1F" w14:paraId="5C327989" w14:textId="77777777">
        <w:trPr>
          <w:trHeight w:val="440"/>
        </w:trPr>
        <w:tc>
          <w:tcPr>
            <w:tcW w:w="1200" w:type="dxa"/>
            <w:shd w:val="clear" w:color="auto" w:fill="C4EFCE"/>
            <w:vAlign w:val="center"/>
            <w:hideMark/>
          </w:tcPr>
          <w:p w14:paraId="49715C30" w14:textId="77777777" w:rsidR="00776A1F" w:rsidRDefault="00D8574B">
            <w:pPr>
              <w:pStyle w:val="P68B1DB1-Normal23"/>
              <w:spacing w:after="0"/>
              <w:jc w:val="center"/>
              <w:rPr>
                <w:noProof/>
              </w:rPr>
            </w:pPr>
            <w:r>
              <w:rPr>
                <w:noProof/>
              </w:rPr>
              <w:t>5.9</w:t>
            </w:r>
          </w:p>
        </w:tc>
        <w:tc>
          <w:tcPr>
            <w:tcW w:w="1760" w:type="dxa"/>
            <w:shd w:val="clear" w:color="auto" w:fill="C4EFCE"/>
            <w:vAlign w:val="center"/>
            <w:hideMark/>
          </w:tcPr>
          <w:p w14:paraId="1CEA8990" w14:textId="77777777" w:rsidR="00776A1F" w:rsidRDefault="00D8574B">
            <w:pPr>
              <w:pStyle w:val="P68B1DB1-Normal23"/>
              <w:spacing w:after="0"/>
              <w:jc w:val="center"/>
              <w:rPr>
                <w:noProof/>
              </w:rPr>
            </w:pPr>
            <w:r>
              <w:rPr>
                <w:noProof/>
              </w:rPr>
              <w:t xml:space="preserve">Re-C05-i02 </w:t>
            </w:r>
          </w:p>
        </w:tc>
        <w:tc>
          <w:tcPr>
            <w:tcW w:w="1520" w:type="dxa"/>
            <w:shd w:val="clear" w:color="auto" w:fill="C4EFCE"/>
            <w:vAlign w:val="center"/>
            <w:hideMark/>
          </w:tcPr>
          <w:p w14:paraId="6CAC10E8"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0118BF2" w14:textId="77777777" w:rsidR="00776A1F" w:rsidRDefault="00D8574B">
            <w:pPr>
              <w:pStyle w:val="P68B1DB1-Normal23"/>
              <w:spacing w:after="0"/>
              <w:jc w:val="both"/>
              <w:rPr>
                <w:rFonts w:eastAsia="Calibri" w:cs="Calibri"/>
                <w:noProof/>
              </w:rPr>
            </w:pPr>
            <w:r>
              <w:rPr>
                <w:noProof/>
              </w:rPr>
              <w:t>Noslēgti līgumi ar saskarnes struktūrām, tostarp sadarbības laboratorijām — sadarbības laboratorijām</w:t>
            </w:r>
          </w:p>
        </w:tc>
      </w:tr>
      <w:tr w:rsidR="00776A1F" w14:paraId="03C3F9A8" w14:textId="77777777">
        <w:trPr>
          <w:trHeight w:val="440"/>
        </w:trPr>
        <w:tc>
          <w:tcPr>
            <w:tcW w:w="1200" w:type="dxa"/>
            <w:shd w:val="clear" w:color="auto" w:fill="C4EFCE"/>
            <w:vAlign w:val="center"/>
            <w:hideMark/>
          </w:tcPr>
          <w:p w14:paraId="176D6692" w14:textId="77777777" w:rsidR="00776A1F" w:rsidRDefault="00D8574B">
            <w:pPr>
              <w:pStyle w:val="P68B1DB1-Normal23"/>
              <w:spacing w:after="0"/>
              <w:jc w:val="center"/>
              <w:rPr>
                <w:noProof/>
              </w:rPr>
            </w:pPr>
            <w:r>
              <w:rPr>
                <w:noProof/>
              </w:rPr>
              <w:t>6.15</w:t>
            </w:r>
          </w:p>
        </w:tc>
        <w:tc>
          <w:tcPr>
            <w:tcW w:w="1760" w:type="dxa"/>
            <w:shd w:val="clear" w:color="auto" w:fill="C4EFCE"/>
            <w:vAlign w:val="center"/>
            <w:hideMark/>
          </w:tcPr>
          <w:p w14:paraId="5B04B4CC" w14:textId="77777777" w:rsidR="00776A1F" w:rsidRDefault="00D8574B">
            <w:pPr>
              <w:pStyle w:val="P68B1DB1-Normal23"/>
              <w:spacing w:after="0"/>
              <w:jc w:val="center"/>
              <w:rPr>
                <w:noProof/>
              </w:rPr>
            </w:pPr>
            <w:r>
              <w:rPr>
                <w:noProof/>
              </w:rPr>
              <w:t xml:space="preserve">Re-C06-r16 </w:t>
            </w:r>
          </w:p>
        </w:tc>
        <w:tc>
          <w:tcPr>
            <w:tcW w:w="1520" w:type="dxa"/>
            <w:shd w:val="clear" w:color="auto" w:fill="C4EFCE"/>
            <w:vAlign w:val="center"/>
            <w:hideMark/>
          </w:tcPr>
          <w:p w14:paraId="5E98D411"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80C87D7" w14:textId="77777777" w:rsidR="00776A1F" w:rsidRDefault="00D8574B">
            <w:pPr>
              <w:pStyle w:val="P68B1DB1-Normal23"/>
              <w:spacing w:after="0"/>
              <w:jc w:val="both"/>
              <w:rPr>
                <w:rFonts w:eastAsia="Calibri" w:cs="Calibri"/>
                <w:noProof/>
              </w:rPr>
            </w:pPr>
            <w:r>
              <w:rPr>
                <w:noProof/>
              </w:rPr>
              <w:t>Likuma par reglamentētajām profesijām stāšanās spēkā</w:t>
            </w:r>
          </w:p>
        </w:tc>
      </w:tr>
      <w:tr w:rsidR="00776A1F" w14:paraId="4983771D" w14:textId="77777777">
        <w:trPr>
          <w:trHeight w:val="440"/>
        </w:trPr>
        <w:tc>
          <w:tcPr>
            <w:tcW w:w="1200" w:type="dxa"/>
            <w:shd w:val="clear" w:color="auto" w:fill="C4EFCE"/>
            <w:vAlign w:val="center"/>
            <w:hideMark/>
          </w:tcPr>
          <w:p w14:paraId="104D5E80" w14:textId="77777777" w:rsidR="00776A1F" w:rsidRDefault="00D8574B">
            <w:pPr>
              <w:pStyle w:val="P68B1DB1-Normal23"/>
              <w:spacing w:after="0"/>
              <w:jc w:val="center"/>
              <w:rPr>
                <w:noProof/>
              </w:rPr>
            </w:pPr>
            <w:r>
              <w:rPr>
                <w:noProof/>
              </w:rPr>
              <w:t>7.1</w:t>
            </w:r>
          </w:p>
        </w:tc>
        <w:tc>
          <w:tcPr>
            <w:tcW w:w="1760" w:type="dxa"/>
            <w:shd w:val="clear" w:color="auto" w:fill="C4EFCE"/>
            <w:vAlign w:val="center"/>
            <w:hideMark/>
          </w:tcPr>
          <w:p w14:paraId="032F1E62" w14:textId="77777777" w:rsidR="00776A1F" w:rsidRDefault="00D8574B">
            <w:pPr>
              <w:pStyle w:val="P68B1DB1-Normal23"/>
              <w:spacing w:after="0"/>
              <w:jc w:val="center"/>
              <w:rPr>
                <w:noProof/>
              </w:rPr>
            </w:pPr>
            <w:r>
              <w:rPr>
                <w:noProof/>
              </w:rPr>
              <w:t xml:space="preserve">Re-C07-i00 </w:t>
            </w:r>
          </w:p>
        </w:tc>
        <w:tc>
          <w:tcPr>
            <w:tcW w:w="1520" w:type="dxa"/>
            <w:shd w:val="clear" w:color="auto" w:fill="C4EFCE"/>
            <w:vAlign w:val="center"/>
            <w:hideMark/>
          </w:tcPr>
          <w:p w14:paraId="41AD4CD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0690F7A" w14:textId="7B4FDF4A" w:rsidR="00776A1F" w:rsidRDefault="00D8574B">
            <w:pPr>
              <w:pStyle w:val="P68B1DB1-Normal23"/>
              <w:spacing w:after="0"/>
              <w:jc w:val="both"/>
              <w:rPr>
                <w:rFonts w:eastAsia="Calibri" w:cs="Calibri"/>
                <w:noProof/>
              </w:rPr>
            </w:pPr>
            <w:r>
              <w:rPr>
                <w:noProof/>
              </w:rPr>
              <w:t>Publiski pieejami elektrotransportlīdzekļu uzlādes punkti</w:t>
            </w:r>
          </w:p>
        </w:tc>
      </w:tr>
      <w:tr w:rsidR="00776A1F" w14:paraId="70665A7A" w14:textId="77777777">
        <w:trPr>
          <w:trHeight w:val="440"/>
        </w:trPr>
        <w:tc>
          <w:tcPr>
            <w:tcW w:w="1200" w:type="dxa"/>
            <w:shd w:val="clear" w:color="auto" w:fill="C4EFCE"/>
            <w:vAlign w:val="center"/>
            <w:hideMark/>
          </w:tcPr>
          <w:p w14:paraId="537D6B6D" w14:textId="77777777" w:rsidR="00776A1F" w:rsidRDefault="00D8574B">
            <w:pPr>
              <w:pStyle w:val="P68B1DB1-Normal23"/>
              <w:spacing w:after="0"/>
              <w:jc w:val="center"/>
              <w:rPr>
                <w:noProof/>
              </w:rPr>
            </w:pPr>
            <w:r>
              <w:rPr>
                <w:noProof/>
              </w:rPr>
              <w:t>7.7</w:t>
            </w:r>
          </w:p>
        </w:tc>
        <w:tc>
          <w:tcPr>
            <w:tcW w:w="1760" w:type="dxa"/>
            <w:shd w:val="clear" w:color="auto" w:fill="C4EFCE"/>
            <w:vAlign w:val="center"/>
            <w:hideMark/>
          </w:tcPr>
          <w:p w14:paraId="0D8F10EA" w14:textId="77777777" w:rsidR="00776A1F" w:rsidRDefault="00D8574B">
            <w:pPr>
              <w:pStyle w:val="P68B1DB1-Normal23"/>
              <w:spacing w:after="0"/>
              <w:jc w:val="center"/>
              <w:rPr>
                <w:noProof/>
              </w:rPr>
            </w:pPr>
            <w:r>
              <w:rPr>
                <w:noProof/>
              </w:rPr>
              <w:t xml:space="preserve">Re-C07-i02 </w:t>
            </w:r>
          </w:p>
        </w:tc>
        <w:tc>
          <w:tcPr>
            <w:tcW w:w="1520" w:type="dxa"/>
            <w:shd w:val="clear" w:color="auto" w:fill="C4EFCE"/>
            <w:vAlign w:val="center"/>
            <w:hideMark/>
          </w:tcPr>
          <w:p w14:paraId="44888C17"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733934" w14:textId="77777777" w:rsidR="00776A1F" w:rsidRDefault="00D8574B">
            <w:pPr>
              <w:pStyle w:val="P68B1DB1-Normal23"/>
              <w:spacing w:after="0"/>
              <w:jc w:val="both"/>
              <w:rPr>
                <w:rFonts w:eastAsia="Calibri" w:cs="Calibri"/>
                <w:noProof/>
              </w:rPr>
            </w:pPr>
            <w:r>
              <w:rPr>
                <w:noProof/>
              </w:rPr>
              <w:t>Parakstīts līgums par diviem ceļu projektiem</w:t>
            </w:r>
          </w:p>
        </w:tc>
      </w:tr>
      <w:tr w:rsidR="00776A1F" w14:paraId="621AF830" w14:textId="77777777">
        <w:trPr>
          <w:trHeight w:val="440"/>
        </w:trPr>
        <w:tc>
          <w:tcPr>
            <w:tcW w:w="1200" w:type="dxa"/>
            <w:shd w:val="clear" w:color="auto" w:fill="C4EFCE"/>
            <w:vAlign w:val="center"/>
            <w:hideMark/>
          </w:tcPr>
          <w:p w14:paraId="21A9EB50" w14:textId="77777777" w:rsidR="00776A1F" w:rsidRDefault="00D8574B">
            <w:pPr>
              <w:pStyle w:val="P68B1DB1-Normal23"/>
              <w:spacing w:after="0"/>
              <w:jc w:val="center"/>
              <w:rPr>
                <w:noProof/>
              </w:rPr>
            </w:pPr>
            <w:r>
              <w:rPr>
                <w:noProof/>
              </w:rPr>
              <w:t>8.18</w:t>
            </w:r>
          </w:p>
        </w:tc>
        <w:tc>
          <w:tcPr>
            <w:tcW w:w="1760" w:type="dxa"/>
            <w:shd w:val="clear" w:color="auto" w:fill="C4EFCE"/>
            <w:vAlign w:val="center"/>
            <w:hideMark/>
          </w:tcPr>
          <w:p w14:paraId="0EB5329C" w14:textId="77777777" w:rsidR="00776A1F" w:rsidRDefault="00D8574B">
            <w:pPr>
              <w:pStyle w:val="P68B1DB1-Normal23"/>
              <w:spacing w:after="0"/>
              <w:jc w:val="center"/>
              <w:rPr>
                <w:noProof/>
              </w:rPr>
            </w:pPr>
            <w:r>
              <w:rPr>
                <w:noProof/>
              </w:rPr>
              <w:t xml:space="preserve">Re-C08-r20 </w:t>
            </w:r>
          </w:p>
        </w:tc>
        <w:tc>
          <w:tcPr>
            <w:tcW w:w="1520" w:type="dxa"/>
            <w:shd w:val="clear" w:color="auto" w:fill="C4EFCE"/>
            <w:vAlign w:val="center"/>
            <w:hideMark/>
          </w:tcPr>
          <w:p w14:paraId="58633647"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126370E" w14:textId="77777777" w:rsidR="00776A1F" w:rsidRDefault="00D8574B">
            <w:pPr>
              <w:pStyle w:val="P68B1DB1-Normal23"/>
              <w:spacing w:after="0"/>
              <w:jc w:val="both"/>
              <w:rPr>
                <w:rFonts w:eastAsia="Calibri" w:cs="Calibri"/>
                <w:noProof/>
              </w:rPr>
            </w:pPr>
            <w:r>
              <w:rPr>
                <w:noProof/>
              </w:rPr>
              <w:t>Zemes pārklājuma uzraudzības sistēma (SMOS)</w:t>
            </w:r>
          </w:p>
        </w:tc>
      </w:tr>
      <w:tr w:rsidR="00776A1F" w14:paraId="19D4139A" w14:textId="77777777">
        <w:trPr>
          <w:trHeight w:val="440"/>
        </w:trPr>
        <w:tc>
          <w:tcPr>
            <w:tcW w:w="1200" w:type="dxa"/>
            <w:shd w:val="clear" w:color="auto" w:fill="C4EFCE"/>
            <w:vAlign w:val="center"/>
            <w:hideMark/>
          </w:tcPr>
          <w:p w14:paraId="3FB03D0D" w14:textId="77777777" w:rsidR="00776A1F" w:rsidRDefault="00D8574B">
            <w:pPr>
              <w:pStyle w:val="P68B1DB1-Normal23"/>
              <w:spacing w:after="0"/>
              <w:jc w:val="center"/>
              <w:rPr>
                <w:noProof/>
              </w:rPr>
            </w:pPr>
            <w:r>
              <w:rPr>
                <w:noProof/>
              </w:rPr>
              <w:t>12.6</w:t>
            </w:r>
          </w:p>
        </w:tc>
        <w:tc>
          <w:tcPr>
            <w:tcW w:w="1760" w:type="dxa"/>
            <w:shd w:val="clear" w:color="auto" w:fill="C4EFCE"/>
            <w:vAlign w:val="center"/>
            <w:hideMark/>
          </w:tcPr>
          <w:p w14:paraId="6722FFFA" w14:textId="77777777" w:rsidR="00776A1F" w:rsidRDefault="00D8574B">
            <w:pPr>
              <w:pStyle w:val="P68B1DB1-Normal23"/>
              <w:spacing w:after="0"/>
              <w:jc w:val="center"/>
              <w:rPr>
                <w:noProof/>
              </w:rPr>
            </w:pPr>
            <w:r>
              <w:rPr>
                <w:noProof/>
              </w:rPr>
              <w:t xml:space="preserve">TC-C12-r25 </w:t>
            </w:r>
          </w:p>
        </w:tc>
        <w:tc>
          <w:tcPr>
            <w:tcW w:w="1520" w:type="dxa"/>
            <w:shd w:val="clear" w:color="auto" w:fill="C4EFCE"/>
            <w:vAlign w:val="center"/>
            <w:hideMark/>
          </w:tcPr>
          <w:p w14:paraId="44C2F502"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63E29BE" w14:textId="77777777" w:rsidR="00776A1F" w:rsidRDefault="00D8574B">
            <w:pPr>
              <w:pStyle w:val="P68B1DB1-Normal23"/>
              <w:spacing w:after="0"/>
              <w:jc w:val="both"/>
              <w:rPr>
                <w:rFonts w:eastAsia="Calibri" w:cs="Calibri"/>
                <w:noProof/>
              </w:rPr>
            </w:pPr>
            <w:r>
              <w:rPr>
                <w:noProof/>
              </w:rPr>
              <w:t>Pārskatītās zaļā publiskā iepirkuma valsts stratēģijas stāšanās spēkā</w:t>
            </w:r>
          </w:p>
        </w:tc>
      </w:tr>
      <w:tr w:rsidR="00776A1F" w14:paraId="41FFE3C7" w14:textId="77777777">
        <w:trPr>
          <w:trHeight w:val="440"/>
        </w:trPr>
        <w:tc>
          <w:tcPr>
            <w:tcW w:w="1200" w:type="dxa"/>
            <w:shd w:val="clear" w:color="auto" w:fill="C4EFCE"/>
            <w:vAlign w:val="center"/>
            <w:hideMark/>
          </w:tcPr>
          <w:p w14:paraId="7800A98C" w14:textId="77777777" w:rsidR="00776A1F" w:rsidRDefault="00D8574B">
            <w:pPr>
              <w:pStyle w:val="P68B1DB1-Normal23"/>
              <w:spacing w:after="0"/>
              <w:jc w:val="center"/>
              <w:rPr>
                <w:noProof/>
              </w:rPr>
            </w:pPr>
            <w:r>
              <w:rPr>
                <w:noProof/>
              </w:rPr>
              <w:t>15.12</w:t>
            </w:r>
          </w:p>
        </w:tc>
        <w:tc>
          <w:tcPr>
            <w:tcW w:w="1760" w:type="dxa"/>
            <w:shd w:val="clear" w:color="auto" w:fill="C4EFCE"/>
            <w:vAlign w:val="center"/>
            <w:hideMark/>
          </w:tcPr>
          <w:p w14:paraId="4C755F50" w14:textId="77777777" w:rsidR="00776A1F" w:rsidRDefault="00D8574B">
            <w:pPr>
              <w:pStyle w:val="P68B1DB1-Normal23"/>
              <w:spacing w:after="0"/>
              <w:jc w:val="center"/>
              <w:rPr>
                <w:noProof/>
              </w:rPr>
            </w:pPr>
            <w:r>
              <w:rPr>
                <w:noProof/>
              </w:rPr>
              <w:t xml:space="preserve">TC-C15-i05 </w:t>
            </w:r>
          </w:p>
        </w:tc>
        <w:tc>
          <w:tcPr>
            <w:tcW w:w="1520" w:type="dxa"/>
            <w:shd w:val="clear" w:color="auto" w:fill="C4EFCE"/>
            <w:vAlign w:val="center"/>
            <w:hideMark/>
          </w:tcPr>
          <w:p w14:paraId="4DD658DA"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31B8667" w14:textId="77777777" w:rsidR="00776A1F" w:rsidRDefault="00D8574B">
            <w:pPr>
              <w:pStyle w:val="P68B1DB1-Normal23"/>
              <w:spacing w:after="0"/>
              <w:jc w:val="both"/>
              <w:rPr>
                <w:rFonts w:eastAsia="Calibri" w:cs="Calibri"/>
                <w:noProof/>
              </w:rPr>
            </w:pPr>
            <w:r>
              <w:rPr>
                <w:noProof/>
              </w:rPr>
              <w:t>Līgums parakstīts par tīru autobusu iegādi saskaņā ar Sabiedriskā transporta dekarbonizācijas programmu</w:t>
            </w:r>
          </w:p>
        </w:tc>
      </w:tr>
      <w:tr w:rsidR="00776A1F" w14:paraId="39E8616F" w14:textId="77777777">
        <w:trPr>
          <w:trHeight w:val="440"/>
        </w:trPr>
        <w:tc>
          <w:tcPr>
            <w:tcW w:w="1200" w:type="dxa"/>
            <w:shd w:val="clear" w:color="auto" w:fill="C4EFCE"/>
            <w:vAlign w:val="center"/>
            <w:hideMark/>
          </w:tcPr>
          <w:p w14:paraId="10D21247" w14:textId="77777777" w:rsidR="00776A1F" w:rsidRDefault="00D8574B">
            <w:pPr>
              <w:pStyle w:val="P68B1DB1-Normal23"/>
              <w:spacing w:after="0"/>
              <w:jc w:val="center"/>
              <w:rPr>
                <w:noProof/>
              </w:rPr>
            </w:pPr>
            <w:r>
              <w:rPr>
                <w:noProof/>
              </w:rPr>
              <w:t>16.7</w:t>
            </w:r>
          </w:p>
        </w:tc>
        <w:tc>
          <w:tcPr>
            <w:tcW w:w="1760" w:type="dxa"/>
            <w:shd w:val="clear" w:color="auto" w:fill="C4EFCE"/>
            <w:vAlign w:val="center"/>
            <w:hideMark/>
          </w:tcPr>
          <w:p w14:paraId="6613DE1F" w14:textId="77777777" w:rsidR="00776A1F" w:rsidRDefault="00D8574B">
            <w:pPr>
              <w:pStyle w:val="P68B1DB1-Normal23"/>
              <w:spacing w:after="0"/>
              <w:jc w:val="center"/>
              <w:rPr>
                <w:noProof/>
              </w:rPr>
            </w:pPr>
            <w:r>
              <w:rPr>
                <w:noProof/>
              </w:rPr>
              <w:t xml:space="preserve">TD-C16-i02 </w:t>
            </w:r>
          </w:p>
        </w:tc>
        <w:tc>
          <w:tcPr>
            <w:tcW w:w="1520" w:type="dxa"/>
            <w:shd w:val="clear" w:color="auto" w:fill="C4EFCE"/>
            <w:vAlign w:val="center"/>
            <w:hideMark/>
          </w:tcPr>
          <w:p w14:paraId="233D2B2C"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ADFDA3" w14:textId="77777777" w:rsidR="00776A1F" w:rsidRDefault="00D8574B">
            <w:pPr>
              <w:pStyle w:val="P68B1DB1-Normal23"/>
              <w:spacing w:after="0"/>
              <w:jc w:val="both"/>
              <w:rPr>
                <w:rFonts w:eastAsia="Calibri" w:cs="Calibri"/>
                <w:noProof/>
              </w:rPr>
            </w:pPr>
            <w:r>
              <w:rPr>
                <w:noProof/>
              </w:rPr>
              <w:t>Testa balsti, kas atlasīti Nacionālajam testa balstu tīklam</w:t>
            </w:r>
          </w:p>
        </w:tc>
      </w:tr>
      <w:tr w:rsidR="00776A1F" w14:paraId="209EA40D" w14:textId="77777777">
        <w:trPr>
          <w:trHeight w:val="440"/>
        </w:trPr>
        <w:tc>
          <w:tcPr>
            <w:tcW w:w="1200" w:type="dxa"/>
            <w:shd w:val="clear" w:color="auto" w:fill="C4EFCE"/>
            <w:vAlign w:val="center"/>
            <w:hideMark/>
          </w:tcPr>
          <w:p w14:paraId="22EEA5AF" w14:textId="77777777" w:rsidR="00776A1F" w:rsidRDefault="00D8574B">
            <w:pPr>
              <w:pStyle w:val="P68B1DB1-Normal23"/>
              <w:spacing w:after="0"/>
              <w:jc w:val="center"/>
              <w:rPr>
                <w:noProof/>
              </w:rPr>
            </w:pPr>
            <w:r>
              <w:rPr>
                <w:noProof/>
              </w:rPr>
              <w:t>17.1</w:t>
            </w:r>
          </w:p>
        </w:tc>
        <w:tc>
          <w:tcPr>
            <w:tcW w:w="1760" w:type="dxa"/>
            <w:shd w:val="clear" w:color="auto" w:fill="C4EFCE"/>
            <w:vAlign w:val="center"/>
            <w:hideMark/>
          </w:tcPr>
          <w:p w14:paraId="3856F38E" w14:textId="77777777" w:rsidR="00776A1F" w:rsidRDefault="00D8574B">
            <w:pPr>
              <w:pStyle w:val="P68B1DB1-Normal23"/>
              <w:spacing w:after="0"/>
              <w:jc w:val="center"/>
              <w:rPr>
                <w:noProof/>
              </w:rPr>
            </w:pPr>
            <w:r>
              <w:rPr>
                <w:noProof/>
              </w:rPr>
              <w:t xml:space="preserve">TD-C17-r32 </w:t>
            </w:r>
          </w:p>
        </w:tc>
        <w:tc>
          <w:tcPr>
            <w:tcW w:w="1520" w:type="dxa"/>
            <w:shd w:val="clear" w:color="auto" w:fill="C4EFCE"/>
            <w:vAlign w:val="center"/>
            <w:hideMark/>
          </w:tcPr>
          <w:p w14:paraId="7ACA6546"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19C34B4" w14:textId="77777777" w:rsidR="00776A1F" w:rsidRDefault="00D8574B">
            <w:pPr>
              <w:pStyle w:val="P68B1DB1-Normal23"/>
              <w:spacing w:after="0"/>
              <w:jc w:val="both"/>
              <w:rPr>
                <w:rFonts w:eastAsia="Calibri" w:cs="Calibri"/>
                <w:noProof/>
              </w:rPr>
            </w:pPr>
            <w:r>
              <w:rPr>
                <w:noProof/>
              </w:rPr>
              <w:t>Pabeigt jaunu iepirkuma modeļu izstrādi un īstenošanu valsts centrālajai publiskā iepirkuma sistēmai, kā paredzēts publiskās pārvaldes kopīgo pakalpojumu subjekta stratēģiskajā plānā 2020.–2023. gadam</w:t>
            </w:r>
          </w:p>
        </w:tc>
      </w:tr>
      <w:tr w:rsidR="00776A1F" w14:paraId="3F6B3ED7" w14:textId="77777777">
        <w:trPr>
          <w:trHeight w:val="440"/>
        </w:trPr>
        <w:tc>
          <w:tcPr>
            <w:tcW w:w="1200" w:type="dxa"/>
            <w:shd w:val="clear" w:color="auto" w:fill="C4EFCE"/>
            <w:vAlign w:val="center"/>
            <w:hideMark/>
          </w:tcPr>
          <w:p w14:paraId="01084538" w14:textId="77777777" w:rsidR="00776A1F" w:rsidRDefault="00D8574B">
            <w:pPr>
              <w:pStyle w:val="P68B1DB1-Normal23"/>
              <w:spacing w:after="0"/>
              <w:jc w:val="center"/>
              <w:rPr>
                <w:noProof/>
              </w:rPr>
            </w:pPr>
            <w:r>
              <w:rPr>
                <w:noProof/>
              </w:rPr>
              <w:t>17.2</w:t>
            </w:r>
          </w:p>
        </w:tc>
        <w:tc>
          <w:tcPr>
            <w:tcW w:w="1760" w:type="dxa"/>
            <w:shd w:val="clear" w:color="auto" w:fill="C4EFCE"/>
            <w:vAlign w:val="center"/>
            <w:hideMark/>
          </w:tcPr>
          <w:p w14:paraId="35541530" w14:textId="77777777" w:rsidR="00776A1F" w:rsidRDefault="00D8574B">
            <w:pPr>
              <w:pStyle w:val="P68B1DB1-Normal23"/>
              <w:spacing w:after="0"/>
              <w:jc w:val="center"/>
              <w:rPr>
                <w:noProof/>
              </w:rPr>
            </w:pPr>
            <w:r>
              <w:rPr>
                <w:noProof/>
              </w:rPr>
              <w:t xml:space="preserve">TD-C17-r32 </w:t>
            </w:r>
          </w:p>
        </w:tc>
        <w:tc>
          <w:tcPr>
            <w:tcW w:w="1520" w:type="dxa"/>
            <w:shd w:val="clear" w:color="auto" w:fill="C4EFCE"/>
            <w:vAlign w:val="center"/>
            <w:hideMark/>
          </w:tcPr>
          <w:p w14:paraId="75BDB3D8"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9A94FE8" w14:textId="77777777" w:rsidR="00776A1F" w:rsidRDefault="00D8574B">
            <w:pPr>
              <w:pStyle w:val="P68B1DB1-Normal23"/>
              <w:spacing w:after="0"/>
              <w:jc w:val="both"/>
              <w:rPr>
                <w:rFonts w:eastAsia="Calibri" w:cs="Calibri"/>
                <w:noProof/>
              </w:rPr>
            </w:pPr>
            <w:r>
              <w:rPr>
                <w:noProof/>
              </w:rPr>
              <w:t>Valsts grāmatvedības vienības pamatā esošo tiesību aktu stāšanās spēkā</w:t>
            </w:r>
          </w:p>
        </w:tc>
      </w:tr>
      <w:tr w:rsidR="00776A1F" w14:paraId="63E30D88" w14:textId="77777777">
        <w:trPr>
          <w:trHeight w:val="440"/>
        </w:trPr>
        <w:tc>
          <w:tcPr>
            <w:tcW w:w="1200" w:type="dxa"/>
            <w:shd w:val="clear" w:color="auto" w:fill="C4EFCE"/>
            <w:vAlign w:val="center"/>
            <w:hideMark/>
          </w:tcPr>
          <w:p w14:paraId="1056837E" w14:textId="77777777" w:rsidR="00776A1F" w:rsidRDefault="00D8574B">
            <w:pPr>
              <w:pStyle w:val="P68B1DB1-Normal23"/>
              <w:spacing w:after="0"/>
              <w:jc w:val="center"/>
              <w:rPr>
                <w:noProof/>
              </w:rPr>
            </w:pPr>
            <w:r>
              <w:rPr>
                <w:noProof/>
              </w:rPr>
              <w:t>17.3</w:t>
            </w:r>
          </w:p>
        </w:tc>
        <w:tc>
          <w:tcPr>
            <w:tcW w:w="1760" w:type="dxa"/>
            <w:shd w:val="clear" w:color="auto" w:fill="C4EFCE"/>
            <w:vAlign w:val="center"/>
            <w:hideMark/>
          </w:tcPr>
          <w:p w14:paraId="61FF33E4" w14:textId="77777777" w:rsidR="00776A1F" w:rsidRDefault="00D8574B">
            <w:pPr>
              <w:pStyle w:val="P68B1DB1-Normal23"/>
              <w:spacing w:after="0"/>
              <w:jc w:val="center"/>
              <w:rPr>
                <w:noProof/>
              </w:rPr>
            </w:pPr>
            <w:r>
              <w:rPr>
                <w:noProof/>
              </w:rPr>
              <w:t xml:space="preserve">TD-C17-r32 </w:t>
            </w:r>
          </w:p>
        </w:tc>
        <w:tc>
          <w:tcPr>
            <w:tcW w:w="1520" w:type="dxa"/>
            <w:shd w:val="clear" w:color="auto" w:fill="C4EFCE"/>
            <w:vAlign w:val="center"/>
            <w:hideMark/>
          </w:tcPr>
          <w:p w14:paraId="167697BC"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EA7BBF8" w14:textId="77777777" w:rsidR="00776A1F" w:rsidRDefault="00D8574B">
            <w:pPr>
              <w:pStyle w:val="P68B1DB1-Normal23"/>
              <w:spacing w:after="0"/>
              <w:jc w:val="both"/>
              <w:rPr>
                <w:rFonts w:eastAsia="Calibri" w:cs="Calibri"/>
                <w:noProof/>
              </w:rPr>
            </w:pPr>
            <w:r>
              <w:rPr>
                <w:noProof/>
              </w:rPr>
              <w:t>Vispārējās valdības budžeta un finanšu izpildes uzraudzības modeļa pabeigšana un apstiprināšana</w:t>
            </w:r>
          </w:p>
        </w:tc>
      </w:tr>
      <w:tr w:rsidR="00776A1F" w14:paraId="341F280E" w14:textId="77777777">
        <w:trPr>
          <w:trHeight w:val="440"/>
        </w:trPr>
        <w:tc>
          <w:tcPr>
            <w:tcW w:w="1200" w:type="dxa"/>
            <w:shd w:val="clear" w:color="auto" w:fill="C4EFCE"/>
            <w:vAlign w:val="center"/>
            <w:hideMark/>
          </w:tcPr>
          <w:p w14:paraId="188AFE97" w14:textId="77777777" w:rsidR="00776A1F" w:rsidRDefault="00D8574B">
            <w:pPr>
              <w:pStyle w:val="P68B1DB1-Normal23"/>
              <w:spacing w:after="0"/>
              <w:jc w:val="center"/>
              <w:rPr>
                <w:noProof/>
              </w:rPr>
            </w:pPr>
            <w:r>
              <w:rPr>
                <w:noProof/>
              </w:rPr>
              <w:t>17.7</w:t>
            </w:r>
          </w:p>
        </w:tc>
        <w:tc>
          <w:tcPr>
            <w:tcW w:w="1760" w:type="dxa"/>
            <w:shd w:val="clear" w:color="auto" w:fill="C4EFCE"/>
            <w:vAlign w:val="center"/>
            <w:hideMark/>
          </w:tcPr>
          <w:p w14:paraId="275594B7" w14:textId="77777777" w:rsidR="00776A1F" w:rsidRDefault="00D8574B">
            <w:pPr>
              <w:pStyle w:val="P68B1DB1-Normal23"/>
              <w:spacing w:after="0"/>
              <w:jc w:val="center"/>
              <w:rPr>
                <w:noProof/>
              </w:rPr>
            </w:pPr>
            <w:r>
              <w:rPr>
                <w:noProof/>
              </w:rPr>
              <w:t xml:space="preserve">TD-C17-r32 </w:t>
            </w:r>
          </w:p>
        </w:tc>
        <w:tc>
          <w:tcPr>
            <w:tcW w:w="1520" w:type="dxa"/>
            <w:shd w:val="clear" w:color="auto" w:fill="C4EFCE"/>
            <w:vAlign w:val="center"/>
            <w:hideMark/>
          </w:tcPr>
          <w:p w14:paraId="1936EA41"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AC574CF" w14:textId="77777777" w:rsidR="00776A1F" w:rsidRDefault="00D8574B">
            <w:pPr>
              <w:pStyle w:val="P68B1DB1-Normal23"/>
              <w:spacing w:after="0"/>
              <w:jc w:val="both"/>
              <w:rPr>
                <w:rFonts w:eastAsia="Calibri" w:cs="Calibri"/>
                <w:noProof/>
              </w:rPr>
            </w:pPr>
            <w:r>
              <w:rPr>
                <w:noProof/>
              </w:rPr>
              <w:t>Stājas spēkā jaunais modelis valsts uzņēmumu finansiālā stāvokļa un darbības rezultātu analīzei un atklāšanai</w:t>
            </w:r>
          </w:p>
        </w:tc>
      </w:tr>
      <w:tr w:rsidR="00776A1F" w14:paraId="3B0F106A" w14:textId="77777777">
        <w:trPr>
          <w:trHeight w:val="440"/>
        </w:trPr>
        <w:tc>
          <w:tcPr>
            <w:tcW w:w="1200" w:type="dxa"/>
            <w:shd w:val="clear" w:color="auto" w:fill="C4EFCE"/>
            <w:vAlign w:val="center"/>
            <w:hideMark/>
          </w:tcPr>
          <w:p w14:paraId="2A50687F" w14:textId="77777777" w:rsidR="00776A1F" w:rsidRDefault="00D8574B">
            <w:pPr>
              <w:pStyle w:val="P68B1DB1-Normal23"/>
              <w:spacing w:after="0"/>
              <w:jc w:val="center"/>
              <w:rPr>
                <w:noProof/>
              </w:rPr>
            </w:pPr>
            <w:r>
              <w:rPr>
                <w:noProof/>
              </w:rPr>
              <w:t>19.1</w:t>
            </w:r>
          </w:p>
        </w:tc>
        <w:tc>
          <w:tcPr>
            <w:tcW w:w="1760" w:type="dxa"/>
            <w:shd w:val="clear" w:color="auto" w:fill="C4EFCE"/>
            <w:vAlign w:val="center"/>
            <w:hideMark/>
          </w:tcPr>
          <w:p w14:paraId="69C58795" w14:textId="77777777" w:rsidR="00776A1F" w:rsidRDefault="00D8574B">
            <w:pPr>
              <w:pStyle w:val="P68B1DB1-Normal23"/>
              <w:spacing w:after="0"/>
              <w:jc w:val="center"/>
              <w:rPr>
                <w:noProof/>
              </w:rPr>
            </w:pPr>
            <w:r>
              <w:rPr>
                <w:noProof/>
              </w:rPr>
              <w:t xml:space="preserve">TD-C19-i01 </w:t>
            </w:r>
          </w:p>
        </w:tc>
        <w:tc>
          <w:tcPr>
            <w:tcW w:w="1520" w:type="dxa"/>
            <w:shd w:val="clear" w:color="auto" w:fill="C4EFCE"/>
            <w:vAlign w:val="center"/>
            <w:hideMark/>
          </w:tcPr>
          <w:p w14:paraId="59EF48D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BCAB859" w14:textId="77777777" w:rsidR="00776A1F" w:rsidRDefault="00D8574B">
            <w:pPr>
              <w:pStyle w:val="P68B1DB1-Normal23"/>
              <w:spacing w:after="0"/>
              <w:jc w:val="both"/>
              <w:rPr>
                <w:rFonts w:eastAsia="Calibri" w:cs="Calibri"/>
                <w:noProof/>
              </w:rPr>
            </w:pPr>
            <w:r>
              <w:rPr>
                <w:noProof/>
              </w:rPr>
              <w:t>Sabiedriskie pakalpojumi, kas pieejami vienkāršotā un saskaņotā veidā pa dažādiem kanāliem</w:t>
            </w:r>
          </w:p>
        </w:tc>
      </w:tr>
      <w:tr w:rsidR="00776A1F" w14:paraId="6A1F9585" w14:textId="77777777">
        <w:trPr>
          <w:trHeight w:val="440"/>
        </w:trPr>
        <w:tc>
          <w:tcPr>
            <w:tcW w:w="1200" w:type="dxa"/>
            <w:shd w:val="clear" w:color="auto" w:fill="C4EFCE"/>
            <w:vAlign w:val="center"/>
            <w:hideMark/>
          </w:tcPr>
          <w:p w14:paraId="4BF5836E" w14:textId="77777777" w:rsidR="00776A1F" w:rsidRDefault="00D8574B">
            <w:pPr>
              <w:pStyle w:val="P68B1DB1-Normal23"/>
              <w:spacing w:after="0"/>
              <w:jc w:val="center"/>
              <w:rPr>
                <w:noProof/>
              </w:rPr>
            </w:pPr>
            <w:r>
              <w:rPr>
                <w:noProof/>
              </w:rPr>
              <w:t>19.4</w:t>
            </w:r>
          </w:p>
        </w:tc>
        <w:tc>
          <w:tcPr>
            <w:tcW w:w="1760" w:type="dxa"/>
            <w:shd w:val="clear" w:color="auto" w:fill="C4EFCE"/>
            <w:vAlign w:val="center"/>
            <w:hideMark/>
          </w:tcPr>
          <w:p w14:paraId="24BFF365" w14:textId="77777777" w:rsidR="00776A1F" w:rsidRDefault="00D8574B">
            <w:pPr>
              <w:pStyle w:val="P68B1DB1-Normal23"/>
              <w:spacing w:after="0"/>
              <w:jc w:val="center"/>
              <w:rPr>
                <w:noProof/>
              </w:rPr>
            </w:pPr>
            <w:r>
              <w:rPr>
                <w:noProof/>
              </w:rPr>
              <w:t xml:space="preserve">TD-C19-i02 </w:t>
            </w:r>
          </w:p>
        </w:tc>
        <w:tc>
          <w:tcPr>
            <w:tcW w:w="1520" w:type="dxa"/>
            <w:shd w:val="clear" w:color="auto" w:fill="C4EFCE"/>
            <w:vAlign w:val="center"/>
            <w:hideMark/>
          </w:tcPr>
          <w:p w14:paraId="72E93AC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8803935" w14:textId="77777777" w:rsidR="00776A1F" w:rsidRDefault="00D8574B">
            <w:pPr>
              <w:pStyle w:val="P68B1DB1-Normal23"/>
              <w:spacing w:after="0"/>
              <w:jc w:val="both"/>
              <w:rPr>
                <w:rFonts w:eastAsia="Calibri" w:cs="Calibri"/>
                <w:noProof/>
              </w:rPr>
            </w:pPr>
            <w:r>
              <w:rPr>
                <w:noProof/>
              </w:rPr>
              <w:t>Publiskie pakalpojumi, kas ir droši pieejami, izmantojot elektronisko identitāti un ievērojot vienreizējas iesniegšanas principu</w:t>
            </w:r>
          </w:p>
        </w:tc>
      </w:tr>
      <w:tr w:rsidR="00776A1F" w14:paraId="4FC6C1D5" w14:textId="77777777">
        <w:trPr>
          <w:trHeight w:val="440"/>
        </w:trPr>
        <w:tc>
          <w:tcPr>
            <w:tcW w:w="1200" w:type="dxa"/>
            <w:shd w:val="clear" w:color="auto" w:fill="C4EFCE"/>
            <w:vAlign w:val="center"/>
            <w:hideMark/>
          </w:tcPr>
          <w:p w14:paraId="58B8057A" w14:textId="77777777" w:rsidR="00776A1F" w:rsidRDefault="00D8574B">
            <w:pPr>
              <w:pStyle w:val="P68B1DB1-Normal23"/>
              <w:spacing w:after="0"/>
              <w:jc w:val="center"/>
              <w:rPr>
                <w:noProof/>
              </w:rPr>
            </w:pPr>
            <w:r>
              <w:rPr>
                <w:noProof/>
              </w:rPr>
              <w:t>20.3</w:t>
            </w:r>
          </w:p>
        </w:tc>
        <w:tc>
          <w:tcPr>
            <w:tcW w:w="1760" w:type="dxa"/>
            <w:shd w:val="clear" w:color="auto" w:fill="C4EFCE"/>
            <w:vAlign w:val="center"/>
            <w:hideMark/>
          </w:tcPr>
          <w:p w14:paraId="26B70452" w14:textId="77777777" w:rsidR="00776A1F" w:rsidRDefault="00D8574B">
            <w:pPr>
              <w:pStyle w:val="P68B1DB1-Normal23"/>
              <w:spacing w:after="0"/>
              <w:jc w:val="center"/>
              <w:rPr>
                <w:noProof/>
              </w:rPr>
            </w:pPr>
            <w:r>
              <w:rPr>
                <w:noProof/>
              </w:rPr>
              <w:t xml:space="preserve">TD-C20-i01 </w:t>
            </w:r>
          </w:p>
        </w:tc>
        <w:tc>
          <w:tcPr>
            <w:tcW w:w="1520" w:type="dxa"/>
            <w:shd w:val="clear" w:color="auto" w:fill="C4EFCE"/>
            <w:vAlign w:val="center"/>
            <w:hideMark/>
          </w:tcPr>
          <w:p w14:paraId="562D7FF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A927607" w14:textId="77777777" w:rsidR="00776A1F" w:rsidRDefault="00D8574B">
            <w:pPr>
              <w:pStyle w:val="P68B1DB1-Normal23"/>
              <w:spacing w:after="0"/>
              <w:jc w:val="both"/>
              <w:rPr>
                <w:rFonts w:eastAsia="Calibri" w:cs="Calibri"/>
                <w:noProof/>
              </w:rPr>
            </w:pPr>
            <w:r>
              <w:rPr>
                <w:noProof/>
              </w:rPr>
              <w:t>Datori skolēnu un skolotāju individuālai lietošanai</w:t>
            </w:r>
          </w:p>
        </w:tc>
      </w:tr>
      <w:tr w:rsidR="00776A1F" w14:paraId="6F9EE469" w14:textId="77777777">
        <w:trPr>
          <w:trHeight w:val="440"/>
        </w:trPr>
        <w:tc>
          <w:tcPr>
            <w:tcW w:w="1200" w:type="dxa"/>
            <w:shd w:val="clear" w:color="auto" w:fill="C4EFCE"/>
            <w:vAlign w:val="center"/>
            <w:hideMark/>
          </w:tcPr>
          <w:p w14:paraId="1706F9AC" w14:textId="77777777" w:rsidR="00776A1F" w:rsidRDefault="00D8574B">
            <w:pPr>
              <w:pStyle w:val="P68B1DB1-Normal23"/>
              <w:spacing w:after="0"/>
              <w:jc w:val="center"/>
              <w:rPr>
                <w:noProof/>
              </w:rPr>
            </w:pPr>
            <w:r>
              <w:rPr>
                <w:noProof/>
              </w:rPr>
              <w:t>20.10</w:t>
            </w:r>
          </w:p>
        </w:tc>
        <w:tc>
          <w:tcPr>
            <w:tcW w:w="1760" w:type="dxa"/>
            <w:shd w:val="clear" w:color="auto" w:fill="C4EFCE"/>
            <w:vAlign w:val="center"/>
            <w:hideMark/>
          </w:tcPr>
          <w:p w14:paraId="01A5078A" w14:textId="77777777" w:rsidR="00776A1F" w:rsidRDefault="00D8574B">
            <w:pPr>
              <w:pStyle w:val="P68B1DB1-Normal23"/>
              <w:spacing w:after="0"/>
              <w:jc w:val="center"/>
              <w:rPr>
                <w:noProof/>
              </w:rPr>
            </w:pPr>
            <w:r>
              <w:rPr>
                <w:noProof/>
              </w:rPr>
              <w:t xml:space="preserve">TD-C20-i02-RAA </w:t>
            </w:r>
          </w:p>
        </w:tc>
        <w:tc>
          <w:tcPr>
            <w:tcW w:w="1520" w:type="dxa"/>
            <w:shd w:val="clear" w:color="auto" w:fill="C4EFCE"/>
            <w:vAlign w:val="center"/>
            <w:hideMark/>
          </w:tcPr>
          <w:p w14:paraId="331EFA9F"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6817629" w14:textId="77777777" w:rsidR="00776A1F" w:rsidRDefault="00D8574B">
            <w:pPr>
              <w:pStyle w:val="P68B1DB1-Normal23"/>
              <w:spacing w:after="0"/>
              <w:jc w:val="both"/>
              <w:rPr>
                <w:rFonts w:eastAsia="Calibri" w:cs="Calibri"/>
                <w:noProof/>
              </w:rPr>
            </w:pPr>
            <w:r>
              <w:rPr>
                <w:noProof/>
              </w:rPr>
              <w:t>Plaši atvērti tiešsaistes kursi skolotājiem un vecākiem ARA</w:t>
            </w:r>
          </w:p>
        </w:tc>
      </w:tr>
      <w:tr w:rsidR="00776A1F" w14:paraId="218A5DAF" w14:textId="77777777">
        <w:trPr>
          <w:trHeight w:val="440"/>
        </w:trPr>
        <w:tc>
          <w:tcPr>
            <w:tcW w:w="1200" w:type="dxa"/>
            <w:shd w:val="clear" w:color="auto" w:fill="C4EFCE"/>
            <w:vAlign w:val="center"/>
            <w:hideMark/>
          </w:tcPr>
          <w:p w14:paraId="3DAD8CAD" w14:textId="77777777" w:rsidR="00776A1F" w:rsidRDefault="00D8574B">
            <w:pPr>
              <w:pStyle w:val="P68B1DB1-Normal23"/>
              <w:spacing w:after="0"/>
              <w:jc w:val="center"/>
              <w:rPr>
                <w:noProof/>
              </w:rPr>
            </w:pPr>
            <w:r>
              <w:rPr>
                <w:noProof/>
              </w:rPr>
              <w:t>20.14</w:t>
            </w:r>
          </w:p>
        </w:tc>
        <w:tc>
          <w:tcPr>
            <w:tcW w:w="1760" w:type="dxa"/>
            <w:shd w:val="clear" w:color="auto" w:fill="C4EFCE"/>
            <w:vAlign w:val="center"/>
            <w:hideMark/>
          </w:tcPr>
          <w:p w14:paraId="45FA9E7E" w14:textId="77777777" w:rsidR="00776A1F" w:rsidRDefault="00D8574B">
            <w:pPr>
              <w:pStyle w:val="P68B1DB1-Normal23"/>
              <w:spacing w:after="0"/>
              <w:jc w:val="center"/>
              <w:rPr>
                <w:noProof/>
              </w:rPr>
            </w:pPr>
            <w:r>
              <w:rPr>
                <w:noProof/>
              </w:rPr>
              <w:t xml:space="preserve">TD-C20-i03-RAM </w:t>
            </w:r>
          </w:p>
        </w:tc>
        <w:tc>
          <w:tcPr>
            <w:tcW w:w="1520" w:type="dxa"/>
            <w:shd w:val="clear" w:color="auto" w:fill="C4EFCE"/>
            <w:vAlign w:val="center"/>
            <w:hideMark/>
          </w:tcPr>
          <w:p w14:paraId="3A9F12D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3A30F30" w14:textId="77777777" w:rsidR="00776A1F" w:rsidRDefault="00D8574B">
            <w:pPr>
              <w:pStyle w:val="P68B1DB1-Normal23"/>
              <w:spacing w:after="0"/>
              <w:jc w:val="both"/>
              <w:rPr>
                <w:rFonts w:eastAsia="Calibri" w:cs="Calibri"/>
                <w:noProof/>
              </w:rPr>
            </w:pPr>
            <w:r>
              <w:rPr>
                <w:noProof/>
              </w:rPr>
              <w:t>Digitālās rokasgrāmatas otrā un trešā cikla skolēniem un vidusskolēniem</w:t>
            </w:r>
          </w:p>
        </w:tc>
      </w:tr>
      <w:tr w:rsidR="00776A1F" w14:paraId="13FE7E31" w14:textId="77777777">
        <w:trPr>
          <w:trHeight w:val="440"/>
        </w:trPr>
        <w:tc>
          <w:tcPr>
            <w:tcW w:w="1200" w:type="dxa"/>
            <w:shd w:val="clear" w:color="auto" w:fill="C4EFCE"/>
            <w:vAlign w:val="center"/>
          </w:tcPr>
          <w:p w14:paraId="0B18E216" w14:textId="6C76CE3F" w:rsidR="00776A1F" w:rsidRDefault="00D8574B">
            <w:pPr>
              <w:pStyle w:val="P68B1DB1-Normal23"/>
              <w:spacing w:after="0"/>
              <w:jc w:val="center"/>
              <w:rPr>
                <w:rFonts w:eastAsia="Calibri" w:cs="Calibri"/>
                <w:noProof/>
              </w:rPr>
            </w:pPr>
            <w:r>
              <w:rPr>
                <w:noProof/>
              </w:rPr>
              <w:t>22.1</w:t>
            </w:r>
          </w:p>
        </w:tc>
        <w:tc>
          <w:tcPr>
            <w:tcW w:w="1760" w:type="dxa"/>
            <w:shd w:val="clear" w:color="auto" w:fill="C4EFCE"/>
            <w:vAlign w:val="center"/>
          </w:tcPr>
          <w:p w14:paraId="54A61AAA" w14:textId="7F5F0C12" w:rsidR="00776A1F" w:rsidRDefault="00D8574B">
            <w:pPr>
              <w:pStyle w:val="P68B1DB1-Normal23"/>
              <w:spacing w:after="0"/>
              <w:jc w:val="center"/>
              <w:rPr>
                <w:rFonts w:eastAsia="Calibri" w:cs="Calibri"/>
                <w:noProof/>
              </w:rPr>
            </w:pPr>
            <w:r>
              <w:rPr>
                <w:noProof/>
              </w:rPr>
              <w:t>Re-C22-r49</w:t>
            </w:r>
          </w:p>
        </w:tc>
        <w:tc>
          <w:tcPr>
            <w:tcW w:w="1520" w:type="dxa"/>
            <w:shd w:val="clear" w:color="auto" w:fill="C4EFCE"/>
            <w:vAlign w:val="center"/>
          </w:tcPr>
          <w:p w14:paraId="0359E033" w14:textId="53239CA4"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tcPr>
          <w:p w14:paraId="29FAC258" w14:textId="2F0164F0" w:rsidR="00776A1F" w:rsidRDefault="00D8574B">
            <w:pPr>
              <w:pStyle w:val="P68B1DB1-Normal23"/>
              <w:spacing w:after="0"/>
              <w:jc w:val="both"/>
              <w:rPr>
                <w:rFonts w:eastAsia="Calibri" w:cs="Calibri"/>
                <w:noProof/>
              </w:rPr>
            </w:pPr>
            <w:r>
              <w:rPr>
                <w:noProof/>
              </w:rPr>
              <w:t>Grozījumi finansēšanas līgumos starp EMPP un īstenošanas struktūrām, lai iekļautu pienākumu veikt krāpšanas riska novērtējumu</w:t>
            </w:r>
          </w:p>
        </w:tc>
      </w:tr>
      <w:tr w:rsidR="00776A1F" w14:paraId="1692F67E" w14:textId="77777777">
        <w:trPr>
          <w:trHeight w:val="440"/>
        </w:trPr>
        <w:tc>
          <w:tcPr>
            <w:tcW w:w="1200" w:type="dxa"/>
            <w:shd w:val="clear" w:color="auto" w:fill="C4EFCE"/>
            <w:vAlign w:val="center"/>
          </w:tcPr>
          <w:p w14:paraId="1B2C4316" w14:textId="01C57EEC" w:rsidR="00776A1F" w:rsidRDefault="00D8574B">
            <w:pPr>
              <w:pStyle w:val="P68B1DB1-Normal23"/>
              <w:spacing w:after="0"/>
              <w:jc w:val="center"/>
              <w:rPr>
                <w:rFonts w:eastAsia="Calibri" w:cs="Calibri"/>
                <w:noProof/>
              </w:rPr>
            </w:pPr>
            <w:r>
              <w:rPr>
                <w:noProof/>
              </w:rPr>
              <w:t>22.2</w:t>
            </w:r>
          </w:p>
        </w:tc>
        <w:tc>
          <w:tcPr>
            <w:tcW w:w="1760" w:type="dxa"/>
            <w:shd w:val="clear" w:color="auto" w:fill="C4EFCE"/>
            <w:vAlign w:val="center"/>
          </w:tcPr>
          <w:p w14:paraId="0C165A5E" w14:textId="0D1FBC0D" w:rsidR="00776A1F" w:rsidRDefault="00D8574B">
            <w:pPr>
              <w:pStyle w:val="P68B1DB1-Normal23"/>
              <w:spacing w:after="0"/>
              <w:jc w:val="center"/>
              <w:rPr>
                <w:rFonts w:eastAsia="Calibri" w:cs="Calibri"/>
                <w:noProof/>
              </w:rPr>
            </w:pPr>
            <w:r>
              <w:rPr>
                <w:noProof/>
              </w:rPr>
              <w:t>Re-C22-r49</w:t>
            </w:r>
          </w:p>
        </w:tc>
        <w:tc>
          <w:tcPr>
            <w:tcW w:w="1520" w:type="dxa"/>
            <w:shd w:val="clear" w:color="auto" w:fill="C4EFCE"/>
            <w:vAlign w:val="center"/>
          </w:tcPr>
          <w:p w14:paraId="5095848A" w14:textId="060F218F"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tcPr>
          <w:p w14:paraId="130A8B69" w14:textId="638A0661" w:rsidR="00776A1F" w:rsidRDefault="00D8574B">
            <w:pPr>
              <w:pStyle w:val="P68B1DB1-Normal23"/>
              <w:spacing w:after="0"/>
              <w:jc w:val="both"/>
              <w:rPr>
                <w:rFonts w:eastAsia="Calibri" w:cs="Calibri"/>
                <w:noProof/>
              </w:rPr>
            </w:pPr>
            <w:r>
              <w:rPr>
                <w:noProof/>
              </w:rPr>
              <w:t>Dubultas finansēšanas kontrolpārbaužu ieviešana</w:t>
            </w:r>
          </w:p>
        </w:tc>
      </w:tr>
      <w:tr w:rsidR="00776A1F" w14:paraId="74CD506E" w14:textId="77777777">
        <w:trPr>
          <w:trHeight w:val="440"/>
        </w:trPr>
        <w:tc>
          <w:tcPr>
            <w:tcW w:w="1200" w:type="dxa"/>
            <w:shd w:val="clear" w:color="auto" w:fill="C4EFCE"/>
            <w:vAlign w:val="center"/>
            <w:hideMark/>
          </w:tcPr>
          <w:p w14:paraId="5438D3B8" w14:textId="77777777" w:rsidR="00776A1F" w:rsidRDefault="00D8574B">
            <w:pPr>
              <w:pStyle w:val="P68B1DB1-Normal8"/>
              <w:spacing w:after="0"/>
              <w:jc w:val="center"/>
              <w:rPr>
                <w:noProof/>
              </w:rPr>
            </w:pPr>
            <w:r>
              <w:rPr>
                <w:noProof/>
              </w:rPr>
              <w:t xml:space="preserve"> </w:t>
            </w:r>
          </w:p>
        </w:tc>
        <w:tc>
          <w:tcPr>
            <w:tcW w:w="1760" w:type="dxa"/>
            <w:shd w:val="clear" w:color="auto" w:fill="C4EFCE"/>
            <w:vAlign w:val="center"/>
            <w:hideMark/>
          </w:tcPr>
          <w:p w14:paraId="231F2F2F" w14:textId="77777777" w:rsidR="00776A1F" w:rsidRDefault="00D8574B">
            <w:pPr>
              <w:pStyle w:val="P68B1DB1-Normal8"/>
              <w:spacing w:after="0"/>
              <w:rPr>
                <w:noProof/>
              </w:rPr>
            </w:pPr>
            <w:r>
              <w:rPr>
                <w:noProof/>
              </w:rPr>
              <w:t xml:space="preserve"> </w:t>
            </w:r>
          </w:p>
        </w:tc>
        <w:tc>
          <w:tcPr>
            <w:tcW w:w="1520" w:type="dxa"/>
            <w:shd w:val="clear" w:color="auto" w:fill="C4EFCE"/>
            <w:vAlign w:val="center"/>
            <w:hideMark/>
          </w:tcPr>
          <w:p w14:paraId="7E61E2C8" w14:textId="77777777" w:rsidR="00776A1F" w:rsidRDefault="00D8574B">
            <w:pPr>
              <w:pStyle w:val="P68B1DB1-Normal24"/>
              <w:spacing w:after="0"/>
              <w:jc w:val="center"/>
              <w:rPr>
                <w:noProof/>
              </w:rPr>
            </w:pPr>
            <w:r>
              <w:rPr>
                <w:noProof/>
              </w:rPr>
              <w:t xml:space="preserve">Maksājuma summa </w:t>
            </w:r>
          </w:p>
        </w:tc>
        <w:tc>
          <w:tcPr>
            <w:tcW w:w="5060" w:type="dxa"/>
            <w:shd w:val="clear" w:color="auto" w:fill="C4EFCE"/>
            <w:vAlign w:val="center"/>
            <w:hideMark/>
          </w:tcPr>
          <w:p w14:paraId="0C460227" w14:textId="75B7960E" w:rsidR="00776A1F" w:rsidRDefault="00D8574B">
            <w:pPr>
              <w:pStyle w:val="P68B1DB1-Normal25"/>
              <w:spacing w:after="0"/>
              <w:jc w:val="center"/>
              <w:rPr>
                <w:noProof/>
              </w:rPr>
            </w:pPr>
            <w:r>
              <w:rPr>
                <w:noProof/>
              </w:rPr>
              <w:t>2 010 220 573 EUR</w:t>
            </w:r>
          </w:p>
        </w:tc>
      </w:tr>
    </w:tbl>
    <w:p w14:paraId="039389FF" w14:textId="77777777" w:rsidR="00776A1F" w:rsidRDefault="00776A1F">
      <w:pPr>
        <w:rPr>
          <w:noProof/>
        </w:rPr>
      </w:pPr>
    </w:p>
    <w:p w14:paraId="4E219CD4"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7A8A5CC2" w14:textId="77777777" w:rsidR="00776A1F" w:rsidRDefault="00D8574B">
      <w:pPr>
        <w:pStyle w:val="P68B1DB1-Normal4"/>
        <w:keepNext/>
        <w:keepLines/>
        <w:numPr>
          <w:ilvl w:val="1"/>
          <w:numId w:val="19"/>
        </w:numPr>
        <w:spacing w:before="40" w:after="160" w:line="259" w:lineRule="auto"/>
        <w:contextualSpacing/>
        <w:jc w:val="both"/>
        <w:rPr>
          <w:rFonts w:eastAsiaTheme="minorEastAsia" w:cs="Times New Roman"/>
          <w:noProof/>
        </w:rPr>
      </w:pPr>
      <w:r>
        <w:rPr>
          <w:noProof/>
        </w:rPr>
        <w:t xml:space="preserve">Ceturtais maksājuma pieprasījums (neatmaksājams atbalsts): </w:t>
      </w:r>
    </w:p>
    <w:p w14:paraId="29158653" w14:textId="77777777" w:rsidR="00776A1F" w:rsidRDefault="00776A1F">
      <w:pPr>
        <w:keepNext/>
        <w:keepLines/>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165"/>
        <w:gridCol w:w="1694"/>
        <w:gridCol w:w="1983"/>
        <w:gridCol w:w="4698"/>
      </w:tblGrid>
      <w:tr w:rsidR="00776A1F" w14:paraId="56ED83EA"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CEDDC4" w14:textId="77777777" w:rsidR="00776A1F" w:rsidRDefault="00D8574B">
            <w:pPr>
              <w:pStyle w:val="P68B1DB1-Normal22"/>
              <w:keepNext/>
              <w:keepLines/>
              <w:spacing w:after="0" w:line="240" w:lineRule="auto"/>
              <w:jc w:val="center"/>
              <w:rPr>
                <w:rFonts w:eastAsia="Times New Roman" w:cs="Times New Roman"/>
                <w:noProof/>
              </w:rPr>
            </w:pPr>
            <w:r>
              <w:rPr>
                <w:noProof/>
              </w:rPr>
              <w:t>Kārtas numurs</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01E8A35" w14:textId="77777777" w:rsidR="00776A1F" w:rsidRDefault="00D8574B">
            <w:pPr>
              <w:pStyle w:val="P68B1DB1-Normal22"/>
              <w:keepNext/>
              <w:keepLines/>
              <w:spacing w:after="0" w:line="240" w:lineRule="auto"/>
              <w:jc w:val="center"/>
              <w:rPr>
                <w:rFonts w:eastAsia="Times New Roman" w:cs="Times New Roman"/>
                <w:noProof/>
              </w:rPr>
            </w:pPr>
            <w:r>
              <w:rPr>
                <w:noProof/>
              </w:rPr>
              <w:t>Pasākums (reforma vai investīcija)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A90392" w14:textId="77777777" w:rsidR="00776A1F" w:rsidRDefault="00D8574B">
            <w:pPr>
              <w:pStyle w:val="P68B1DB1-Normal22"/>
              <w:keepNext/>
              <w:keepLines/>
              <w:spacing w:after="0" w:line="240" w:lineRule="auto"/>
              <w:jc w:val="center"/>
              <w:rPr>
                <w:rFonts w:eastAsia="Times New Roman" w:cs="Times New Roman"/>
                <w:noProof/>
              </w:rPr>
            </w:pPr>
            <w:r>
              <w:rPr>
                <w:noProof/>
              </w:rPr>
              <w:t>Atskaites punkts/mērķrādītājs</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4FADC97" w14:textId="77777777" w:rsidR="00776A1F" w:rsidRDefault="00D8574B">
            <w:pPr>
              <w:pStyle w:val="P68B1DB1-Normal22"/>
              <w:keepNext/>
              <w:keepLines/>
              <w:spacing w:after="0" w:line="240" w:lineRule="auto"/>
              <w:jc w:val="center"/>
              <w:rPr>
                <w:rFonts w:eastAsia="Times New Roman" w:cs="Times New Roman"/>
                <w:noProof/>
              </w:rPr>
            </w:pPr>
            <w:r>
              <w:rPr>
                <w:noProof/>
              </w:rPr>
              <w:t>Uzvārds</w:t>
            </w:r>
          </w:p>
        </w:tc>
      </w:tr>
      <w:tr w:rsidR="00776A1F" w14:paraId="7FF864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0EA99F9" w14:textId="77777777" w:rsidR="00776A1F" w:rsidRDefault="00D8574B">
            <w:pPr>
              <w:pStyle w:val="P68B1DB1-Normal23"/>
              <w:spacing w:after="0"/>
              <w:jc w:val="center"/>
              <w:rPr>
                <w:rFonts w:eastAsia="Calibri" w:cs="Calibri"/>
                <w:noProof/>
              </w:rPr>
            </w:pPr>
            <w:r>
              <w:rPr>
                <w:noProof/>
              </w:rPr>
              <w:t>1.1</w:t>
            </w:r>
          </w:p>
        </w:tc>
        <w:tc>
          <w:tcPr>
            <w:tcW w:w="1760" w:type="dxa"/>
            <w:tcBorders>
              <w:top w:val="nil"/>
              <w:left w:val="nil"/>
              <w:bottom w:val="single" w:sz="4" w:space="0" w:color="auto"/>
              <w:right w:val="single" w:sz="4" w:space="0" w:color="auto"/>
            </w:tcBorders>
            <w:shd w:val="clear" w:color="auto" w:fill="C4EFCE"/>
            <w:vAlign w:val="center"/>
            <w:hideMark/>
          </w:tcPr>
          <w:p w14:paraId="7321C9DC" w14:textId="77777777" w:rsidR="00776A1F" w:rsidRDefault="00D8574B">
            <w:pPr>
              <w:pStyle w:val="P68B1DB1-Normal23"/>
              <w:spacing w:after="0"/>
              <w:jc w:val="center"/>
              <w:rPr>
                <w:rFonts w:eastAsia="Calibri" w:cs="Calibri"/>
                <w:noProof/>
              </w:rPr>
            </w:pPr>
            <w:r>
              <w:rPr>
                <w:noProof/>
              </w:rPr>
              <w:t xml:space="preserve">Re-C01-r01  </w:t>
            </w:r>
          </w:p>
        </w:tc>
        <w:tc>
          <w:tcPr>
            <w:tcW w:w="1520" w:type="dxa"/>
            <w:tcBorders>
              <w:top w:val="nil"/>
              <w:left w:val="nil"/>
              <w:bottom w:val="single" w:sz="4" w:space="0" w:color="auto"/>
              <w:right w:val="single" w:sz="4" w:space="0" w:color="auto"/>
            </w:tcBorders>
            <w:shd w:val="clear" w:color="auto" w:fill="C4EFCE"/>
            <w:vAlign w:val="center"/>
            <w:hideMark/>
          </w:tcPr>
          <w:p w14:paraId="7249E60B"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80B2E35" w14:textId="77777777" w:rsidR="00776A1F" w:rsidRDefault="00D8574B">
            <w:pPr>
              <w:pStyle w:val="P68B1DB1-Normal23"/>
              <w:spacing w:after="0"/>
              <w:jc w:val="both"/>
              <w:rPr>
                <w:rFonts w:eastAsia="Calibri" w:cs="Calibri"/>
                <w:noProof/>
              </w:rPr>
            </w:pPr>
            <w:r>
              <w:rPr>
                <w:noProof/>
              </w:rPr>
              <w:t>Tiesību aktu stāšanās spēkā primārās veselības aprūpes jomā</w:t>
            </w:r>
          </w:p>
        </w:tc>
      </w:tr>
      <w:tr w:rsidR="00776A1F" w14:paraId="289CD2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38F888" w14:textId="77777777" w:rsidR="00776A1F" w:rsidRDefault="00D8574B">
            <w:pPr>
              <w:pStyle w:val="P68B1DB1-Normal23"/>
              <w:spacing w:after="0"/>
              <w:jc w:val="center"/>
              <w:rPr>
                <w:rFonts w:eastAsia="Calibri" w:cs="Calibri"/>
                <w:noProof/>
              </w:rPr>
            </w:pPr>
            <w:r>
              <w:rPr>
                <w:noProof/>
              </w:rPr>
              <w:t>1.5</w:t>
            </w:r>
          </w:p>
        </w:tc>
        <w:tc>
          <w:tcPr>
            <w:tcW w:w="1760" w:type="dxa"/>
            <w:tcBorders>
              <w:top w:val="nil"/>
              <w:left w:val="nil"/>
              <w:bottom w:val="single" w:sz="4" w:space="0" w:color="auto"/>
              <w:right w:val="single" w:sz="4" w:space="0" w:color="auto"/>
            </w:tcBorders>
            <w:shd w:val="clear" w:color="auto" w:fill="C4EFCE"/>
            <w:vAlign w:val="center"/>
            <w:hideMark/>
          </w:tcPr>
          <w:p w14:paraId="5FA3726A" w14:textId="77777777" w:rsidR="00776A1F" w:rsidRDefault="00D8574B">
            <w:pPr>
              <w:pStyle w:val="P68B1DB1-Normal23"/>
              <w:spacing w:after="0"/>
              <w:jc w:val="center"/>
              <w:rPr>
                <w:rFonts w:eastAsia="Calibri" w:cs="Calibri"/>
                <w:noProof/>
              </w:rPr>
            </w:pPr>
            <w:r>
              <w:rPr>
                <w:noProof/>
              </w:rPr>
              <w:t xml:space="preserve">Re-C01-r02  </w:t>
            </w:r>
          </w:p>
        </w:tc>
        <w:tc>
          <w:tcPr>
            <w:tcW w:w="1520" w:type="dxa"/>
            <w:tcBorders>
              <w:top w:val="nil"/>
              <w:left w:val="nil"/>
              <w:bottom w:val="single" w:sz="4" w:space="0" w:color="auto"/>
              <w:right w:val="single" w:sz="4" w:space="0" w:color="auto"/>
            </w:tcBorders>
            <w:shd w:val="clear" w:color="auto" w:fill="C4EFCE"/>
            <w:vAlign w:val="center"/>
            <w:hideMark/>
          </w:tcPr>
          <w:p w14:paraId="1C6933D6"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AF65EBB" w14:textId="77777777" w:rsidR="00776A1F" w:rsidRDefault="00D8574B">
            <w:pPr>
              <w:pStyle w:val="P68B1DB1-Normal23"/>
              <w:spacing w:after="0"/>
              <w:jc w:val="both"/>
              <w:rPr>
                <w:rFonts w:eastAsia="Calibri" w:cs="Calibri"/>
                <w:noProof/>
              </w:rPr>
            </w:pPr>
            <w:r>
              <w:rPr>
                <w:noProof/>
              </w:rPr>
              <w:t>Stājas spēkā jaunais tiesību akts par garīgo veselību, kas nosaka principus attiecībā uz personu ar garīgām slimībām tiesībām un reglamentē obligātu hospitalizāciju vai ārstēšanu.</w:t>
            </w:r>
          </w:p>
        </w:tc>
      </w:tr>
      <w:tr w:rsidR="00776A1F" w14:paraId="55EB5FF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33E7D7" w14:textId="77777777" w:rsidR="00776A1F" w:rsidRDefault="00D8574B">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951DAC8" w14:textId="77777777" w:rsidR="00776A1F" w:rsidRDefault="00D8574B">
            <w:pPr>
              <w:pStyle w:val="P68B1DB1-Normal23"/>
              <w:spacing w:after="0"/>
              <w:jc w:val="center"/>
              <w:rPr>
                <w:rFonts w:eastAsia="Calibri" w:cs="Calibri"/>
                <w:noProof/>
              </w:rPr>
            </w:pPr>
            <w:r>
              <w:rPr>
                <w:noProof/>
              </w:rPr>
              <w:t xml:space="preserve">Re-C01-r03  </w:t>
            </w:r>
          </w:p>
        </w:tc>
        <w:tc>
          <w:tcPr>
            <w:tcW w:w="1520" w:type="dxa"/>
            <w:tcBorders>
              <w:top w:val="nil"/>
              <w:left w:val="nil"/>
              <w:bottom w:val="single" w:sz="4" w:space="0" w:color="auto"/>
              <w:right w:val="single" w:sz="4" w:space="0" w:color="auto"/>
            </w:tcBorders>
            <w:shd w:val="clear" w:color="auto" w:fill="C4EFCE"/>
            <w:vAlign w:val="center"/>
            <w:hideMark/>
          </w:tcPr>
          <w:p w14:paraId="7442DC8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41432BD" w14:textId="0F743D6C" w:rsidR="00776A1F" w:rsidRDefault="00D8574B">
            <w:pPr>
              <w:pStyle w:val="P68B1DB1-Normal23"/>
              <w:spacing w:after="0"/>
              <w:jc w:val="both"/>
              <w:rPr>
                <w:rFonts w:eastAsia="Calibri" w:cs="Calibri"/>
                <w:noProof/>
              </w:rPr>
            </w:pPr>
            <w:r>
              <w:rPr>
                <w:noProof/>
              </w:rPr>
              <w:t>Jaunā pilna darba režīma stāšanās spēkā Nacionālajā veselības dienestā</w:t>
            </w:r>
          </w:p>
        </w:tc>
      </w:tr>
      <w:tr w:rsidR="00776A1F" w14:paraId="2915F7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CC6DE1" w14:textId="77777777" w:rsidR="00776A1F" w:rsidRDefault="00D8574B">
            <w:pPr>
              <w:pStyle w:val="P68B1DB1-Normal23"/>
              <w:spacing w:after="0"/>
              <w:jc w:val="center"/>
              <w:rPr>
                <w:rFonts w:eastAsia="Calibri" w:cs="Calibri"/>
                <w:noProof/>
              </w:rPr>
            </w:pPr>
            <w:r>
              <w:rPr>
                <w:noProof/>
              </w:rPr>
              <w:t>5.39</w:t>
            </w:r>
          </w:p>
        </w:tc>
        <w:tc>
          <w:tcPr>
            <w:tcW w:w="1760" w:type="dxa"/>
            <w:tcBorders>
              <w:top w:val="nil"/>
              <w:left w:val="nil"/>
              <w:bottom w:val="single" w:sz="4" w:space="0" w:color="auto"/>
              <w:right w:val="single" w:sz="4" w:space="0" w:color="auto"/>
            </w:tcBorders>
            <w:shd w:val="clear" w:color="auto" w:fill="C4EFCE"/>
            <w:vAlign w:val="center"/>
            <w:hideMark/>
          </w:tcPr>
          <w:p w14:paraId="5AA01599" w14:textId="77777777" w:rsidR="00776A1F" w:rsidRDefault="00D8574B">
            <w:pPr>
              <w:pStyle w:val="P68B1DB1-Normal23"/>
              <w:spacing w:after="0"/>
              <w:jc w:val="center"/>
              <w:rPr>
                <w:rFonts w:eastAsia="Calibri" w:cs="Calibri"/>
                <w:noProof/>
              </w:rPr>
            </w:pPr>
            <w:r>
              <w:rPr>
                <w:noProof/>
              </w:rPr>
              <w:t xml:space="preserve">Re-C05-i09  </w:t>
            </w:r>
          </w:p>
        </w:tc>
        <w:tc>
          <w:tcPr>
            <w:tcW w:w="1520" w:type="dxa"/>
            <w:tcBorders>
              <w:top w:val="nil"/>
              <w:left w:val="nil"/>
              <w:bottom w:val="single" w:sz="4" w:space="0" w:color="auto"/>
              <w:right w:val="single" w:sz="4" w:space="0" w:color="auto"/>
            </w:tcBorders>
            <w:shd w:val="clear" w:color="auto" w:fill="C4EFCE"/>
            <w:vAlign w:val="center"/>
            <w:hideMark/>
          </w:tcPr>
          <w:p w14:paraId="4A6965A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86D6DB1" w14:textId="77777777" w:rsidR="00776A1F" w:rsidRDefault="00D8574B">
            <w:pPr>
              <w:pStyle w:val="P68B1DB1-Normal23"/>
              <w:spacing w:after="0"/>
              <w:jc w:val="both"/>
              <w:rPr>
                <w:rFonts w:eastAsia="Calibri" w:cs="Calibri"/>
                <w:noProof/>
              </w:rPr>
            </w:pPr>
            <w:r>
              <w:rPr>
                <w:noProof/>
              </w:rPr>
              <w:t>Līgumu noslēgšana par jaunu produktu, procesu vai pakalpojumu izstrādi attiecīgajās stratēģiskajās jomās (inovācijas programmas).</w:t>
            </w:r>
          </w:p>
        </w:tc>
      </w:tr>
      <w:tr w:rsidR="00776A1F" w14:paraId="248B14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CD0E35" w14:textId="77777777" w:rsidR="00776A1F" w:rsidRDefault="00D8574B">
            <w:pPr>
              <w:pStyle w:val="P68B1DB1-Normal23"/>
              <w:spacing w:after="0"/>
              <w:jc w:val="center"/>
              <w:rPr>
                <w:rFonts w:eastAsia="Calibri" w:cs="Calibri"/>
                <w:noProof/>
              </w:rPr>
            </w:pPr>
            <w:r>
              <w:rPr>
                <w:noProof/>
              </w:rPr>
              <w:t>5.41</w:t>
            </w:r>
          </w:p>
        </w:tc>
        <w:tc>
          <w:tcPr>
            <w:tcW w:w="1760" w:type="dxa"/>
            <w:tcBorders>
              <w:top w:val="nil"/>
              <w:left w:val="nil"/>
              <w:bottom w:val="single" w:sz="4" w:space="0" w:color="auto"/>
              <w:right w:val="single" w:sz="4" w:space="0" w:color="auto"/>
            </w:tcBorders>
            <w:shd w:val="clear" w:color="auto" w:fill="C4EFCE"/>
            <w:vAlign w:val="center"/>
            <w:hideMark/>
          </w:tcPr>
          <w:p w14:paraId="37A6E238" w14:textId="77777777" w:rsidR="00776A1F" w:rsidRDefault="00D8574B">
            <w:pPr>
              <w:pStyle w:val="P68B1DB1-Normal23"/>
              <w:spacing w:after="0"/>
              <w:jc w:val="center"/>
              <w:rPr>
                <w:rFonts w:eastAsia="Calibri" w:cs="Calibri"/>
                <w:noProof/>
              </w:rPr>
            </w:pPr>
            <w:r>
              <w:rPr>
                <w:noProof/>
              </w:rPr>
              <w:t xml:space="preserve">Re-C05-i10 </w:t>
            </w:r>
          </w:p>
        </w:tc>
        <w:tc>
          <w:tcPr>
            <w:tcW w:w="1520" w:type="dxa"/>
            <w:tcBorders>
              <w:top w:val="nil"/>
              <w:left w:val="nil"/>
              <w:bottom w:val="single" w:sz="4" w:space="0" w:color="auto"/>
              <w:right w:val="single" w:sz="4" w:space="0" w:color="auto"/>
            </w:tcBorders>
            <w:shd w:val="clear" w:color="auto" w:fill="C4EFCE"/>
            <w:vAlign w:val="center"/>
            <w:hideMark/>
          </w:tcPr>
          <w:p w14:paraId="1841457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B123515" w14:textId="77777777" w:rsidR="00776A1F" w:rsidRDefault="00D8574B">
            <w:pPr>
              <w:pStyle w:val="P68B1DB1-Normal23"/>
              <w:spacing w:after="0"/>
              <w:jc w:val="both"/>
              <w:rPr>
                <w:rFonts w:eastAsia="Calibri" w:cs="Calibri"/>
                <w:noProof/>
              </w:rPr>
            </w:pPr>
            <w:r>
              <w:rPr>
                <w:noProof/>
              </w:rPr>
              <w:t>Līgumu noslēgšana par jaunu produktu, procesu vai pakalpojumu izstrādi stratēģiskās jomās, kas saistītas ar mazoglekļa ekonomiku, noturību un pielāgošanos klimata pārmaiņām.</w:t>
            </w:r>
          </w:p>
        </w:tc>
      </w:tr>
      <w:tr w:rsidR="00776A1F" w14:paraId="52B40B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8F59D5" w14:textId="77777777" w:rsidR="00776A1F" w:rsidRDefault="00D8574B">
            <w:pPr>
              <w:pStyle w:val="P68B1DB1-Normal23"/>
              <w:spacing w:after="0"/>
              <w:jc w:val="center"/>
              <w:rPr>
                <w:rFonts w:eastAsia="Calibri" w:cs="Calibri"/>
                <w:noProof/>
              </w:rPr>
            </w:pPr>
            <w:r>
              <w:rPr>
                <w:noProof/>
              </w:rPr>
              <w:t>6.16</w:t>
            </w:r>
          </w:p>
        </w:tc>
        <w:tc>
          <w:tcPr>
            <w:tcW w:w="1760" w:type="dxa"/>
            <w:tcBorders>
              <w:top w:val="nil"/>
              <w:left w:val="nil"/>
              <w:bottom w:val="single" w:sz="4" w:space="0" w:color="auto"/>
              <w:right w:val="single" w:sz="4" w:space="0" w:color="auto"/>
            </w:tcBorders>
            <w:shd w:val="clear" w:color="auto" w:fill="C4EFCE"/>
            <w:vAlign w:val="center"/>
            <w:hideMark/>
          </w:tcPr>
          <w:p w14:paraId="4475E3D2" w14:textId="77777777" w:rsidR="00776A1F" w:rsidRDefault="00D8574B">
            <w:pPr>
              <w:pStyle w:val="P68B1DB1-Normal23"/>
              <w:spacing w:after="0"/>
              <w:jc w:val="center"/>
              <w:rPr>
                <w:rFonts w:eastAsia="Calibri" w:cs="Calibri"/>
                <w:noProof/>
              </w:rPr>
            </w:pPr>
            <w:r>
              <w:rPr>
                <w:noProof/>
              </w:rPr>
              <w:t xml:space="preserve">Re-C06-r17  </w:t>
            </w:r>
          </w:p>
        </w:tc>
        <w:tc>
          <w:tcPr>
            <w:tcW w:w="1520" w:type="dxa"/>
            <w:tcBorders>
              <w:top w:val="nil"/>
              <w:left w:val="nil"/>
              <w:bottom w:val="single" w:sz="4" w:space="0" w:color="auto"/>
              <w:right w:val="single" w:sz="4" w:space="0" w:color="auto"/>
            </w:tcBorders>
            <w:shd w:val="clear" w:color="auto" w:fill="C4EFCE"/>
            <w:vAlign w:val="center"/>
            <w:hideMark/>
          </w:tcPr>
          <w:p w14:paraId="79B1C5E7"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4022E39" w14:textId="77777777" w:rsidR="00776A1F" w:rsidRDefault="00D8574B">
            <w:pPr>
              <w:pStyle w:val="P68B1DB1-Normal23"/>
              <w:spacing w:after="0"/>
              <w:jc w:val="both"/>
              <w:rPr>
                <w:rFonts w:eastAsia="Calibri" w:cs="Calibri"/>
                <w:noProof/>
              </w:rPr>
            </w:pPr>
            <w:r>
              <w:rPr>
                <w:noProof/>
              </w:rPr>
              <w:t>Platformu darbu regulējošā likuma stāšanās spēkā</w:t>
            </w:r>
          </w:p>
        </w:tc>
      </w:tr>
      <w:tr w:rsidR="00776A1F" w14:paraId="38DB135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C5865" w14:textId="77777777" w:rsidR="00776A1F" w:rsidRDefault="00D8574B">
            <w:pPr>
              <w:pStyle w:val="P68B1DB1-Normal23"/>
              <w:spacing w:after="0"/>
              <w:jc w:val="center"/>
              <w:rPr>
                <w:rFonts w:eastAsia="Calibri" w:cs="Calibri"/>
                <w:noProof/>
              </w:rPr>
            </w:pPr>
            <w:r>
              <w:rPr>
                <w:noProof/>
              </w:rPr>
              <w:t>8.10</w:t>
            </w:r>
          </w:p>
        </w:tc>
        <w:tc>
          <w:tcPr>
            <w:tcW w:w="1760" w:type="dxa"/>
            <w:tcBorders>
              <w:top w:val="nil"/>
              <w:left w:val="nil"/>
              <w:bottom w:val="single" w:sz="4" w:space="0" w:color="auto"/>
              <w:right w:val="single" w:sz="4" w:space="0" w:color="auto"/>
            </w:tcBorders>
            <w:shd w:val="clear" w:color="auto" w:fill="C4EFCE"/>
            <w:vAlign w:val="center"/>
            <w:hideMark/>
          </w:tcPr>
          <w:p w14:paraId="204806AA" w14:textId="77777777" w:rsidR="00776A1F" w:rsidRDefault="00D8574B">
            <w:pPr>
              <w:pStyle w:val="P68B1DB1-Normal23"/>
              <w:spacing w:after="0"/>
              <w:jc w:val="center"/>
              <w:rPr>
                <w:rFonts w:eastAsia="Calibri" w:cs="Calibri"/>
                <w:noProof/>
              </w:rPr>
            </w:pPr>
            <w:r>
              <w:rPr>
                <w:noProof/>
              </w:rPr>
              <w:t xml:space="preserve">Re-C08-i04  </w:t>
            </w:r>
          </w:p>
        </w:tc>
        <w:tc>
          <w:tcPr>
            <w:tcW w:w="1520" w:type="dxa"/>
            <w:tcBorders>
              <w:top w:val="nil"/>
              <w:left w:val="nil"/>
              <w:bottom w:val="single" w:sz="4" w:space="0" w:color="auto"/>
              <w:right w:val="single" w:sz="4" w:space="0" w:color="auto"/>
            </w:tcBorders>
            <w:shd w:val="clear" w:color="auto" w:fill="C4EFCE"/>
            <w:vAlign w:val="center"/>
            <w:hideMark/>
          </w:tcPr>
          <w:p w14:paraId="063477C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E40D33" w14:textId="77777777" w:rsidR="00776A1F" w:rsidRDefault="00D8574B">
            <w:pPr>
              <w:pStyle w:val="P68B1DB1-Normal23"/>
              <w:spacing w:after="0"/>
              <w:jc w:val="both"/>
              <w:rPr>
                <w:rFonts w:eastAsia="Calibri" w:cs="Calibri"/>
                <w:noProof/>
              </w:rPr>
            </w:pPr>
            <w:r>
              <w:rPr>
                <w:noProof/>
              </w:rPr>
              <w:t>Transportlīdzekļu, mašīnu un iekārtu piegāde</w:t>
            </w:r>
          </w:p>
        </w:tc>
      </w:tr>
      <w:tr w:rsidR="00776A1F" w14:paraId="74B789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814107" w14:textId="77777777" w:rsidR="00776A1F" w:rsidRDefault="00D8574B">
            <w:pPr>
              <w:pStyle w:val="P68B1DB1-Normal23"/>
              <w:spacing w:after="0"/>
              <w:jc w:val="center"/>
              <w:rPr>
                <w:rFonts w:eastAsia="Calibri" w:cs="Calibri"/>
                <w:noProof/>
              </w:rPr>
            </w:pPr>
            <w:r>
              <w:rPr>
                <w:noProof/>
              </w:rPr>
              <w:t>17.22</w:t>
            </w:r>
          </w:p>
        </w:tc>
        <w:tc>
          <w:tcPr>
            <w:tcW w:w="1760" w:type="dxa"/>
            <w:tcBorders>
              <w:top w:val="nil"/>
              <w:left w:val="nil"/>
              <w:bottom w:val="single" w:sz="4" w:space="0" w:color="auto"/>
              <w:right w:val="single" w:sz="4" w:space="0" w:color="auto"/>
            </w:tcBorders>
            <w:shd w:val="clear" w:color="auto" w:fill="C4EFCE"/>
            <w:vAlign w:val="center"/>
            <w:hideMark/>
          </w:tcPr>
          <w:p w14:paraId="44A87645" w14:textId="1EE980F9" w:rsidR="00776A1F" w:rsidRDefault="00D8574B">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0DCE0EE9"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1EABF4" w14:textId="77777777" w:rsidR="00776A1F" w:rsidRDefault="00D8574B">
            <w:pPr>
              <w:pStyle w:val="P68B1DB1-Normal23"/>
              <w:spacing w:after="0"/>
              <w:jc w:val="both"/>
              <w:rPr>
                <w:rFonts w:eastAsia="Calibri" w:cs="Calibri"/>
                <w:noProof/>
              </w:rPr>
            </w:pPr>
            <w:r>
              <w:rPr>
                <w:noProof/>
              </w:rPr>
              <w:t>Tāda tiesību akta stāšanās spēkā, ar ko groza atsevišķu nodokļu atvieglojumu tiesisko regulējumu</w:t>
            </w:r>
          </w:p>
        </w:tc>
      </w:tr>
      <w:tr w:rsidR="00776A1F" w14:paraId="2E70FE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10C622" w14:textId="77777777" w:rsidR="00776A1F" w:rsidRDefault="00D8574B">
            <w:pPr>
              <w:pStyle w:val="P68B1DB1-Normal23"/>
              <w:spacing w:after="0"/>
              <w:jc w:val="center"/>
              <w:rPr>
                <w:rFonts w:eastAsia="Calibri" w:cs="Calibri"/>
                <w:noProof/>
              </w:rPr>
            </w:pPr>
            <w:r>
              <w:rPr>
                <w:noProof/>
              </w:rPr>
              <w:t>18.1</w:t>
            </w:r>
          </w:p>
        </w:tc>
        <w:tc>
          <w:tcPr>
            <w:tcW w:w="1760" w:type="dxa"/>
            <w:tcBorders>
              <w:top w:val="nil"/>
              <w:left w:val="nil"/>
              <w:bottom w:val="single" w:sz="4" w:space="0" w:color="auto"/>
              <w:right w:val="single" w:sz="4" w:space="0" w:color="auto"/>
            </w:tcBorders>
            <w:shd w:val="clear" w:color="auto" w:fill="C4EFCE"/>
            <w:vAlign w:val="center"/>
            <w:hideMark/>
          </w:tcPr>
          <w:p w14:paraId="5E8DD21A" w14:textId="77777777" w:rsidR="00776A1F" w:rsidRDefault="00D8574B">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1C221CA"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F96FCE8" w14:textId="77777777" w:rsidR="00776A1F" w:rsidRDefault="00D8574B">
            <w:pPr>
              <w:pStyle w:val="P68B1DB1-Normal23"/>
              <w:spacing w:after="0"/>
              <w:jc w:val="both"/>
              <w:rPr>
                <w:rFonts w:eastAsia="Calibri" w:cs="Calibri"/>
                <w:noProof/>
              </w:rPr>
            </w:pPr>
            <w:r>
              <w:rPr>
                <w:noProof/>
              </w:rPr>
              <w:t>Specializētu palātu izveide administratīvajās un nodokļu augstākajās tiesās</w:t>
            </w:r>
          </w:p>
        </w:tc>
      </w:tr>
      <w:tr w:rsidR="00776A1F" w14:paraId="09209F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DDFB55" w14:textId="77777777" w:rsidR="00776A1F" w:rsidRDefault="00D8574B">
            <w:pPr>
              <w:pStyle w:val="P68B1DB1-Normal23"/>
              <w:spacing w:after="0"/>
              <w:jc w:val="center"/>
              <w:rPr>
                <w:rFonts w:eastAsia="Calibri" w:cs="Calibri"/>
                <w:noProof/>
              </w:rPr>
            </w:pPr>
            <w:r>
              <w:rPr>
                <w:noProof/>
              </w:rPr>
              <w:t>18.2</w:t>
            </w:r>
          </w:p>
        </w:tc>
        <w:tc>
          <w:tcPr>
            <w:tcW w:w="1760" w:type="dxa"/>
            <w:tcBorders>
              <w:top w:val="nil"/>
              <w:left w:val="nil"/>
              <w:bottom w:val="single" w:sz="4" w:space="0" w:color="auto"/>
              <w:right w:val="single" w:sz="4" w:space="0" w:color="auto"/>
            </w:tcBorders>
            <w:shd w:val="clear" w:color="auto" w:fill="C4EFCE"/>
            <w:vAlign w:val="center"/>
            <w:hideMark/>
          </w:tcPr>
          <w:p w14:paraId="41FFD441" w14:textId="77777777" w:rsidR="00776A1F" w:rsidRDefault="00D8574B">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E7E9C6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A43E122" w14:textId="77777777" w:rsidR="00776A1F" w:rsidRDefault="00D8574B">
            <w:pPr>
              <w:pStyle w:val="P68B1DB1-Normal23"/>
              <w:spacing w:after="0"/>
              <w:jc w:val="both"/>
              <w:rPr>
                <w:rFonts w:eastAsia="Calibri" w:cs="Calibri"/>
                <w:noProof/>
              </w:rPr>
            </w:pPr>
            <w:r>
              <w:rPr>
                <w:noProof/>
              </w:rPr>
              <w:t>Tiesiskā regulējuma stāšanās spēkā, lai veicinātu strīdu izšķiršanu tiesā un ārpustiesas kārtībā</w:t>
            </w:r>
          </w:p>
        </w:tc>
      </w:tr>
      <w:tr w:rsidR="00776A1F" w14:paraId="3A1781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94F780" w14:textId="77777777" w:rsidR="00776A1F" w:rsidRDefault="00D8574B">
            <w:pPr>
              <w:pStyle w:val="P68B1DB1-Normal8"/>
              <w:spacing w:after="0"/>
              <w:jc w:val="center"/>
              <w:rPr>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44E7D433" w14:textId="77777777" w:rsidR="00776A1F" w:rsidRDefault="00D8574B">
            <w:pPr>
              <w:pStyle w:val="P68B1DB1-Normal8"/>
              <w:spacing w:after="0"/>
              <w:jc w:val="center"/>
              <w:rPr>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0CC4752F" w14:textId="77777777" w:rsidR="00776A1F" w:rsidRDefault="00D8574B">
            <w:pPr>
              <w:pStyle w:val="P68B1DB1-Normal24"/>
              <w:spacing w:after="0"/>
              <w:jc w:val="center"/>
              <w:rPr>
                <w:noProof/>
              </w:rPr>
            </w:pPr>
            <w:r>
              <w:rPr>
                <w:noProof/>
              </w:rPr>
              <w:t xml:space="preserve">Maksājuma summa </w:t>
            </w:r>
          </w:p>
        </w:tc>
        <w:tc>
          <w:tcPr>
            <w:tcW w:w="5060" w:type="dxa"/>
            <w:tcBorders>
              <w:top w:val="nil"/>
              <w:left w:val="nil"/>
              <w:bottom w:val="single" w:sz="4" w:space="0" w:color="auto"/>
              <w:right w:val="single" w:sz="4" w:space="0" w:color="auto"/>
            </w:tcBorders>
            <w:shd w:val="clear" w:color="auto" w:fill="C4EFCE"/>
            <w:vAlign w:val="center"/>
            <w:hideMark/>
          </w:tcPr>
          <w:p w14:paraId="67D03894" w14:textId="4661012E" w:rsidR="00776A1F" w:rsidRDefault="00D8574B">
            <w:pPr>
              <w:pStyle w:val="P68B1DB1-Normal25"/>
              <w:spacing w:after="0"/>
              <w:jc w:val="center"/>
              <w:rPr>
                <w:noProof/>
              </w:rPr>
            </w:pPr>
            <w:r>
              <w:rPr>
                <w:noProof/>
              </w:rPr>
              <w:t xml:space="preserve"> 937 165 319 EUR </w:t>
            </w:r>
          </w:p>
        </w:tc>
      </w:tr>
    </w:tbl>
    <w:p w14:paraId="32E013C0" w14:textId="77777777" w:rsidR="00776A1F" w:rsidRDefault="00776A1F">
      <w:pPr>
        <w:rPr>
          <w:noProof/>
        </w:rPr>
      </w:pPr>
    </w:p>
    <w:p w14:paraId="59627E7F"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329BAE7F"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Piektais maksājuma pieprasījums (neatmaksājams atbalsts): </w:t>
      </w:r>
    </w:p>
    <w:p w14:paraId="1982083E"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164"/>
        <w:gridCol w:w="1691"/>
        <w:gridCol w:w="1983"/>
        <w:gridCol w:w="4702"/>
      </w:tblGrid>
      <w:tr w:rsidR="00776A1F" w14:paraId="6670DD18"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82FEA7"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8701520"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E738E7"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77ECC4F"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1A126B1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2DEDF3A" w14:textId="77777777" w:rsidR="00776A1F" w:rsidRDefault="00D8574B">
            <w:pPr>
              <w:pStyle w:val="P68B1DB1-Normal23"/>
              <w:spacing w:after="0"/>
              <w:jc w:val="center"/>
              <w:rPr>
                <w:rFonts w:eastAsia="Calibri" w:cs="Calibri"/>
                <w:noProof/>
              </w:rPr>
            </w:pPr>
            <w:r>
              <w:rPr>
                <w:noProof/>
              </w:rPr>
              <w:t>1.2</w:t>
            </w:r>
          </w:p>
        </w:tc>
        <w:tc>
          <w:tcPr>
            <w:tcW w:w="1760" w:type="dxa"/>
            <w:tcBorders>
              <w:top w:val="nil"/>
              <w:left w:val="nil"/>
              <w:bottom w:val="single" w:sz="4" w:space="0" w:color="auto"/>
              <w:right w:val="single" w:sz="4" w:space="0" w:color="auto"/>
            </w:tcBorders>
            <w:shd w:val="clear" w:color="auto" w:fill="C4EFCE"/>
            <w:vAlign w:val="center"/>
            <w:hideMark/>
          </w:tcPr>
          <w:p w14:paraId="0B267111" w14:textId="77777777" w:rsidR="00776A1F" w:rsidRDefault="00D8574B">
            <w:pPr>
              <w:pStyle w:val="P68B1DB1-Normal23"/>
              <w:spacing w:after="0"/>
              <w:jc w:val="center"/>
              <w:rPr>
                <w:rFonts w:eastAsia="Calibri" w:cs="Calibri"/>
                <w:noProof/>
              </w:rPr>
            </w:pPr>
            <w:r>
              <w:rPr>
                <w:noProof/>
              </w:rPr>
              <w:t xml:space="preserve">Re-C01-i01  </w:t>
            </w:r>
          </w:p>
        </w:tc>
        <w:tc>
          <w:tcPr>
            <w:tcW w:w="1520" w:type="dxa"/>
            <w:tcBorders>
              <w:top w:val="nil"/>
              <w:left w:val="nil"/>
              <w:bottom w:val="single" w:sz="4" w:space="0" w:color="auto"/>
              <w:right w:val="single" w:sz="4" w:space="0" w:color="auto"/>
            </w:tcBorders>
            <w:shd w:val="clear" w:color="auto" w:fill="C4EFCE"/>
            <w:vAlign w:val="center"/>
            <w:hideMark/>
          </w:tcPr>
          <w:p w14:paraId="5CCC471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D0BDE9" w14:textId="77777777" w:rsidR="00776A1F" w:rsidRDefault="00D8574B">
            <w:pPr>
              <w:pStyle w:val="P68B1DB1-Normal23"/>
              <w:spacing w:after="0"/>
              <w:jc w:val="both"/>
              <w:rPr>
                <w:rFonts w:eastAsia="Calibri" w:cs="Calibri"/>
                <w:noProof/>
              </w:rPr>
            </w:pPr>
            <w:r>
              <w:rPr>
                <w:noProof/>
              </w:rPr>
              <w:t>Piekļuves nodrošināšana riska stratifikācijas instrumentam, lai atbalstītu klīnisko pārvaldību veselības centru grupu funkcionālajās vienībās</w:t>
            </w:r>
          </w:p>
        </w:tc>
      </w:tr>
      <w:tr w:rsidR="00776A1F" w14:paraId="625203C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FA303DB" w14:textId="77777777" w:rsidR="00776A1F" w:rsidRDefault="00D8574B">
            <w:pPr>
              <w:pStyle w:val="P68B1DB1-Normal23"/>
              <w:spacing w:after="0"/>
              <w:jc w:val="center"/>
              <w:rPr>
                <w:rFonts w:eastAsia="Calibri" w:cs="Calibri"/>
                <w:noProof/>
              </w:rPr>
            </w:pPr>
            <w:r>
              <w:rPr>
                <w:noProof/>
              </w:rPr>
              <w:t>1.40</w:t>
            </w:r>
          </w:p>
        </w:tc>
        <w:tc>
          <w:tcPr>
            <w:tcW w:w="1760" w:type="dxa"/>
            <w:tcBorders>
              <w:top w:val="nil"/>
              <w:left w:val="nil"/>
              <w:bottom w:val="single" w:sz="4" w:space="0" w:color="auto"/>
              <w:right w:val="single" w:sz="4" w:space="0" w:color="auto"/>
            </w:tcBorders>
            <w:shd w:val="clear" w:color="auto" w:fill="C4EFCE"/>
            <w:vAlign w:val="center"/>
            <w:hideMark/>
          </w:tcPr>
          <w:p w14:paraId="3BD7D2BC" w14:textId="77777777" w:rsidR="00776A1F" w:rsidRDefault="00D8574B">
            <w:pPr>
              <w:pStyle w:val="P68B1DB1-Normal23"/>
              <w:spacing w:after="0"/>
              <w:jc w:val="center"/>
              <w:rPr>
                <w:rFonts w:eastAsia="Calibri" w:cs="Calibri"/>
                <w:noProof/>
              </w:rPr>
            </w:pPr>
            <w:r>
              <w:rPr>
                <w:noProof/>
              </w:rPr>
              <w:t>Re-C01-i04</w:t>
            </w:r>
          </w:p>
        </w:tc>
        <w:tc>
          <w:tcPr>
            <w:tcW w:w="1520" w:type="dxa"/>
            <w:tcBorders>
              <w:top w:val="nil"/>
              <w:left w:val="nil"/>
              <w:bottom w:val="single" w:sz="4" w:space="0" w:color="auto"/>
              <w:right w:val="single" w:sz="4" w:space="0" w:color="auto"/>
            </w:tcBorders>
            <w:shd w:val="clear" w:color="auto" w:fill="C4EFCE"/>
            <w:vAlign w:val="center"/>
            <w:hideMark/>
          </w:tcPr>
          <w:p w14:paraId="61BC3888"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CD1A921" w14:textId="2016AD4F" w:rsidR="00776A1F" w:rsidRDefault="00D8574B">
            <w:pPr>
              <w:pStyle w:val="P68B1DB1-Normal23"/>
              <w:spacing w:after="0"/>
              <w:jc w:val="both"/>
              <w:rPr>
                <w:rFonts w:eastAsia="Calibri" w:cs="Calibri"/>
                <w:noProof/>
              </w:rPr>
            </w:pPr>
            <w:r>
              <w:rPr>
                <w:noProof/>
              </w:rPr>
              <w:t>Austrumu Lisabonas slimnīcas būvniecības vadības līguma parakstīšana</w:t>
            </w:r>
          </w:p>
        </w:tc>
      </w:tr>
      <w:tr w:rsidR="00776A1F" w14:paraId="4B53C6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F687469" w14:textId="77777777" w:rsidR="00776A1F" w:rsidRDefault="00D8574B">
            <w:pPr>
              <w:pStyle w:val="P68B1DB1-Normal23"/>
              <w:spacing w:after="0"/>
              <w:jc w:val="center"/>
              <w:rPr>
                <w:rFonts w:eastAsia="Calibri" w:cs="Calibri"/>
                <w:noProof/>
              </w:rPr>
            </w:pPr>
            <w:r>
              <w:rPr>
                <w:noProof/>
              </w:rPr>
              <w:t>1.41</w:t>
            </w:r>
          </w:p>
        </w:tc>
        <w:tc>
          <w:tcPr>
            <w:tcW w:w="1760" w:type="dxa"/>
            <w:tcBorders>
              <w:top w:val="nil"/>
              <w:left w:val="nil"/>
              <w:bottom w:val="single" w:sz="4" w:space="0" w:color="auto"/>
              <w:right w:val="single" w:sz="4" w:space="0" w:color="auto"/>
            </w:tcBorders>
            <w:shd w:val="clear" w:color="auto" w:fill="C4EFCE"/>
            <w:vAlign w:val="center"/>
            <w:hideMark/>
          </w:tcPr>
          <w:p w14:paraId="6546CF09" w14:textId="77777777" w:rsidR="00776A1F" w:rsidRDefault="00D8574B">
            <w:pPr>
              <w:pStyle w:val="P68B1DB1-Normal23"/>
              <w:spacing w:after="0"/>
              <w:jc w:val="center"/>
              <w:rPr>
                <w:rFonts w:eastAsia="Calibri" w:cs="Calibri"/>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688185E0"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BF9DB02" w14:textId="77777777" w:rsidR="00776A1F" w:rsidRDefault="00D8574B">
            <w:pPr>
              <w:pStyle w:val="P68B1DB1-Normal23"/>
              <w:spacing w:after="0"/>
              <w:jc w:val="both"/>
              <w:rPr>
                <w:rFonts w:eastAsia="Calibri" w:cs="Calibri"/>
                <w:noProof/>
              </w:rPr>
            </w:pPr>
            <w:r>
              <w:rPr>
                <w:noProof/>
              </w:rPr>
              <w:t>Ziņojuma apstiprināšana, kurā apzinātas NHS vajadzības smagajam medicīniskajam aprīkojumam</w:t>
            </w:r>
          </w:p>
        </w:tc>
      </w:tr>
      <w:tr w:rsidR="00776A1F" w14:paraId="370C58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F2F01E" w14:textId="77777777" w:rsidR="00776A1F" w:rsidRDefault="00D8574B">
            <w:pPr>
              <w:pStyle w:val="P68B1DB1-Normal23"/>
              <w:spacing w:after="0"/>
              <w:jc w:val="center"/>
              <w:rPr>
                <w:rFonts w:eastAsia="Calibri" w:cs="Calibri"/>
                <w:noProof/>
              </w:rPr>
            </w:pPr>
            <w:r>
              <w:rPr>
                <w:noProof/>
              </w:rPr>
              <w:t>2.2</w:t>
            </w:r>
          </w:p>
        </w:tc>
        <w:tc>
          <w:tcPr>
            <w:tcW w:w="1760" w:type="dxa"/>
            <w:tcBorders>
              <w:top w:val="nil"/>
              <w:left w:val="nil"/>
              <w:bottom w:val="single" w:sz="4" w:space="0" w:color="auto"/>
              <w:right w:val="single" w:sz="4" w:space="0" w:color="auto"/>
            </w:tcBorders>
            <w:shd w:val="clear" w:color="auto" w:fill="C4EFCE"/>
            <w:vAlign w:val="center"/>
            <w:hideMark/>
          </w:tcPr>
          <w:p w14:paraId="6DF2A402" w14:textId="77777777" w:rsidR="00776A1F" w:rsidRDefault="00D8574B">
            <w:pPr>
              <w:pStyle w:val="P68B1DB1-Normal23"/>
              <w:spacing w:after="0"/>
              <w:jc w:val="center"/>
              <w:rPr>
                <w:rFonts w:eastAsia="Calibri" w:cs="Calibri"/>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108ADD4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57029F" w14:textId="77777777" w:rsidR="00776A1F" w:rsidRDefault="00D8574B">
            <w:pPr>
              <w:pStyle w:val="P68B1DB1-Normal23"/>
              <w:spacing w:after="0"/>
              <w:jc w:val="both"/>
              <w:rPr>
                <w:rFonts w:eastAsia="Calibri" w:cs="Calibri"/>
                <w:noProof/>
              </w:rPr>
            </w:pPr>
            <w:r>
              <w:rPr>
                <w:noProof/>
              </w:rPr>
              <w:t>Atbalsta programma piekļuvei mājokļiem — Mājsaimniecībām nodrošināti iepirkti, būvēti (augstas energoefektivitātes) vai rehabilitēti (ar uzlabotu energoefektivitāti) mājokļi</w:t>
            </w:r>
          </w:p>
        </w:tc>
      </w:tr>
      <w:tr w:rsidR="00776A1F" w14:paraId="3DE77A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B90A17" w14:textId="77777777" w:rsidR="00776A1F" w:rsidRDefault="00D8574B">
            <w:pPr>
              <w:pStyle w:val="P68B1DB1-Normal23"/>
              <w:spacing w:after="0"/>
              <w:jc w:val="center"/>
              <w:rPr>
                <w:rFonts w:eastAsia="Calibri" w:cs="Calibri"/>
                <w:noProof/>
              </w:rPr>
            </w:pPr>
            <w:r>
              <w:rPr>
                <w:noProof/>
              </w:rPr>
              <w:t>2.6</w:t>
            </w:r>
          </w:p>
        </w:tc>
        <w:tc>
          <w:tcPr>
            <w:tcW w:w="1760" w:type="dxa"/>
            <w:tcBorders>
              <w:top w:val="nil"/>
              <w:left w:val="nil"/>
              <w:bottom w:val="single" w:sz="4" w:space="0" w:color="auto"/>
              <w:right w:val="single" w:sz="4" w:space="0" w:color="auto"/>
            </w:tcBorders>
            <w:shd w:val="clear" w:color="auto" w:fill="C4EFCE"/>
            <w:vAlign w:val="center"/>
            <w:hideMark/>
          </w:tcPr>
          <w:p w14:paraId="28C51A54" w14:textId="77777777" w:rsidR="00776A1F" w:rsidRDefault="00D8574B">
            <w:pPr>
              <w:pStyle w:val="P68B1DB1-Normal23"/>
              <w:spacing w:after="0"/>
              <w:jc w:val="center"/>
              <w:rPr>
                <w:rFonts w:eastAsia="Calibri" w:cs="Calibri"/>
                <w:noProof/>
              </w:rPr>
            </w:pPr>
            <w:r>
              <w:rPr>
                <w:noProof/>
              </w:rPr>
              <w:t xml:space="preserve">Re-C02-i01  </w:t>
            </w:r>
          </w:p>
        </w:tc>
        <w:tc>
          <w:tcPr>
            <w:tcW w:w="1520" w:type="dxa"/>
            <w:tcBorders>
              <w:top w:val="nil"/>
              <w:left w:val="nil"/>
              <w:bottom w:val="single" w:sz="4" w:space="0" w:color="auto"/>
              <w:right w:val="single" w:sz="4" w:space="0" w:color="auto"/>
            </w:tcBorders>
            <w:shd w:val="clear" w:color="auto" w:fill="C4EFCE"/>
            <w:vAlign w:val="center"/>
            <w:hideMark/>
          </w:tcPr>
          <w:p w14:paraId="2C8FD9A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9E1DBC" w14:textId="04B7C21A" w:rsidR="00776A1F" w:rsidRDefault="00D8574B">
            <w:pPr>
              <w:pStyle w:val="P68B1DB1-Normal23"/>
              <w:spacing w:after="0"/>
              <w:jc w:val="both"/>
              <w:rPr>
                <w:rFonts w:eastAsia="Calibri" w:cs="Calibri"/>
                <w:noProof/>
              </w:rPr>
            </w:pPr>
            <w:r>
              <w:rPr>
                <w:noProof/>
              </w:rPr>
              <w:t>Valsts ārkārtas un pagaidu izmitināšanas dotācija — Izmitināšana ar celtniecības darbiem, kas uzsākti vai iegādāti ārkārtas un pārejas mītnēm (kas jābūvē vai jāiegādājas saskaņā ar energoefektivitātes standartu vai jāreģenerē ar uzlabotu energoefektivitāti)</w:t>
            </w:r>
          </w:p>
        </w:tc>
      </w:tr>
      <w:tr w:rsidR="00776A1F" w14:paraId="1443E2D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4067DB" w14:textId="77777777" w:rsidR="00776A1F" w:rsidRDefault="00D8574B">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65DD212F" w14:textId="77777777" w:rsidR="00776A1F" w:rsidRDefault="00D8574B">
            <w:pPr>
              <w:pStyle w:val="P68B1DB1-Normal23"/>
              <w:spacing w:after="0"/>
              <w:jc w:val="center"/>
              <w:rPr>
                <w:rFonts w:eastAsia="Calibri" w:cs="Calibri"/>
                <w:noProof/>
              </w:rPr>
            </w:pPr>
            <w:r>
              <w:rPr>
                <w:noProof/>
              </w:rPr>
              <w:t xml:space="preserve">Re-C02-i04-RAA  </w:t>
            </w:r>
          </w:p>
        </w:tc>
        <w:tc>
          <w:tcPr>
            <w:tcW w:w="1520" w:type="dxa"/>
            <w:tcBorders>
              <w:top w:val="nil"/>
              <w:left w:val="nil"/>
              <w:bottom w:val="single" w:sz="4" w:space="0" w:color="auto"/>
              <w:right w:val="single" w:sz="4" w:space="0" w:color="auto"/>
            </w:tcBorders>
            <w:shd w:val="clear" w:color="auto" w:fill="C4EFCE"/>
            <w:vAlign w:val="center"/>
            <w:hideMark/>
          </w:tcPr>
          <w:p w14:paraId="6F4F062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5ACE116" w14:textId="77777777" w:rsidR="00776A1F" w:rsidRDefault="00D8574B">
            <w:pPr>
              <w:pStyle w:val="P68B1DB1-Normal23"/>
              <w:spacing w:after="0"/>
              <w:jc w:val="both"/>
              <w:rPr>
                <w:rFonts w:eastAsia="Calibri" w:cs="Calibri"/>
                <w:noProof/>
              </w:rPr>
            </w:pPr>
            <w:r>
              <w:rPr>
                <w:noProof/>
              </w:rPr>
              <w:t>Intervences pasākumi Azoru salu autonomā reģiona publisko mājokļu fondā — renovācija</w:t>
            </w:r>
          </w:p>
        </w:tc>
      </w:tr>
      <w:tr w:rsidR="00776A1F" w14:paraId="3C8F60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61D70E" w14:textId="77777777" w:rsidR="00776A1F" w:rsidRDefault="00D8574B">
            <w:pPr>
              <w:pStyle w:val="P68B1DB1-Normal23"/>
              <w:spacing w:after="0"/>
              <w:jc w:val="center"/>
              <w:rPr>
                <w:rFonts w:eastAsia="Calibri" w:cs="Calibri"/>
                <w:noProof/>
              </w:rPr>
            </w:pPr>
            <w:r>
              <w:rPr>
                <w:noProof/>
              </w:rPr>
              <w:t>4.7</w:t>
            </w:r>
          </w:p>
        </w:tc>
        <w:tc>
          <w:tcPr>
            <w:tcW w:w="1760" w:type="dxa"/>
            <w:tcBorders>
              <w:top w:val="nil"/>
              <w:left w:val="nil"/>
              <w:bottom w:val="single" w:sz="4" w:space="0" w:color="auto"/>
              <w:right w:val="single" w:sz="4" w:space="0" w:color="auto"/>
            </w:tcBorders>
            <w:shd w:val="clear" w:color="auto" w:fill="C4EFCE"/>
            <w:vAlign w:val="center"/>
          </w:tcPr>
          <w:p w14:paraId="4383E71D" w14:textId="77777777" w:rsidR="00776A1F" w:rsidRDefault="00D8574B">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tcPr>
          <w:p w14:paraId="364611C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9243198" w14:textId="77777777" w:rsidR="00776A1F" w:rsidRDefault="00D8574B">
            <w:pPr>
              <w:pStyle w:val="P68B1DB1-Normal23"/>
              <w:spacing w:after="0"/>
              <w:jc w:val="both"/>
              <w:rPr>
                <w:rFonts w:eastAsia="Calibri" w:cs="Calibri"/>
                <w:noProof/>
              </w:rPr>
            </w:pPr>
            <w:r>
              <w:rPr>
                <w:noProof/>
              </w:rPr>
              <w:t>Parakstītie līgumi par kultūras mantojuma ēku un nacionālo teātru rehabilitāciju un saglabāšanu</w:t>
            </w:r>
          </w:p>
        </w:tc>
      </w:tr>
      <w:tr w:rsidR="00776A1F" w14:paraId="0E4663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6A3F0B" w14:textId="77777777" w:rsidR="00776A1F" w:rsidRDefault="00D8574B">
            <w:pPr>
              <w:pStyle w:val="P68B1DB1-Normal23"/>
              <w:spacing w:after="0"/>
              <w:jc w:val="center"/>
              <w:rPr>
                <w:rFonts w:eastAsia="Calibri" w:cs="Calibri"/>
                <w:noProof/>
              </w:rPr>
            </w:pPr>
            <w:r>
              <w:rPr>
                <w:noProof/>
              </w:rPr>
              <w:t>4.9</w:t>
            </w:r>
          </w:p>
        </w:tc>
        <w:tc>
          <w:tcPr>
            <w:tcW w:w="1760" w:type="dxa"/>
            <w:tcBorders>
              <w:top w:val="nil"/>
              <w:left w:val="nil"/>
              <w:bottom w:val="single" w:sz="4" w:space="0" w:color="auto"/>
              <w:right w:val="single" w:sz="4" w:space="0" w:color="auto"/>
            </w:tcBorders>
            <w:shd w:val="clear" w:color="auto" w:fill="C4EFCE"/>
            <w:vAlign w:val="center"/>
            <w:hideMark/>
          </w:tcPr>
          <w:p w14:paraId="7E0183E0" w14:textId="77777777" w:rsidR="00776A1F" w:rsidRDefault="00D8574B">
            <w:pPr>
              <w:pStyle w:val="P68B1DB1-Normal23"/>
              <w:spacing w:after="0"/>
              <w:jc w:val="center"/>
              <w:rPr>
                <w:rFonts w:eastAsia="Calibri" w:cs="Calibri"/>
                <w:noProof/>
              </w:rPr>
            </w:pPr>
            <w:r>
              <w:rPr>
                <w:noProof/>
              </w:rPr>
              <w:t xml:space="preserve">Re-C04-i01  </w:t>
            </w:r>
          </w:p>
        </w:tc>
        <w:tc>
          <w:tcPr>
            <w:tcW w:w="1520" w:type="dxa"/>
            <w:tcBorders>
              <w:top w:val="nil"/>
              <w:left w:val="nil"/>
              <w:bottom w:val="single" w:sz="4" w:space="0" w:color="auto"/>
              <w:right w:val="single" w:sz="4" w:space="0" w:color="auto"/>
            </w:tcBorders>
            <w:shd w:val="clear" w:color="auto" w:fill="C4EFCE"/>
            <w:vAlign w:val="center"/>
            <w:hideMark/>
          </w:tcPr>
          <w:p w14:paraId="1B2D246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D98EC2" w14:textId="77777777" w:rsidR="00776A1F" w:rsidRDefault="00D8574B">
            <w:pPr>
              <w:pStyle w:val="P68B1DB1-Normal23"/>
              <w:spacing w:after="0"/>
              <w:jc w:val="both"/>
              <w:rPr>
                <w:rFonts w:eastAsia="Calibri" w:cs="Calibri"/>
                <w:noProof/>
              </w:rPr>
            </w:pPr>
            <w:r>
              <w:rPr>
                <w:noProof/>
              </w:rPr>
              <w:t>ANIM tehnoloģiskā modernizācija — Valsts kustīgo attēlu arhīvs</w:t>
            </w:r>
          </w:p>
        </w:tc>
      </w:tr>
      <w:tr w:rsidR="00776A1F" w14:paraId="11D11A0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D538507" w14:textId="77777777" w:rsidR="00776A1F" w:rsidRDefault="00D8574B">
            <w:pPr>
              <w:pStyle w:val="P68B1DB1-Normal23"/>
              <w:spacing w:after="0"/>
              <w:jc w:val="center"/>
              <w:rPr>
                <w:rFonts w:eastAsia="Calibri" w:cs="Calibri"/>
                <w:noProof/>
              </w:rPr>
            </w:pPr>
            <w:r>
              <w:rPr>
                <w:noProof/>
              </w:rPr>
              <w:t>6.3</w:t>
            </w:r>
          </w:p>
        </w:tc>
        <w:tc>
          <w:tcPr>
            <w:tcW w:w="1760" w:type="dxa"/>
            <w:tcBorders>
              <w:top w:val="nil"/>
              <w:left w:val="nil"/>
              <w:bottom w:val="single" w:sz="4" w:space="0" w:color="auto"/>
              <w:right w:val="single" w:sz="4" w:space="0" w:color="auto"/>
            </w:tcBorders>
            <w:shd w:val="clear" w:color="auto" w:fill="C4EFCE"/>
            <w:vAlign w:val="center"/>
            <w:hideMark/>
          </w:tcPr>
          <w:p w14:paraId="48232F11" w14:textId="77777777" w:rsidR="00776A1F" w:rsidRDefault="00D8574B">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08D16AA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F478F4" w14:textId="77777777" w:rsidR="00776A1F" w:rsidRDefault="00D8574B">
            <w:pPr>
              <w:pStyle w:val="P68B1DB1-Normal23"/>
              <w:spacing w:after="0"/>
              <w:jc w:val="both"/>
              <w:rPr>
                <w:rFonts w:eastAsia="Calibri" w:cs="Calibri"/>
                <w:noProof/>
              </w:rPr>
            </w:pPr>
            <w:r>
              <w:rPr>
                <w:noProof/>
              </w:rPr>
              <w:t>Modernizētas mācību stacijas</w:t>
            </w:r>
          </w:p>
        </w:tc>
      </w:tr>
      <w:tr w:rsidR="00776A1F" w14:paraId="11B5A5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DDF91C0" w14:textId="77777777" w:rsidR="00776A1F" w:rsidRDefault="00D8574B">
            <w:pPr>
              <w:pStyle w:val="P68B1DB1-Normal23"/>
              <w:spacing w:after="0"/>
              <w:jc w:val="center"/>
              <w:rPr>
                <w:rFonts w:eastAsia="Calibri" w:cs="Calibri"/>
                <w:noProof/>
              </w:rPr>
            </w:pPr>
            <w:r>
              <w:rPr>
                <w:noProof/>
              </w:rPr>
              <w:t>7.14</w:t>
            </w:r>
          </w:p>
        </w:tc>
        <w:tc>
          <w:tcPr>
            <w:tcW w:w="1760" w:type="dxa"/>
            <w:tcBorders>
              <w:top w:val="nil"/>
              <w:left w:val="nil"/>
              <w:bottom w:val="single" w:sz="4" w:space="0" w:color="auto"/>
              <w:right w:val="single" w:sz="4" w:space="0" w:color="auto"/>
            </w:tcBorders>
            <w:shd w:val="clear" w:color="auto" w:fill="C4EFCE"/>
            <w:vAlign w:val="center"/>
            <w:hideMark/>
          </w:tcPr>
          <w:p w14:paraId="24E7301E" w14:textId="77777777" w:rsidR="00776A1F" w:rsidRDefault="00D8574B">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542DBFA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A1EFBFA" w14:textId="77777777" w:rsidR="00776A1F" w:rsidRDefault="00D8574B">
            <w:pPr>
              <w:pStyle w:val="P68B1DB1-Normal23"/>
              <w:spacing w:after="0"/>
              <w:jc w:val="both"/>
              <w:rPr>
                <w:rFonts w:eastAsia="Calibri" w:cs="Calibri"/>
                <w:noProof/>
              </w:rPr>
            </w:pPr>
            <w:r>
              <w:rPr>
                <w:noProof/>
              </w:rPr>
              <w:t>Parakstīts līgums par 8 ceļu projektiem</w:t>
            </w:r>
          </w:p>
        </w:tc>
      </w:tr>
      <w:tr w:rsidR="00776A1F" w14:paraId="0D73086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9AE6C3" w14:textId="77777777" w:rsidR="00776A1F" w:rsidRDefault="00D8574B">
            <w:pPr>
              <w:pStyle w:val="P68B1DB1-Normal23"/>
              <w:spacing w:after="0"/>
              <w:jc w:val="center"/>
              <w:rPr>
                <w:rFonts w:eastAsia="Calibri" w:cs="Calibri"/>
                <w:noProof/>
              </w:rPr>
            </w:pPr>
            <w:r>
              <w:rPr>
                <w:noProof/>
              </w:rPr>
              <w:t>8.5</w:t>
            </w:r>
          </w:p>
        </w:tc>
        <w:tc>
          <w:tcPr>
            <w:tcW w:w="1760" w:type="dxa"/>
            <w:tcBorders>
              <w:top w:val="nil"/>
              <w:left w:val="nil"/>
              <w:bottom w:val="single" w:sz="4" w:space="0" w:color="auto"/>
              <w:right w:val="single" w:sz="4" w:space="0" w:color="auto"/>
            </w:tcBorders>
            <w:shd w:val="clear" w:color="auto" w:fill="C4EFCE"/>
            <w:vAlign w:val="center"/>
            <w:hideMark/>
          </w:tcPr>
          <w:p w14:paraId="51937059" w14:textId="77777777" w:rsidR="00776A1F" w:rsidRDefault="00D8574B">
            <w:pPr>
              <w:pStyle w:val="P68B1DB1-Normal23"/>
              <w:spacing w:after="0"/>
              <w:jc w:val="center"/>
              <w:rPr>
                <w:rFonts w:eastAsia="Calibri" w:cs="Calibri"/>
                <w:noProof/>
              </w:rPr>
            </w:pPr>
            <w:r>
              <w:rPr>
                <w:noProof/>
              </w:rPr>
              <w:t>Re-C08-i02</w:t>
            </w:r>
          </w:p>
        </w:tc>
        <w:tc>
          <w:tcPr>
            <w:tcW w:w="1520" w:type="dxa"/>
            <w:tcBorders>
              <w:top w:val="nil"/>
              <w:left w:val="nil"/>
              <w:bottom w:val="single" w:sz="4" w:space="0" w:color="auto"/>
              <w:right w:val="single" w:sz="4" w:space="0" w:color="auto"/>
            </w:tcBorders>
            <w:shd w:val="clear" w:color="auto" w:fill="C4EFCE"/>
            <w:vAlign w:val="center"/>
            <w:hideMark/>
          </w:tcPr>
          <w:p w14:paraId="2049F84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0C76B7A" w14:textId="77777777" w:rsidR="00776A1F" w:rsidRDefault="00D8574B">
            <w:pPr>
              <w:pStyle w:val="P68B1DB1-Normal23"/>
              <w:spacing w:after="0"/>
              <w:jc w:val="both"/>
              <w:rPr>
                <w:rFonts w:eastAsia="Calibri" w:cs="Calibri"/>
                <w:noProof/>
              </w:rPr>
            </w:pPr>
            <w:r>
              <w:rPr>
                <w:noProof/>
              </w:rPr>
              <w:t>Apmācība par BUPi</w:t>
            </w:r>
          </w:p>
        </w:tc>
      </w:tr>
      <w:tr w:rsidR="00776A1F" w14:paraId="674B7D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172706" w14:textId="77777777" w:rsidR="00776A1F" w:rsidRDefault="00D8574B">
            <w:pPr>
              <w:pStyle w:val="P68B1DB1-Normal23"/>
              <w:spacing w:after="0"/>
              <w:jc w:val="center"/>
              <w:rPr>
                <w:rFonts w:eastAsia="Calibri" w:cs="Calibri"/>
                <w:noProof/>
              </w:rPr>
            </w:pPr>
            <w:r>
              <w:rPr>
                <w:noProof/>
              </w:rPr>
              <w:t>8.12</w:t>
            </w:r>
          </w:p>
        </w:tc>
        <w:tc>
          <w:tcPr>
            <w:tcW w:w="1760" w:type="dxa"/>
            <w:tcBorders>
              <w:top w:val="nil"/>
              <w:left w:val="nil"/>
              <w:bottom w:val="single" w:sz="4" w:space="0" w:color="auto"/>
              <w:right w:val="single" w:sz="4" w:space="0" w:color="auto"/>
            </w:tcBorders>
            <w:shd w:val="clear" w:color="auto" w:fill="C4EFCE"/>
            <w:vAlign w:val="center"/>
            <w:hideMark/>
          </w:tcPr>
          <w:p w14:paraId="4040DA76" w14:textId="77777777" w:rsidR="00776A1F" w:rsidRDefault="00D8574B">
            <w:pPr>
              <w:pStyle w:val="P68B1DB1-Normal23"/>
              <w:spacing w:after="0"/>
              <w:jc w:val="center"/>
              <w:rPr>
                <w:rFonts w:eastAsia="Calibri" w:cs="Calibri"/>
                <w:noProof/>
              </w:rPr>
            </w:pPr>
            <w:r>
              <w:rPr>
                <w:noProof/>
              </w:rPr>
              <w:t>Re-C08-i04</w:t>
            </w:r>
          </w:p>
        </w:tc>
        <w:tc>
          <w:tcPr>
            <w:tcW w:w="1520" w:type="dxa"/>
            <w:tcBorders>
              <w:top w:val="nil"/>
              <w:left w:val="nil"/>
              <w:bottom w:val="single" w:sz="4" w:space="0" w:color="auto"/>
              <w:right w:val="single" w:sz="4" w:space="0" w:color="auto"/>
            </w:tcBorders>
            <w:shd w:val="clear" w:color="auto" w:fill="C4EFCE"/>
            <w:vAlign w:val="center"/>
            <w:hideMark/>
          </w:tcPr>
          <w:p w14:paraId="1309AD1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415AF6" w14:textId="77777777" w:rsidR="00776A1F" w:rsidRDefault="00D8574B">
            <w:pPr>
              <w:pStyle w:val="P68B1DB1-Normal23"/>
              <w:spacing w:after="0"/>
              <w:jc w:val="both"/>
              <w:rPr>
                <w:rFonts w:eastAsia="Calibri" w:cs="Calibri"/>
                <w:noProof/>
              </w:rPr>
            </w:pPr>
            <w:r>
              <w:rPr>
                <w:noProof/>
              </w:rPr>
              <w:t>Duālās polarizācijas radaru uzstādīšana</w:t>
            </w:r>
          </w:p>
        </w:tc>
      </w:tr>
      <w:tr w:rsidR="00776A1F" w14:paraId="6B5640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629444E" w14:textId="77777777" w:rsidR="00776A1F" w:rsidRDefault="00D8574B">
            <w:pPr>
              <w:pStyle w:val="P68B1DB1-Normal23"/>
              <w:spacing w:after="0"/>
              <w:jc w:val="center"/>
              <w:rPr>
                <w:rFonts w:eastAsia="Calibri" w:cs="Calibri"/>
                <w:noProof/>
              </w:rPr>
            </w:pPr>
            <w:r>
              <w:rPr>
                <w:noProof/>
              </w:rPr>
              <w:t>10.8</w:t>
            </w:r>
          </w:p>
        </w:tc>
        <w:tc>
          <w:tcPr>
            <w:tcW w:w="1760" w:type="dxa"/>
            <w:tcBorders>
              <w:top w:val="nil"/>
              <w:left w:val="nil"/>
              <w:bottom w:val="single" w:sz="4" w:space="0" w:color="auto"/>
              <w:right w:val="single" w:sz="4" w:space="0" w:color="auto"/>
            </w:tcBorders>
            <w:shd w:val="clear" w:color="auto" w:fill="C4EFCE"/>
            <w:vAlign w:val="center"/>
            <w:hideMark/>
          </w:tcPr>
          <w:p w14:paraId="082E522F" w14:textId="77777777" w:rsidR="00776A1F" w:rsidRDefault="00D8574B">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7413937D"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0E0804" w14:textId="77777777" w:rsidR="00776A1F" w:rsidRDefault="00D8574B">
            <w:pPr>
              <w:pStyle w:val="P68B1DB1-Normal23"/>
              <w:spacing w:after="0"/>
              <w:jc w:val="both"/>
              <w:rPr>
                <w:rFonts w:eastAsia="Calibri" w:cs="Calibri"/>
                <w:noProof/>
              </w:rPr>
            </w:pPr>
            <w:r>
              <w:rPr>
                <w:noProof/>
              </w:rPr>
              <w:t>Būvdarbu publiskā iepirkuma līguma sākšana MARTEC tehniskajam centram</w:t>
            </w:r>
          </w:p>
        </w:tc>
      </w:tr>
      <w:tr w:rsidR="00776A1F" w14:paraId="17B7232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F9CBF5" w14:textId="77777777" w:rsidR="00776A1F" w:rsidRDefault="00D8574B">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81258D6" w14:textId="77777777" w:rsidR="00776A1F" w:rsidRDefault="00D8574B">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12E6D3A0"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C515859" w14:textId="77777777" w:rsidR="00776A1F" w:rsidRDefault="00D8574B">
            <w:pPr>
              <w:pStyle w:val="P68B1DB1-Normal23"/>
              <w:spacing w:after="0"/>
              <w:jc w:val="both"/>
              <w:rPr>
                <w:rFonts w:eastAsia="Calibri" w:cs="Calibri"/>
                <w:noProof/>
              </w:rPr>
            </w:pPr>
            <w:r>
              <w:rPr>
                <w:noProof/>
              </w:rPr>
              <w:t>Līgumu par finansiālā atbalsta piešķiršanu parakstīšana</w:t>
            </w:r>
          </w:p>
        </w:tc>
      </w:tr>
      <w:tr w:rsidR="00776A1F" w14:paraId="5A90F3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CC5A52" w14:textId="77777777" w:rsidR="00776A1F" w:rsidRDefault="00D8574B">
            <w:pPr>
              <w:pStyle w:val="P68B1DB1-Normal23"/>
              <w:spacing w:after="0"/>
              <w:jc w:val="center"/>
              <w:rPr>
                <w:rFonts w:eastAsia="Calibri" w:cs="Calibri"/>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25B1DCC0" w14:textId="77777777" w:rsidR="00776A1F" w:rsidRDefault="00D8574B">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336E66E0"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6D70E6" w14:textId="77777777" w:rsidR="00776A1F" w:rsidRDefault="00D8574B">
            <w:pPr>
              <w:pStyle w:val="P68B1DB1-Normal23"/>
              <w:spacing w:after="0"/>
              <w:jc w:val="both"/>
              <w:rPr>
                <w:rFonts w:eastAsia="Calibri" w:cs="Calibri"/>
                <w:noProof/>
              </w:rPr>
            </w:pPr>
            <w:r>
              <w:rPr>
                <w:noProof/>
              </w:rPr>
              <w:t>Ekomodulācijas kritēriju saskaņotās definīcijas stāšanās spēkā</w:t>
            </w:r>
          </w:p>
        </w:tc>
      </w:tr>
      <w:tr w:rsidR="00776A1F" w14:paraId="7D943D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C76A33" w14:textId="77777777" w:rsidR="00776A1F" w:rsidRDefault="00D8574B">
            <w:pPr>
              <w:pStyle w:val="P68B1DB1-Normal23"/>
              <w:spacing w:after="0"/>
              <w:jc w:val="center"/>
              <w:rPr>
                <w:rFonts w:eastAsia="Calibri" w:cs="Calibri"/>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E41CB2B" w14:textId="77777777" w:rsidR="00776A1F" w:rsidRDefault="00D8574B">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4D1C03A4"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C48E4F" w14:textId="77777777" w:rsidR="00776A1F" w:rsidRDefault="00D8574B">
            <w:pPr>
              <w:pStyle w:val="P68B1DB1-Normal23"/>
              <w:spacing w:after="0"/>
              <w:jc w:val="both"/>
              <w:rPr>
                <w:rFonts w:eastAsia="Calibri" w:cs="Calibri"/>
                <w:noProof/>
              </w:rPr>
            </w:pPr>
            <w:r>
              <w:rPr>
                <w:noProof/>
              </w:rPr>
              <w:t>Atgūšanas stimulu shēma (noguldīšanas un kompensācijas sistēma) attiecībā uz atkārtoti neizmantojamām plastmasas pudelēm, melnajiem metāliem un alumīniju</w:t>
            </w:r>
          </w:p>
        </w:tc>
      </w:tr>
      <w:tr w:rsidR="00776A1F" w14:paraId="4A314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71D74" w14:textId="77777777" w:rsidR="00776A1F" w:rsidRDefault="00D8574B">
            <w:pPr>
              <w:pStyle w:val="P68B1DB1-Normal23"/>
              <w:spacing w:after="0"/>
              <w:jc w:val="center"/>
              <w:rPr>
                <w:rFonts w:eastAsia="Calibri" w:cs="Calibri"/>
                <w:noProof/>
              </w:rPr>
            </w:pPr>
            <w:r>
              <w:rPr>
                <w:noProof/>
              </w:rPr>
              <w:t>15.1</w:t>
            </w:r>
          </w:p>
        </w:tc>
        <w:tc>
          <w:tcPr>
            <w:tcW w:w="1760" w:type="dxa"/>
            <w:tcBorders>
              <w:top w:val="nil"/>
              <w:left w:val="nil"/>
              <w:bottom w:val="single" w:sz="4" w:space="0" w:color="auto"/>
              <w:right w:val="single" w:sz="4" w:space="0" w:color="auto"/>
            </w:tcBorders>
            <w:shd w:val="clear" w:color="auto" w:fill="C4EFCE"/>
            <w:vAlign w:val="center"/>
            <w:hideMark/>
          </w:tcPr>
          <w:p w14:paraId="1B01C488" w14:textId="77777777" w:rsidR="00776A1F" w:rsidRDefault="00D8574B">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2DDD63A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44099B" w14:textId="77777777" w:rsidR="00776A1F" w:rsidRDefault="00D8574B">
            <w:pPr>
              <w:pStyle w:val="P68B1DB1-Normal23"/>
              <w:spacing w:after="0"/>
              <w:jc w:val="both"/>
              <w:rPr>
                <w:rFonts w:eastAsia="Calibri" w:cs="Calibri"/>
                <w:noProof/>
              </w:rPr>
            </w:pPr>
            <w:r>
              <w:rPr>
                <w:noProof/>
              </w:rPr>
              <w:t>Lisabonas metro tīkla paplašināšanas līguma parakstīšana</w:t>
            </w:r>
          </w:p>
        </w:tc>
      </w:tr>
      <w:tr w:rsidR="00776A1F" w14:paraId="36710B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21066" w14:textId="77777777" w:rsidR="00776A1F" w:rsidRDefault="00D8574B">
            <w:pPr>
              <w:pStyle w:val="P68B1DB1-Normal23"/>
              <w:spacing w:after="0"/>
              <w:jc w:val="center"/>
              <w:rPr>
                <w:rFonts w:eastAsia="Calibri" w:cs="Calibri"/>
                <w:noProof/>
              </w:rPr>
            </w:pPr>
            <w:r>
              <w:rPr>
                <w:noProof/>
              </w:rPr>
              <w:t>15.4</w:t>
            </w:r>
          </w:p>
        </w:tc>
        <w:tc>
          <w:tcPr>
            <w:tcW w:w="1760" w:type="dxa"/>
            <w:tcBorders>
              <w:top w:val="nil"/>
              <w:left w:val="nil"/>
              <w:bottom w:val="single" w:sz="4" w:space="0" w:color="auto"/>
              <w:right w:val="single" w:sz="4" w:space="0" w:color="auto"/>
            </w:tcBorders>
            <w:shd w:val="clear" w:color="auto" w:fill="C4EFCE"/>
            <w:vAlign w:val="center"/>
            <w:hideMark/>
          </w:tcPr>
          <w:p w14:paraId="15DC13F1" w14:textId="77777777" w:rsidR="00776A1F" w:rsidRDefault="00D8574B">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36F5B3D5"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B00BD76" w14:textId="77777777" w:rsidR="00776A1F" w:rsidRDefault="00D8574B">
            <w:pPr>
              <w:pStyle w:val="P68B1DB1-Normal23"/>
              <w:spacing w:after="0"/>
              <w:jc w:val="both"/>
              <w:rPr>
                <w:rFonts w:eastAsia="Calibri" w:cs="Calibri"/>
                <w:noProof/>
              </w:rPr>
            </w:pPr>
            <w:r>
              <w:rPr>
                <w:noProof/>
              </w:rPr>
              <w:t>Līguma parakstīšana par Porto Metro tīkla paplašināšanu</w:t>
            </w:r>
          </w:p>
        </w:tc>
      </w:tr>
      <w:tr w:rsidR="00776A1F" w14:paraId="66F49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9D2C062" w14:textId="77777777" w:rsidR="00776A1F" w:rsidRDefault="00D8574B">
            <w:pPr>
              <w:pStyle w:val="P68B1DB1-Normal23"/>
              <w:spacing w:after="0"/>
              <w:jc w:val="center"/>
              <w:rPr>
                <w:rFonts w:eastAsia="Calibri" w:cs="Calibri"/>
                <w:noProof/>
              </w:rPr>
            </w:pPr>
            <w:r>
              <w:rPr>
                <w:noProof/>
              </w:rPr>
              <w:t>15.13</w:t>
            </w:r>
          </w:p>
        </w:tc>
        <w:tc>
          <w:tcPr>
            <w:tcW w:w="1760" w:type="dxa"/>
            <w:tcBorders>
              <w:top w:val="nil"/>
              <w:left w:val="nil"/>
              <w:bottom w:val="single" w:sz="4" w:space="0" w:color="auto"/>
              <w:right w:val="single" w:sz="4" w:space="0" w:color="auto"/>
            </w:tcBorders>
            <w:shd w:val="clear" w:color="auto" w:fill="C4EFCE"/>
            <w:vAlign w:val="center"/>
            <w:hideMark/>
          </w:tcPr>
          <w:p w14:paraId="152B40C0" w14:textId="77777777" w:rsidR="00776A1F" w:rsidRDefault="00D8574B">
            <w:pPr>
              <w:pStyle w:val="P68B1DB1-Normal23"/>
              <w:spacing w:after="0"/>
              <w:jc w:val="center"/>
              <w:rPr>
                <w:rFonts w:eastAsia="Calibri" w:cs="Calibri"/>
                <w:noProof/>
              </w:rPr>
            </w:pPr>
            <w:r>
              <w:rPr>
                <w:noProof/>
              </w:rPr>
              <w:t xml:space="preserve">TC-C15-i05  </w:t>
            </w:r>
          </w:p>
        </w:tc>
        <w:tc>
          <w:tcPr>
            <w:tcW w:w="1520" w:type="dxa"/>
            <w:tcBorders>
              <w:top w:val="nil"/>
              <w:left w:val="nil"/>
              <w:bottom w:val="single" w:sz="4" w:space="0" w:color="auto"/>
              <w:right w:val="single" w:sz="4" w:space="0" w:color="auto"/>
            </w:tcBorders>
            <w:shd w:val="clear" w:color="auto" w:fill="C4EFCE"/>
            <w:vAlign w:val="center"/>
            <w:hideMark/>
          </w:tcPr>
          <w:p w14:paraId="375FD4B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70A847" w14:textId="77777777" w:rsidR="00776A1F" w:rsidRDefault="00D8574B">
            <w:pPr>
              <w:pStyle w:val="P68B1DB1-Normal23"/>
              <w:spacing w:after="0"/>
              <w:jc w:val="both"/>
              <w:rPr>
                <w:rFonts w:eastAsia="Calibri" w:cs="Calibri"/>
                <w:noProof/>
              </w:rPr>
            </w:pPr>
            <w:r>
              <w:rPr>
                <w:noProof/>
              </w:rPr>
              <w:t>Tādu jaunu bezemisiju (elektrisko vai ūdeņraža) autobusu iegāde, kurus izmanto sabiedriskajam transportam</w:t>
            </w:r>
          </w:p>
        </w:tc>
      </w:tr>
      <w:tr w:rsidR="00776A1F" w14:paraId="716C2B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F62426" w14:textId="77777777" w:rsidR="00776A1F" w:rsidRDefault="00D8574B">
            <w:pPr>
              <w:pStyle w:val="P68B1DB1-Normal23"/>
              <w:spacing w:after="0"/>
              <w:jc w:val="center"/>
              <w:rPr>
                <w:rFonts w:eastAsia="Calibri" w:cs="Calibri"/>
                <w:noProof/>
              </w:rPr>
            </w:pPr>
            <w:r>
              <w:rPr>
                <w:noProof/>
              </w:rPr>
              <w:t>15.14</w:t>
            </w:r>
          </w:p>
        </w:tc>
        <w:tc>
          <w:tcPr>
            <w:tcW w:w="1760" w:type="dxa"/>
            <w:tcBorders>
              <w:top w:val="nil"/>
              <w:left w:val="nil"/>
              <w:bottom w:val="single" w:sz="4" w:space="0" w:color="auto"/>
              <w:right w:val="single" w:sz="4" w:space="0" w:color="auto"/>
            </w:tcBorders>
            <w:shd w:val="clear" w:color="auto" w:fill="C4EFCE"/>
            <w:vAlign w:val="center"/>
            <w:hideMark/>
          </w:tcPr>
          <w:p w14:paraId="0DD59D79" w14:textId="77777777" w:rsidR="00776A1F" w:rsidRDefault="00D8574B">
            <w:pPr>
              <w:pStyle w:val="P68B1DB1-Normal23"/>
              <w:spacing w:after="0"/>
              <w:jc w:val="center"/>
              <w:rPr>
                <w:rFonts w:eastAsia="Calibri" w:cs="Calibri"/>
                <w:noProof/>
              </w:rPr>
            </w:pPr>
            <w:r>
              <w:rPr>
                <w:noProof/>
              </w:rPr>
              <w:t xml:space="preserve">TC-C15-r30  </w:t>
            </w:r>
          </w:p>
        </w:tc>
        <w:tc>
          <w:tcPr>
            <w:tcW w:w="1520" w:type="dxa"/>
            <w:tcBorders>
              <w:top w:val="nil"/>
              <w:left w:val="nil"/>
              <w:bottom w:val="single" w:sz="4" w:space="0" w:color="auto"/>
              <w:right w:val="single" w:sz="4" w:space="0" w:color="auto"/>
            </w:tcBorders>
            <w:shd w:val="clear" w:color="auto" w:fill="C4EFCE"/>
            <w:vAlign w:val="center"/>
            <w:hideMark/>
          </w:tcPr>
          <w:p w14:paraId="5706F25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8CB798" w14:textId="77777777" w:rsidR="00776A1F" w:rsidRDefault="00D8574B">
            <w:pPr>
              <w:pStyle w:val="P68B1DB1-Normal23"/>
              <w:spacing w:after="0"/>
              <w:jc w:val="both"/>
              <w:rPr>
                <w:rFonts w:eastAsia="Calibri" w:cs="Calibri"/>
                <w:noProof/>
              </w:rPr>
            </w:pPr>
            <w:r>
              <w:rPr>
                <w:noProof/>
              </w:rPr>
              <w:t>Parakstītie līgumi par sabiedriskā pasažieru transporta pakalpojumiem lielpilsētu teritorijās un starppašvaldību kopienās</w:t>
            </w:r>
          </w:p>
        </w:tc>
      </w:tr>
      <w:tr w:rsidR="00776A1F" w14:paraId="1F86F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200" w:type="dxa"/>
            <w:shd w:val="clear" w:color="auto" w:fill="C4EFCE"/>
            <w:vAlign w:val="center"/>
            <w:hideMark/>
          </w:tcPr>
          <w:p w14:paraId="5DDEA1B4" w14:textId="77777777" w:rsidR="00776A1F" w:rsidRDefault="00D8574B">
            <w:pPr>
              <w:pStyle w:val="P68B1DB1-Normal23"/>
              <w:spacing w:after="0"/>
              <w:jc w:val="center"/>
              <w:rPr>
                <w:noProof/>
              </w:rPr>
            </w:pPr>
            <w:r>
              <w:rPr>
                <w:noProof/>
              </w:rPr>
              <w:t>16.14</w:t>
            </w:r>
          </w:p>
        </w:tc>
        <w:tc>
          <w:tcPr>
            <w:tcW w:w="1760" w:type="dxa"/>
            <w:shd w:val="clear" w:color="auto" w:fill="C4EFCE"/>
            <w:vAlign w:val="center"/>
            <w:hideMark/>
          </w:tcPr>
          <w:p w14:paraId="40EE589F" w14:textId="77777777" w:rsidR="00776A1F" w:rsidRDefault="00D8574B">
            <w:pPr>
              <w:pStyle w:val="P68B1DB1-Normal23"/>
              <w:spacing w:after="0"/>
              <w:jc w:val="center"/>
              <w:rPr>
                <w:noProof/>
              </w:rPr>
            </w:pPr>
            <w:r>
              <w:rPr>
                <w:noProof/>
              </w:rPr>
              <w:t xml:space="preserve">TD-C16-i03 </w:t>
            </w:r>
          </w:p>
        </w:tc>
        <w:tc>
          <w:tcPr>
            <w:tcW w:w="1520" w:type="dxa"/>
            <w:shd w:val="clear" w:color="auto" w:fill="C4EFCE"/>
            <w:vAlign w:val="center"/>
            <w:hideMark/>
          </w:tcPr>
          <w:p w14:paraId="12CAAAA0"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4006DF5" w14:textId="3316D69D" w:rsidR="00776A1F" w:rsidRDefault="00D8574B">
            <w:pPr>
              <w:pStyle w:val="P68B1DB1-Normal23"/>
              <w:spacing w:after="0"/>
              <w:jc w:val="both"/>
              <w:rPr>
                <w:rFonts w:eastAsia="Calibri" w:cs="Calibri"/>
                <w:noProof/>
              </w:rPr>
            </w:pPr>
            <w:r>
              <w:rPr>
                <w:noProof/>
              </w:rPr>
              <w:t>Pakalpojumu izveide digitālo rēķinu nosūtīšanai un kiberdrošībai, privātumam, izmantojamībai un ilgtspējas sertifikācijai</w:t>
            </w:r>
          </w:p>
        </w:tc>
      </w:tr>
      <w:tr w:rsidR="00776A1F" w14:paraId="09C48AE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69C532" w14:textId="77777777" w:rsidR="00776A1F" w:rsidRDefault="00D8574B">
            <w:pPr>
              <w:pStyle w:val="P68B1DB1-Normal23"/>
              <w:spacing w:after="0"/>
              <w:jc w:val="center"/>
              <w:rPr>
                <w:rFonts w:eastAsia="Calibri" w:cs="Calibri"/>
                <w:noProof/>
              </w:rPr>
            </w:pPr>
            <w:r>
              <w:rPr>
                <w:noProof/>
              </w:rPr>
              <w:t>16.16</w:t>
            </w:r>
          </w:p>
        </w:tc>
        <w:tc>
          <w:tcPr>
            <w:tcW w:w="1760" w:type="dxa"/>
            <w:tcBorders>
              <w:top w:val="nil"/>
              <w:left w:val="nil"/>
              <w:bottom w:val="single" w:sz="4" w:space="0" w:color="auto"/>
              <w:right w:val="single" w:sz="4" w:space="0" w:color="auto"/>
            </w:tcBorders>
            <w:shd w:val="clear" w:color="auto" w:fill="C4EFCE"/>
            <w:vAlign w:val="center"/>
            <w:hideMark/>
          </w:tcPr>
          <w:p w14:paraId="2CBED526" w14:textId="77777777" w:rsidR="00776A1F" w:rsidRDefault="00D8574B">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3003DF4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F9A9EA3" w14:textId="77777777" w:rsidR="00776A1F" w:rsidRDefault="00D8574B">
            <w:pPr>
              <w:pStyle w:val="P68B1DB1-Normal23"/>
              <w:spacing w:after="0"/>
              <w:jc w:val="both"/>
              <w:rPr>
                <w:rFonts w:eastAsia="Calibri" w:cs="Calibri"/>
                <w:noProof/>
              </w:rPr>
            </w:pPr>
            <w:r>
              <w:rPr>
                <w:noProof/>
              </w:rPr>
              <w:t>“Rūpniecība 4.0” projektu atlase</w:t>
            </w:r>
          </w:p>
        </w:tc>
      </w:tr>
      <w:tr w:rsidR="00776A1F" w14:paraId="0EE345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10FEBB" w14:textId="77777777" w:rsidR="00776A1F" w:rsidRDefault="00D8574B">
            <w:pPr>
              <w:pStyle w:val="P68B1DB1-Normal23"/>
              <w:spacing w:after="0"/>
              <w:jc w:val="center"/>
              <w:rPr>
                <w:rFonts w:eastAsia="Calibri" w:cs="Calibri"/>
                <w:noProof/>
              </w:rPr>
            </w:pPr>
            <w:r>
              <w:rPr>
                <w:noProof/>
              </w:rPr>
              <w:t>17.21</w:t>
            </w:r>
          </w:p>
        </w:tc>
        <w:tc>
          <w:tcPr>
            <w:tcW w:w="1760" w:type="dxa"/>
            <w:tcBorders>
              <w:top w:val="nil"/>
              <w:left w:val="nil"/>
              <w:bottom w:val="single" w:sz="4" w:space="0" w:color="auto"/>
              <w:right w:val="single" w:sz="4" w:space="0" w:color="auto"/>
            </w:tcBorders>
            <w:shd w:val="clear" w:color="auto" w:fill="C4EFCE"/>
            <w:vAlign w:val="center"/>
            <w:hideMark/>
          </w:tcPr>
          <w:p w14:paraId="2B0924BA" w14:textId="77777777" w:rsidR="00776A1F" w:rsidRDefault="00D8574B">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18D2B06A"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C698DD" w14:textId="77777777" w:rsidR="00776A1F" w:rsidRDefault="00D8574B">
            <w:pPr>
              <w:pStyle w:val="P68B1DB1-Normal23"/>
              <w:spacing w:after="0"/>
              <w:jc w:val="both"/>
              <w:rPr>
                <w:rFonts w:eastAsia="Calibri" w:cs="Calibri"/>
                <w:noProof/>
              </w:rPr>
            </w:pPr>
            <w:r>
              <w:rPr>
                <w:noProof/>
              </w:rPr>
              <w:t>Pabeigt konkrēta darījuma iepriekšēju aizpildīšanu, kam piemēro zīmognodevu</w:t>
            </w:r>
          </w:p>
        </w:tc>
      </w:tr>
      <w:tr w:rsidR="00776A1F" w14:paraId="7D6C04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F3082E" w14:textId="77777777" w:rsidR="00776A1F" w:rsidRDefault="00D8574B">
            <w:pPr>
              <w:pStyle w:val="P68B1DB1-Normal23"/>
              <w:spacing w:after="0"/>
              <w:jc w:val="center"/>
              <w:rPr>
                <w:rFonts w:eastAsia="Calibri" w:cs="Calibri"/>
                <w:noProof/>
              </w:rPr>
            </w:pPr>
            <w:r>
              <w:rPr>
                <w:noProof/>
              </w:rPr>
              <w:t>17.23</w:t>
            </w:r>
          </w:p>
        </w:tc>
        <w:tc>
          <w:tcPr>
            <w:tcW w:w="1760" w:type="dxa"/>
            <w:tcBorders>
              <w:top w:val="nil"/>
              <w:left w:val="nil"/>
              <w:bottom w:val="single" w:sz="4" w:space="0" w:color="auto"/>
              <w:right w:val="single" w:sz="4" w:space="0" w:color="auto"/>
            </w:tcBorders>
            <w:shd w:val="clear" w:color="auto" w:fill="C4EFCE"/>
            <w:vAlign w:val="center"/>
            <w:hideMark/>
          </w:tcPr>
          <w:p w14:paraId="698DAC9E" w14:textId="665ACA7C" w:rsidR="00776A1F" w:rsidRDefault="00D8574B">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7B24166A"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27CEBBA" w14:textId="77777777" w:rsidR="00776A1F" w:rsidRDefault="00D8574B">
            <w:pPr>
              <w:pStyle w:val="P68B1DB1-Normal23"/>
              <w:spacing w:after="0"/>
              <w:jc w:val="both"/>
              <w:rPr>
                <w:rFonts w:eastAsia="Calibri" w:cs="Calibri"/>
                <w:noProof/>
              </w:rPr>
            </w:pPr>
            <w:r>
              <w:rPr>
                <w:noProof/>
              </w:rPr>
              <w:t>Stājas spēkā tiesību akts, ar ko izveido pastāvīgu tehniskās nodokļu politikas vienību Unidade Técnica de Avaliação Tributária e Aduaneira (U-TAX)</w:t>
            </w:r>
          </w:p>
        </w:tc>
      </w:tr>
      <w:tr w:rsidR="00776A1F" w14:paraId="1B7657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05E771" w14:textId="77777777" w:rsidR="00776A1F" w:rsidRDefault="00D8574B">
            <w:pPr>
              <w:pStyle w:val="P68B1DB1-Normal23"/>
              <w:spacing w:after="0"/>
              <w:jc w:val="center"/>
              <w:rPr>
                <w:rFonts w:eastAsia="Calibri" w:cs="Calibri"/>
                <w:noProof/>
              </w:rPr>
            </w:pPr>
            <w:r>
              <w:rPr>
                <w:noProof/>
              </w:rPr>
              <w:t>18.5</w:t>
            </w:r>
          </w:p>
        </w:tc>
        <w:tc>
          <w:tcPr>
            <w:tcW w:w="1760" w:type="dxa"/>
            <w:tcBorders>
              <w:top w:val="nil"/>
              <w:left w:val="nil"/>
              <w:bottom w:val="single" w:sz="4" w:space="0" w:color="auto"/>
              <w:right w:val="single" w:sz="4" w:space="0" w:color="auto"/>
            </w:tcBorders>
            <w:shd w:val="clear" w:color="auto" w:fill="C4EFCE"/>
            <w:vAlign w:val="center"/>
            <w:hideMark/>
          </w:tcPr>
          <w:p w14:paraId="618CB0E4" w14:textId="77777777" w:rsidR="00776A1F" w:rsidRDefault="00D8574B">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D6B08A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389343" w14:textId="77777777" w:rsidR="00776A1F" w:rsidRDefault="00D8574B">
            <w:pPr>
              <w:pStyle w:val="P68B1DB1-Normal23"/>
              <w:spacing w:after="0"/>
              <w:jc w:val="both"/>
              <w:rPr>
                <w:rFonts w:eastAsia="Calibri" w:cs="Calibri"/>
                <w:noProof/>
              </w:rPr>
            </w:pPr>
            <w:r>
              <w:rPr>
                <w:noProof/>
              </w:rPr>
              <w:t>Modernizēta IT sistēma kriminālizmeklēšanai</w:t>
            </w:r>
          </w:p>
        </w:tc>
      </w:tr>
      <w:tr w:rsidR="00776A1F" w14:paraId="1F76A1E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F520F4" w14:textId="77777777" w:rsidR="00776A1F" w:rsidRDefault="00D8574B">
            <w:pPr>
              <w:pStyle w:val="P68B1DB1-Normal23"/>
              <w:spacing w:after="0"/>
              <w:jc w:val="center"/>
              <w:rPr>
                <w:rFonts w:eastAsia="Calibri" w:cs="Calibri"/>
                <w:noProof/>
              </w:rPr>
            </w:pPr>
            <w:r>
              <w:rPr>
                <w:noProof/>
              </w:rPr>
              <w:t>19.12</w:t>
            </w:r>
          </w:p>
        </w:tc>
        <w:tc>
          <w:tcPr>
            <w:tcW w:w="1760" w:type="dxa"/>
            <w:tcBorders>
              <w:top w:val="nil"/>
              <w:left w:val="nil"/>
              <w:bottom w:val="single" w:sz="4" w:space="0" w:color="auto"/>
              <w:right w:val="single" w:sz="4" w:space="0" w:color="auto"/>
            </w:tcBorders>
            <w:shd w:val="clear" w:color="auto" w:fill="C4EFCE"/>
            <w:vAlign w:val="center"/>
            <w:hideMark/>
          </w:tcPr>
          <w:p w14:paraId="47FDE4B7" w14:textId="77777777" w:rsidR="00776A1F" w:rsidRDefault="00D8574B">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723C2388"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82C1D8F" w14:textId="77777777" w:rsidR="00776A1F" w:rsidRDefault="00D8574B">
            <w:pPr>
              <w:pStyle w:val="P68B1DB1-Normal23"/>
              <w:spacing w:after="0"/>
              <w:jc w:val="both"/>
              <w:rPr>
                <w:rFonts w:eastAsia="Calibri" w:cs="Calibri"/>
                <w:noProof/>
              </w:rPr>
            </w:pPr>
            <w:r>
              <w:rPr>
                <w:noProof/>
              </w:rPr>
              <w:t>Kritisko digitālo infrastruktūru modernizācijas pabeigšana</w:t>
            </w:r>
          </w:p>
        </w:tc>
      </w:tr>
      <w:tr w:rsidR="00776A1F" w14:paraId="68EBFC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2D3804" w14:textId="77777777" w:rsidR="00776A1F" w:rsidRDefault="00D8574B">
            <w:pPr>
              <w:pStyle w:val="P68B1DB1-Normal23"/>
              <w:spacing w:after="0"/>
              <w:jc w:val="center"/>
              <w:rPr>
                <w:rFonts w:eastAsia="Calibri" w:cs="Calibri"/>
                <w:noProof/>
              </w:rPr>
            </w:pPr>
            <w:r>
              <w:rPr>
                <w:noProof/>
              </w:rPr>
              <w:t>19.19</w:t>
            </w:r>
          </w:p>
        </w:tc>
        <w:tc>
          <w:tcPr>
            <w:tcW w:w="1760" w:type="dxa"/>
            <w:tcBorders>
              <w:top w:val="nil"/>
              <w:left w:val="nil"/>
              <w:bottom w:val="single" w:sz="4" w:space="0" w:color="auto"/>
              <w:right w:val="single" w:sz="4" w:space="0" w:color="auto"/>
            </w:tcBorders>
            <w:shd w:val="clear" w:color="auto" w:fill="C4EFCE"/>
            <w:vAlign w:val="center"/>
            <w:hideMark/>
          </w:tcPr>
          <w:p w14:paraId="52CAADEB" w14:textId="77777777" w:rsidR="00776A1F" w:rsidRDefault="00D8574B">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447F009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47649F" w14:textId="77777777" w:rsidR="00776A1F" w:rsidRDefault="00D8574B">
            <w:pPr>
              <w:pStyle w:val="P68B1DB1-Normal23"/>
              <w:spacing w:after="0"/>
              <w:jc w:val="both"/>
              <w:rPr>
                <w:rFonts w:eastAsia="Calibri" w:cs="Calibri"/>
                <w:noProof/>
              </w:rPr>
            </w:pPr>
            <w:r>
              <w:rPr>
                <w:noProof/>
              </w:rPr>
              <w:t>Stažēšanās programma absolventiem</w:t>
            </w:r>
          </w:p>
        </w:tc>
      </w:tr>
      <w:tr w:rsidR="00776A1F" w14:paraId="0EEF05D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45AB48" w14:textId="77777777" w:rsidR="00776A1F" w:rsidRDefault="00D8574B">
            <w:pPr>
              <w:pStyle w:val="P68B1DB1-Normal23"/>
              <w:spacing w:after="0"/>
              <w:jc w:val="center"/>
              <w:rPr>
                <w:rFonts w:eastAsia="Calibri" w:cs="Calibri"/>
                <w:noProof/>
              </w:rPr>
            </w:pPr>
            <w:r>
              <w:rPr>
                <w:noProof/>
              </w:rPr>
              <w:t>19.20</w:t>
            </w:r>
          </w:p>
        </w:tc>
        <w:tc>
          <w:tcPr>
            <w:tcW w:w="1760" w:type="dxa"/>
            <w:tcBorders>
              <w:top w:val="nil"/>
              <w:left w:val="nil"/>
              <w:bottom w:val="single" w:sz="4" w:space="0" w:color="auto"/>
              <w:right w:val="single" w:sz="4" w:space="0" w:color="auto"/>
            </w:tcBorders>
            <w:shd w:val="clear" w:color="auto" w:fill="C4EFCE"/>
            <w:vAlign w:val="center"/>
            <w:hideMark/>
          </w:tcPr>
          <w:p w14:paraId="4BC8CA1D" w14:textId="77777777" w:rsidR="00776A1F" w:rsidRDefault="00D8574B">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70FE960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CE35B3" w14:textId="77777777" w:rsidR="00776A1F" w:rsidRDefault="00D8574B">
            <w:pPr>
              <w:pStyle w:val="P68B1DB1-Normal23"/>
              <w:spacing w:after="0"/>
              <w:jc w:val="both"/>
              <w:rPr>
                <w:rFonts w:eastAsia="Calibri" w:cs="Calibri"/>
                <w:noProof/>
              </w:rPr>
            </w:pPr>
            <w:r>
              <w:rPr>
                <w:noProof/>
              </w:rPr>
              <w:t>Tāldarbā iesaistītie sabiedrisko pakalpojumu darbinieki</w:t>
            </w:r>
          </w:p>
        </w:tc>
      </w:tr>
      <w:tr w:rsidR="00776A1F" w14:paraId="3C0825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C00604" w14:textId="77777777" w:rsidR="00776A1F" w:rsidRDefault="00D8574B">
            <w:pPr>
              <w:pStyle w:val="P68B1DB1-Normal23"/>
              <w:spacing w:after="0"/>
              <w:jc w:val="center"/>
              <w:rPr>
                <w:rFonts w:eastAsia="Calibri" w:cs="Calibri"/>
                <w:noProof/>
              </w:rPr>
            </w:pPr>
            <w:r>
              <w:rPr>
                <w:noProof/>
              </w:rPr>
              <w:t>19.23</w:t>
            </w:r>
          </w:p>
        </w:tc>
        <w:tc>
          <w:tcPr>
            <w:tcW w:w="1760" w:type="dxa"/>
            <w:tcBorders>
              <w:top w:val="nil"/>
              <w:left w:val="nil"/>
              <w:bottom w:val="single" w:sz="4" w:space="0" w:color="auto"/>
              <w:right w:val="single" w:sz="4" w:space="0" w:color="auto"/>
            </w:tcBorders>
            <w:shd w:val="clear" w:color="auto" w:fill="C4EFCE"/>
            <w:vAlign w:val="center"/>
            <w:hideMark/>
          </w:tcPr>
          <w:p w14:paraId="1BB37310" w14:textId="77777777" w:rsidR="00776A1F" w:rsidRDefault="00D8574B">
            <w:pPr>
              <w:pStyle w:val="P68B1DB1-Normal23"/>
              <w:spacing w:after="0"/>
              <w:jc w:val="center"/>
              <w:rPr>
                <w:rFonts w:eastAsia="Calibri" w:cs="Calibri"/>
                <w:noProof/>
              </w:rPr>
            </w:pPr>
            <w:r>
              <w:rPr>
                <w:noProof/>
              </w:rPr>
              <w:t>TD-C19-r35</w:t>
            </w:r>
          </w:p>
        </w:tc>
        <w:tc>
          <w:tcPr>
            <w:tcW w:w="1520" w:type="dxa"/>
            <w:tcBorders>
              <w:top w:val="nil"/>
              <w:left w:val="nil"/>
              <w:bottom w:val="single" w:sz="4" w:space="0" w:color="auto"/>
              <w:right w:val="single" w:sz="4" w:space="0" w:color="auto"/>
            </w:tcBorders>
            <w:shd w:val="clear" w:color="auto" w:fill="C4EFCE"/>
            <w:vAlign w:val="center"/>
            <w:hideMark/>
          </w:tcPr>
          <w:p w14:paraId="4E51FBB7"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A32703A" w14:textId="77777777" w:rsidR="00776A1F" w:rsidRDefault="00D8574B">
            <w:pPr>
              <w:pStyle w:val="P68B1DB1-Normal23"/>
              <w:spacing w:after="0"/>
              <w:jc w:val="both"/>
              <w:rPr>
                <w:rFonts w:eastAsia="Calibri" w:cs="Calibri"/>
                <w:noProof/>
              </w:rPr>
            </w:pPr>
            <w:r>
              <w:rPr>
                <w:noProof/>
              </w:rPr>
              <w:t>Valsts pārvaldes reorganizācijas tiesību aktu kopuma stāšanās spēkā</w:t>
            </w:r>
          </w:p>
        </w:tc>
      </w:tr>
      <w:tr w:rsidR="00776A1F" w14:paraId="742A12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8A13B2" w14:textId="77777777" w:rsidR="00776A1F" w:rsidRDefault="00D8574B">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0F22486B" w14:textId="690F2EF9" w:rsidR="00776A1F" w:rsidRDefault="00D8574B">
            <w:pPr>
              <w:pStyle w:val="P68B1DB1-Normal23"/>
              <w:spacing w:after="0"/>
              <w:jc w:val="center"/>
              <w:rPr>
                <w:rFonts w:eastAsia="Calibri" w:cs="Calibri"/>
                <w:noProof/>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3140DF8D"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0CD0448" w14:textId="77777777" w:rsidR="00776A1F" w:rsidRDefault="00D8574B">
            <w:pPr>
              <w:pStyle w:val="P68B1DB1-Normal23"/>
              <w:spacing w:after="0"/>
              <w:jc w:val="both"/>
              <w:rPr>
                <w:rFonts w:eastAsia="Calibri" w:cs="Calibri"/>
                <w:noProof/>
              </w:rPr>
            </w:pPr>
            <w:r>
              <w:rPr>
                <w:noProof/>
              </w:rPr>
              <w:t>Stājas spēkā tiesību akti, ar ko izveido Valsts enerģētiskās nabadzības observatoriju (ONPE)</w:t>
            </w:r>
          </w:p>
        </w:tc>
      </w:tr>
      <w:tr w:rsidR="00776A1F" w14:paraId="144F24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1E2C5D" w14:textId="77777777" w:rsidR="00776A1F" w:rsidRDefault="00D8574B">
            <w:pPr>
              <w:pStyle w:val="P68B1DB1-Normal23"/>
              <w:spacing w:after="0"/>
              <w:jc w:val="center"/>
              <w:rPr>
                <w:rFonts w:eastAsia="Calibri" w:cs="Calibri"/>
                <w:noProof/>
              </w:rPr>
            </w:pPr>
            <w:r>
              <w:rPr>
                <w:noProof/>
              </w:rPr>
              <w:t>21.9</w:t>
            </w:r>
          </w:p>
        </w:tc>
        <w:tc>
          <w:tcPr>
            <w:tcW w:w="1760" w:type="dxa"/>
            <w:tcBorders>
              <w:top w:val="nil"/>
              <w:left w:val="nil"/>
              <w:bottom w:val="single" w:sz="4" w:space="0" w:color="auto"/>
              <w:right w:val="single" w:sz="4" w:space="0" w:color="auto"/>
            </w:tcBorders>
            <w:shd w:val="clear" w:color="auto" w:fill="C4EFCE"/>
            <w:vAlign w:val="center"/>
            <w:hideMark/>
          </w:tcPr>
          <w:p w14:paraId="5998B2BE" w14:textId="7C8A24E2" w:rsidR="00776A1F" w:rsidRDefault="00D8574B">
            <w:pPr>
              <w:pStyle w:val="P68B1DB1-Normal23"/>
              <w:spacing w:after="0"/>
              <w:jc w:val="center"/>
              <w:rPr>
                <w:rFonts w:eastAsia="Calibri" w:cs="Calibri"/>
                <w:noProof/>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520DFD63"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DBE9B0C" w14:textId="77777777" w:rsidR="00776A1F" w:rsidRDefault="00D8574B">
            <w:pPr>
              <w:pStyle w:val="P68B1DB1-Normal23"/>
              <w:spacing w:after="0"/>
              <w:jc w:val="both"/>
              <w:rPr>
                <w:rFonts w:eastAsia="Calibri" w:cs="Calibri"/>
                <w:noProof/>
              </w:rPr>
            </w:pPr>
            <w:r>
              <w:rPr>
                <w:noProof/>
              </w:rPr>
              <w:t>Sadarbības protokola parakstīšana</w:t>
            </w:r>
          </w:p>
        </w:tc>
      </w:tr>
      <w:tr w:rsidR="00776A1F" w14:paraId="470BD8F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3D0556" w14:textId="77777777" w:rsidR="00776A1F" w:rsidRDefault="00D8574B">
            <w:pPr>
              <w:pStyle w:val="P68B1DB1-Normal23"/>
              <w:spacing w:after="0"/>
              <w:jc w:val="center"/>
              <w:rPr>
                <w:rFonts w:eastAsia="Calibri" w:cs="Calibri"/>
                <w:noProof/>
              </w:rPr>
            </w:pPr>
            <w:r>
              <w:rPr>
                <w:noProof/>
              </w:rPr>
              <w:t>21.16</w:t>
            </w:r>
          </w:p>
        </w:tc>
        <w:tc>
          <w:tcPr>
            <w:tcW w:w="1760" w:type="dxa"/>
            <w:tcBorders>
              <w:top w:val="nil"/>
              <w:left w:val="nil"/>
              <w:bottom w:val="single" w:sz="4" w:space="0" w:color="auto"/>
              <w:right w:val="single" w:sz="4" w:space="0" w:color="auto"/>
            </w:tcBorders>
            <w:shd w:val="clear" w:color="auto" w:fill="C4EFCE"/>
            <w:vAlign w:val="center"/>
            <w:hideMark/>
          </w:tcPr>
          <w:p w14:paraId="2F028DB5" w14:textId="57F1A9AD" w:rsidR="00776A1F" w:rsidRDefault="00D8574B">
            <w:pPr>
              <w:pStyle w:val="P68B1DB1-Normal23"/>
              <w:spacing w:after="0"/>
              <w:jc w:val="center"/>
              <w:rPr>
                <w:rFonts w:eastAsia="Calibri" w:cs="Calibri"/>
                <w:noProof/>
              </w:rPr>
            </w:pPr>
            <w:r>
              <w:rPr>
                <w:noProof/>
              </w:rPr>
              <w:t>RP-C21-r46</w:t>
            </w:r>
          </w:p>
        </w:tc>
        <w:tc>
          <w:tcPr>
            <w:tcW w:w="1520" w:type="dxa"/>
            <w:tcBorders>
              <w:top w:val="nil"/>
              <w:left w:val="nil"/>
              <w:bottom w:val="single" w:sz="4" w:space="0" w:color="auto"/>
              <w:right w:val="single" w:sz="4" w:space="0" w:color="auto"/>
            </w:tcBorders>
            <w:shd w:val="clear" w:color="auto" w:fill="C4EFCE"/>
            <w:vAlign w:val="center"/>
            <w:hideMark/>
          </w:tcPr>
          <w:p w14:paraId="10032DF3"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068AE8" w14:textId="77777777" w:rsidR="00776A1F" w:rsidRDefault="00D8574B">
            <w:pPr>
              <w:pStyle w:val="P68B1DB1-Normal23"/>
              <w:spacing w:after="0"/>
              <w:jc w:val="both"/>
              <w:rPr>
                <w:rFonts w:eastAsia="Calibri" w:cs="Calibri"/>
                <w:noProof/>
              </w:rPr>
            </w:pPr>
            <w:r>
              <w:rPr>
                <w:noProof/>
              </w:rPr>
              <w:t>Valdības rīkojuma par atjaunīgo ūdeņradi stāšanās spēkā</w:t>
            </w:r>
          </w:p>
        </w:tc>
      </w:tr>
      <w:tr w:rsidR="00776A1F" w14:paraId="1D045A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08C00" w14:textId="77777777" w:rsidR="00776A1F" w:rsidRDefault="00D8574B">
            <w:pPr>
              <w:pStyle w:val="P68B1DB1-Normal23"/>
              <w:spacing w:after="0"/>
              <w:jc w:val="center"/>
              <w:rPr>
                <w:rFonts w:eastAsia="Calibri" w:cs="Calibri"/>
                <w:noProof/>
              </w:rPr>
            </w:pPr>
            <w:r>
              <w:rPr>
                <w:noProof/>
              </w:rPr>
              <w:t>21.18</w:t>
            </w:r>
          </w:p>
        </w:tc>
        <w:tc>
          <w:tcPr>
            <w:tcW w:w="1760" w:type="dxa"/>
            <w:tcBorders>
              <w:top w:val="nil"/>
              <w:left w:val="nil"/>
              <w:bottom w:val="single" w:sz="4" w:space="0" w:color="auto"/>
              <w:right w:val="single" w:sz="4" w:space="0" w:color="auto"/>
            </w:tcBorders>
            <w:shd w:val="clear" w:color="auto" w:fill="C4EFCE"/>
            <w:vAlign w:val="center"/>
            <w:hideMark/>
          </w:tcPr>
          <w:p w14:paraId="40579BEA" w14:textId="1D5A61F1" w:rsidR="00776A1F" w:rsidRDefault="00D8574B">
            <w:pPr>
              <w:pStyle w:val="P68B1DB1-Normal23"/>
              <w:spacing w:after="0"/>
              <w:jc w:val="center"/>
              <w:rPr>
                <w:rFonts w:eastAsia="Calibri" w:cs="Calibri"/>
                <w:noProof/>
              </w:rPr>
            </w:pPr>
            <w:r>
              <w:rPr>
                <w:noProof/>
              </w:rPr>
              <w:t>RP-C21-r47</w:t>
            </w:r>
          </w:p>
        </w:tc>
        <w:tc>
          <w:tcPr>
            <w:tcW w:w="1520" w:type="dxa"/>
            <w:tcBorders>
              <w:top w:val="nil"/>
              <w:left w:val="nil"/>
              <w:bottom w:val="single" w:sz="4" w:space="0" w:color="auto"/>
              <w:right w:val="single" w:sz="4" w:space="0" w:color="auto"/>
            </w:tcBorders>
            <w:shd w:val="clear" w:color="auto" w:fill="C4EFCE"/>
            <w:vAlign w:val="center"/>
            <w:hideMark/>
          </w:tcPr>
          <w:p w14:paraId="7C053785"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F2FEF83" w14:textId="77777777" w:rsidR="00776A1F" w:rsidRDefault="00D8574B">
            <w:pPr>
              <w:pStyle w:val="P68B1DB1-Normal23"/>
              <w:spacing w:after="0"/>
              <w:jc w:val="both"/>
              <w:rPr>
                <w:rFonts w:eastAsia="Calibri" w:cs="Calibri"/>
                <w:noProof/>
              </w:rPr>
            </w:pPr>
            <w:r>
              <w:rPr>
                <w:noProof/>
              </w:rPr>
              <w:t>Sākt pirmo ilgtspējīga biometāna centralizētas iegādes izsoli</w:t>
            </w:r>
          </w:p>
        </w:tc>
      </w:tr>
      <w:tr w:rsidR="00776A1F" w14:paraId="08D90CD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190E7F" w14:textId="77777777" w:rsidR="00776A1F" w:rsidRDefault="00D8574B">
            <w:pPr>
              <w:pStyle w:val="P68B1DB1-Normal23"/>
              <w:spacing w:after="0"/>
              <w:jc w:val="center"/>
              <w:rPr>
                <w:rFonts w:eastAsia="Calibri" w:cs="Calibri"/>
                <w:noProof/>
              </w:rPr>
            </w:pPr>
            <w:r>
              <w:rPr>
                <w:noProof/>
              </w:rPr>
              <w:t>21.20</w:t>
            </w:r>
          </w:p>
        </w:tc>
        <w:tc>
          <w:tcPr>
            <w:tcW w:w="1760" w:type="dxa"/>
            <w:tcBorders>
              <w:top w:val="nil"/>
              <w:left w:val="nil"/>
              <w:bottom w:val="single" w:sz="4" w:space="0" w:color="auto"/>
              <w:right w:val="single" w:sz="4" w:space="0" w:color="auto"/>
            </w:tcBorders>
            <w:shd w:val="clear" w:color="auto" w:fill="C4EFCE"/>
            <w:vAlign w:val="center"/>
            <w:hideMark/>
          </w:tcPr>
          <w:p w14:paraId="1B4E0D2F" w14:textId="42ABC8CD" w:rsidR="00776A1F" w:rsidRDefault="00D8574B">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1C5C7EE5"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37CE139" w14:textId="77777777" w:rsidR="00776A1F" w:rsidRDefault="00D8574B">
            <w:pPr>
              <w:pStyle w:val="P68B1DB1-Normal23"/>
              <w:spacing w:after="0"/>
              <w:jc w:val="both"/>
              <w:rPr>
                <w:rFonts w:eastAsia="Calibri" w:cs="Calibri"/>
                <w:noProof/>
              </w:rPr>
            </w:pPr>
            <w:r>
              <w:rPr>
                <w:noProof/>
              </w:rPr>
              <w:t>Umer 2030. gada izveide</w:t>
            </w:r>
          </w:p>
        </w:tc>
      </w:tr>
      <w:tr w:rsidR="00776A1F" w14:paraId="4DEAB1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9CF6D3B" w14:textId="77777777" w:rsidR="00776A1F" w:rsidRDefault="00D8574B">
            <w:pPr>
              <w:pStyle w:val="P68B1DB1-Normal23"/>
              <w:spacing w:after="0"/>
              <w:jc w:val="center"/>
              <w:rPr>
                <w:rFonts w:eastAsia="Calibri" w:cs="Calibri"/>
                <w:noProof/>
              </w:rPr>
            </w:pPr>
            <w:r>
              <w:rPr>
                <w:noProof/>
              </w:rPr>
              <w:t>21.21</w:t>
            </w:r>
          </w:p>
        </w:tc>
        <w:tc>
          <w:tcPr>
            <w:tcW w:w="1760" w:type="dxa"/>
            <w:tcBorders>
              <w:top w:val="nil"/>
              <w:left w:val="nil"/>
              <w:bottom w:val="single" w:sz="4" w:space="0" w:color="auto"/>
              <w:right w:val="single" w:sz="4" w:space="0" w:color="auto"/>
            </w:tcBorders>
            <w:shd w:val="clear" w:color="auto" w:fill="C4EFCE"/>
            <w:vAlign w:val="center"/>
            <w:hideMark/>
          </w:tcPr>
          <w:p w14:paraId="759E15F8" w14:textId="0BC1ACC6" w:rsidR="00776A1F" w:rsidRDefault="00D8574B">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4CBDCB5F"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2FD427" w14:textId="77777777" w:rsidR="00776A1F" w:rsidRDefault="00D8574B">
            <w:pPr>
              <w:pStyle w:val="P68B1DB1-Normal23"/>
              <w:spacing w:after="0"/>
              <w:jc w:val="both"/>
              <w:rPr>
                <w:rFonts w:eastAsia="Calibri" w:cs="Calibri"/>
                <w:noProof/>
              </w:rPr>
            </w:pPr>
            <w:r>
              <w:rPr>
                <w:noProof/>
              </w:rPr>
              <w:t>Stājas spēkā regula par atjaunojamo energoresursu enerģijas un uzglabāšanas projektu pašvaldību licencēšanu</w:t>
            </w:r>
          </w:p>
        </w:tc>
      </w:tr>
      <w:tr w:rsidR="00776A1F" w14:paraId="544DFB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A5E44A" w14:textId="77777777" w:rsidR="00776A1F" w:rsidRDefault="00D8574B">
            <w:pPr>
              <w:pStyle w:val="P68B1DB1-Normal23"/>
              <w:spacing w:after="0"/>
              <w:jc w:val="center"/>
              <w:rPr>
                <w:rFonts w:eastAsia="Calibri" w:cs="Calibri"/>
                <w:noProof/>
              </w:rPr>
            </w:pPr>
            <w:r>
              <w:rPr>
                <w:noProof/>
              </w:rPr>
              <w:t>21.24</w:t>
            </w:r>
          </w:p>
        </w:tc>
        <w:tc>
          <w:tcPr>
            <w:tcW w:w="1760" w:type="dxa"/>
            <w:tcBorders>
              <w:top w:val="nil"/>
              <w:left w:val="nil"/>
              <w:bottom w:val="single" w:sz="4" w:space="0" w:color="auto"/>
              <w:right w:val="single" w:sz="4" w:space="0" w:color="auto"/>
            </w:tcBorders>
            <w:shd w:val="clear" w:color="auto" w:fill="C4EFCE"/>
            <w:vAlign w:val="center"/>
            <w:hideMark/>
          </w:tcPr>
          <w:p w14:paraId="5A33B31D" w14:textId="1FC01E9E" w:rsidR="00776A1F" w:rsidRDefault="00D8574B">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0C6B3D46"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91A62D3" w14:textId="77777777" w:rsidR="00776A1F" w:rsidRDefault="00D8574B">
            <w:pPr>
              <w:pStyle w:val="P68B1DB1-Normal23"/>
              <w:spacing w:after="0"/>
              <w:jc w:val="both"/>
              <w:rPr>
                <w:rFonts w:eastAsia="Calibri" w:cs="Calibri"/>
                <w:noProof/>
              </w:rPr>
            </w:pPr>
            <w:r>
              <w:rPr>
                <w:noProof/>
              </w:rPr>
              <w:t>Uzaicinājums iesniegt piedāvājumus atjaunojamās gāzes ražošanas projektiem</w:t>
            </w:r>
          </w:p>
        </w:tc>
      </w:tr>
      <w:tr w:rsidR="00776A1F" w14:paraId="449FA24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B8A505" w14:textId="77777777" w:rsidR="00776A1F" w:rsidRDefault="00D8574B">
            <w:pPr>
              <w:pStyle w:val="P68B1DB1-Normal23"/>
              <w:spacing w:after="0"/>
              <w:jc w:val="center"/>
              <w:rPr>
                <w:rFonts w:eastAsia="Calibri" w:cs="Calibri"/>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1C9F8543" w14:textId="77777777" w:rsidR="00776A1F" w:rsidRDefault="00D8574B">
            <w:pPr>
              <w:pStyle w:val="P68B1DB1-Normal23"/>
              <w:spacing w:after="0"/>
              <w:jc w:val="center"/>
              <w:rPr>
                <w:rFonts w:eastAsia="Calibri" w:cs="Calibri"/>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2EC82A04" w14:textId="77777777" w:rsidR="00776A1F" w:rsidRDefault="00D8574B">
            <w:pPr>
              <w:pStyle w:val="P68B1DB1-Normal23"/>
              <w:spacing w:after="0"/>
              <w:jc w:val="center"/>
              <w:rPr>
                <w:rFonts w:eastAsia="Calibri" w:cs="Calibri"/>
                <w:noProof/>
              </w:rPr>
            </w:pPr>
            <w:r>
              <w:rPr>
                <w:noProof/>
              </w:rPr>
              <w:t xml:space="preserve">Maksājuma summa </w:t>
            </w:r>
          </w:p>
        </w:tc>
        <w:tc>
          <w:tcPr>
            <w:tcW w:w="5060" w:type="dxa"/>
            <w:tcBorders>
              <w:top w:val="nil"/>
              <w:left w:val="nil"/>
              <w:bottom w:val="single" w:sz="4" w:space="0" w:color="auto"/>
              <w:right w:val="single" w:sz="4" w:space="0" w:color="auto"/>
            </w:tcBorders>
            <w:shd w:val="clear" w:color="auto" w:fill="C4EFCE"/>
            <w:vAlign w:val="center"/>
            <w:hideMark/>
          </w:tcPr>
          <w:p w14:paraId="5000AAA7" w14:textId="4A9A28C1" w:rsidR="00776A1F" w:rsidRDefault="00D8574B">
            <w:pPr>
              <w:pStyle w:val="P68B1DB1-Normal25"/>
              <w:spacing w:after="0"/>
              <w:jc w:val="center"/>
              <w:rPr>
                <w:rFonts w:eastAsia="Calibri" w:cs="Calibri"/>
                <w:noProof/>
                <w:sz w:val="18"/>
              </w:rPr>
            </w:pPr>
            <w:r>
              <w:rPr>
                <w:noProof/>
              </w:rPr>
              <w:t xml:space="preserve">1 877 616 715 EUR </w:t>
            </w:r>
          </w:p>
        </w:tc>
      </w:tr>
    </w:tbl>
    <w:p w14:paraId="3B218749" w14:textId="77777777" w:rsidR="00776A1F" w:rsidRDefault="00776A1F">
      <w:pPr>
        <w:rPr>
          <w:noProof/>
          <w:sz w:val="18"/>
        </w:rPr>
      </w:pPr>
    </w:p>
    <w:p w14:paraId="104FE146"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Sestais maksājuma pieprasījums (neatmaksājams atbalsts): </w:t>
      </w:r>
    </w:p>
    <w:p w14:paraId="63820787" w14:textId="77777777" w:rsidR="00776A1F" w:rsidRDefault="00776A1F">
      <w:pPr>
        <w:keepNext/>
        <w:spacing w:before="40" w:after="160" w:line="259" w:lineRule="auto"/>
        <w:contextualSpacing/>
        <w:jc w:val="both"/>
        <w:rPr>
          <w:rFonts w:ascii="Times New Roman" w:eastAsiaTheme="minorEastAsia" w:hAnsi="Times New Roman" w:cs="Times New Roman"/>
          <w:noProof/>
          <w:sz w:val="18"/>
        </w:rPr>
      </w:pPr>
    </w:p>
    <w:tbl>
      <w:tblPr>
        <w:tblW w:w="9540" w:type="dxa"/>
        <w:tblInd w:w="113" w:type="dxa"/>
        <w:tblLook w:val="04A0" w:firstRow="1" w:lastRow="0" w:firstColumn="1" w:lastColumn="0" w:noHBand="0" w:noVBand="1"/>
      </w:tblPr>
      <w:tblGrid>
        <w:gridCol w:w="1149"/>
        <w:gridCol w:w="1678"/>
        <w:gridCol w:w="1807"/>
        <w:gridCol w:w="4684"/>
        <w:gridCol w:w="222"/>
      </w:tblGrid>
      <w:tr w:rsidR="00776A1F" w14:paraId="5C1078BA" w14:textId="77777777">
        <w:trPr>
          <w:trHeight w:val="1065"/>
          <w:tblHeader/>
        </w:trPr>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0E67C2BA" w14:textId="77777777" w:rsidR="00776A1F" w:rsidRDefault="00D8574B">
            <w:pPr>
              <w:pStyle w:val="P68B1DB1-Normal6"/>
              <w:spacing w:after="0" w:line="240" w:lineRule="auto"/>
              <w:jc w:val="center"/>
              <w:rPr>
                <w:rFonts w:eastAsia="Times New Roman" w:cs="Times New Roman"/>
                <w:noProof/>
              </w:rPr>
            </w:pPr>
            <w:r>
              <w:rPr>
                <w:noProof/>
              </w:rPr>
              <w:t>Kārtas numurs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3DA616A3" w14:textId="77777777" w:rsidR="00776A1F" w:rsidRDefault="00D8574B">
            <w:pPr>
              <w:pStyle w:val="P68B1DB1-Normal6"/>
              <w:spacing w:after="0" w:line="240" w:lineRule="auto"/>
              <w:jc w:val="center"/>
              <w:rPr>
                <w:rFonts w:eastAsia="Times New Roman" w:cs="Times New Roman"/>
                <w:noProof/>
              </w:rPr>
            </w:pPr>
            <w:r>
              <w:rPr>
                <w:noProof/>
              </w:rPr>
              <w:t>Pasākums (reforma vai investīcija)</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27BF467B" w14:textId="77777777" w:rsidR="00776A1F" w:rsidRDefault="00D8574B">
            <w:pPr>
              <w:pStyle w:val="P68B1DB1-Normal6"/>
              <w:spacing w:after="0" w:line="240" w:lineRule="auto"/>
              <w:jc w:val="center"/>
              <w:rPr>
                <w:rFonts w:eastAsia="Times New Roman" w:cs="Times New Roman"/>
                <w:noProof/>
              </w:rPr>
            </w:pPr>
            <w:r>
              <w:rPr>
                <w:noProof/>
              </w:rPr>
              <w:t>Atskaites punkts/mērķrādītājs</w:t>
            </w:r>
          </w:p>
        </w:tc>
        <w:tc>
          <w:tcPr>
            <w:tcW w:w="4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6FFF994C" w14:textId="77777777" w:rsidR="00776A1F" w:rsidRDefault="00D8574B">
            <w:pPr>
              <w:pStyle w:val="P68B1DB1-Normal6"/>
              <w:spacing w:after="0" w:line="240" w:lineRule="auto"/>
              <w:jc w:val="center"/>
              <w:rPr>
                <w:rFonts w:eastAsia="Times New Roman" w:cs="Times New Roman"/>
                <w:noProof/>
              </w:rPr>
            </w:pPr>
            <w:r>
              <w:rPr>
                <w:noProof/>
              </w:rPr>
              <w:t>Uzvārds</w:t>
            </w:r>
          </w:p>
        </w:tc>
        <w:tc>
          <w:tcPr>
            <w:tcW w:w="0" w:type="auto"/>
          </w:tcPr>
          <w:p w14:paraId="3BA8F6CA" w14:textId="77777777" w:rsidR="00776A1F" w:rsidRDefault="00776A1F">
            <w:pPr>
              <w:spacing w:after="0" w:line="240" w:lineRule="auto"/>
              <w:rPr>
                <w:noProof/>
                <w:sz w:val="18"/>
              </w:rPr>
            </w:pPr>
          </w:p>
        </w:tc>
      </w:tr>
      <w:tr w:rsidR="00776A1F" w14:paraId="40A55A26"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7EF44D23" w14:textId="77777777" w:rsidR="00776A1F" w:rsidRDefault="00D8574B">
            <w:pPr>
              <w:pStyle w:val="P68B1DB1-Normal23"/>
              <w:spacing w:after="0"/>
              <w:jc w:val="center"/>
              <w:rPr>
                <w:rFonts w:eastAsia="Calibri" w:cs="Calibri"/>
                <w:noProof/>
              </w:rPr>
            </w:pPr>
            <w:r>
              <w:rPr>
                <w:noProof/>
              </w:rPr>
              <w:t>1.7</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D40222F" w14:textId="77777777" w:rsidR="00776A1F" w:rsidRDefault="00D8574B">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206C69A0"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7A1CDF09" w14:textId="77777777" w:rsidR="00776A1F" w:rsidRDefault="00D8574B">
            <w:pPr>
              <w:pStyle w:val="P68B1DB1-Normal23"/>
              <w:spacing w:after="0"/>
              <w:jc w:val="both"/>
              <w:rPr>
                <w:rFonts w:eastAsia="Calibri" w:cs="Calibri"/>
                <w:noProof/>
              </w:rPr>
            </w:pPr>
            <w:r>
              <w:rPr>
                <w:noProof/>
              </w:rPr>
              <w:t>Valsts veselības dienesta jaunā vadības grāmatvedības plāna stāšanās spēkā</w:t>
            </w:r>
          </w:p>
        </w:tc>
      </w:tr>
      <w:tr w:rsidR="00776A1F" w14:paraId="66751B46" w14:textId="77777777">
        <w:trPr>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228043A4" w14:textId="77777777" w:rsidR="00776A1F" w:rsidRDefault="00D8574B">
            <w:pPr>
              <w:pStyle w:val="P68B1DB1-Normal23"/>
              <w:spacing w:after="0"/>
              <w:jc w:val="center"/>
              <w:rPr>
                <w:rFonts w:eastAsia="Calibri" w:cs="Calibri"/>
                <w:noProof/>
              </w:rPr>
            </w:pPr>
            <w:r>
              <w:rPr>
                <w:noProof/>
              </w:rPr>
              <w:t>1.11</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2DAFAA45" w14:textId="77777777" w:rsidR="00776A1F" w:rsidRDefault="00D8574B">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4723DBAD"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45AF680B" w14:textId="77777777" w:rsidR="00776A1F" w:rsidRDefault="00D8574B">
            <w:pPr>
              <w:pStyle w:val="P68B1DB1-Normal23"/>
              <w:spacing w:after="0"/>
              <w:jc w:val="both"/>
              <w:rPr>
                <w:rFonts w:eastAsia="Calibri" w:cs="Calibri"/>
                <w:noProof/>
              </w:rPr>
            </w:pPr>
            <w:r>
              <w:rPr>
                <w:noProof/>
              </w:rPr>
              <w:t>Stājas spēkā rīcības plāns zāļu centralizēto iepirkumu mehānismu stiprināšanai</w:t>
            </w:r>
          </w:p>
        </w:tc>
        <w:tc>
          <w:tcPr>
            <w:tcW w:w="0" w:type="auto"/>
          </w:tcPr>
          <w:p w14:paraId="753752EC" w14:textId="77777777" w:rsidR="00776A1F" w:rsidRDefault="00776A1F">
            <w:pPr>
              <w:spacing w:after="0" w:line="240" w:lineRule="auto"/>
              <w:rPr>
                <w:noProof/>
                <w:sz w:val="18"/>
              </w:rPr>
            </w:pPr>
          </w:p>
        </w:tc>
      </w:tr>
      <w:tr w:rsidR="00776A1F" w14:paraId="1808919D"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35A429DE" w14:textId="77777777" w:rsidR="00776A1F" w:rsidRDefault="00D8574B">
            <w:pPr>
              <w:pStyle w:val="P68B1DB1-Normal23"/>
              <w:spacing w:after="0"/>
              <w:jc w:val="center"/>
              <w:rPr>
                <w:rFonts w:eastAsia="Calibri" w:cs="Calibri"/>
                <w:noProof/>
              </w:rPr>
            </w:pPr>
            <w:r>
              <w:rPr>
                <w:noProof/>
              </w:rPr>
              <w:t>1.22</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5E6F087" w14:textId="77777777" w:rsidR="00776A1F" w:rsidRDefault="00D8574B">
            <w:pPr>
              <w:pStyle w:val="P68B1DB1-Normal23"/>
              <w:spacing w:after="0"/>
              <w:jc w:val="center"/>
              <w:rPr>
                <w:rFonts w:eastAsia="Calibri" w:cs="Calibri"/>
                <w:noProof/>
              </w:rPr>
            </w:pPr>
            <w:r>
              <w:rPr>
                <w:noProof/>
              </w:rPr>
              <w:t>Re-C01-i02</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7A664CD"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0575ECC2" w14:textId="77777777" w:rsidR="00776A1F" w:rsidRDefault="00D8574B">
            <w:pPr>
              <w:pStyle w:val="P68B1DB1-Normal23"/>
              <w:spacing w:after="0"/>
              <w:jc w:val="both"/>
              <w:rPr>
                <w:rFonts w:eastAsia="Calibri" w:cs="Calibri"/>
                <w:noProof/>
              </w:rPr>
            </w:pPr>
            <w:r>
              <w:rPr>
                <w:noProof/>
              </w:rPr>
              <w:t>Valsts integrēto nepārtrauktas aprūpes un paliatīvās aprūpes pakalpojumu tīklu reaģēšanas spēju stiprināšana mājas aprūpē</w:t>
            </w:r>
          </w:p>
        </w:tc>
      </w:tr>
      <w:tr w:rsidR="00776A1F" w14:paraId="40001357"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1BC70449" w14:textId="77777777" w:rsidR="00776A1F" w:rsidRDefault="00D8574B">
            <w:pPr>
              <w:pStyle w:val="P68B1DB1-Normal23"/>
              <w:spacing w:after="0"/>
              <w:jc w:val="center"/>
              <w:rPr>
                <w:rFonts w:eastAsia="Calibri" w:cs="Calibri"/>
                <w:noProof/>
              </w:rPr>
            </w:pPr>
            <w:r>
              <w:rPr>
                <w:noProof/>
              </w:rPr>
              <w:t>3.6</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3CFC2C9A" w14:textId="77777777" w:rsidR="00776A1F" w:rsidRDefault="00D8574B">
            <w:pPr>
              <w:pStyle w:val="P68B1DB1-Normal23"/>
              <w:spacing w:after="0"/>
              <w:jc w:val="center"/>
              <w:rPr>
                <w:rFonts w:eastAsia="Calibri" w:cs="Calibri"/>
                <w:noProof/>
              </w:rPr>
            </w:pPr>
            <w:r>
              <w:rPr>
                <w:noProof/>
              </w:rPr>
              <w:t xml:space="preserve">Re-C01-i02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147DFBF"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2D5F6706" w14:textId="77777777" w:rsidR="00776A1F" w:rsidRDefault="00D8574B">
            <w:pPr>
              <w:pStyle w:val="P68B1DB1-Normal23"/>
              <w:spacing w:after="0"/>
              <w:jc w:val="both"/>
              <w:rPr>
                <w:rFonts w:eastAsia="Calibri" w:cs="Calibri"/>
                <w:noProof/>
              </w:rPr>
            </w:pPr>
            <w:r>
              <w:rPr>
                <w:noProof/>
              </w:rPr>
              <w:t>Mājokļi ar uzlabotu pieejamību cilvēkiem ar ierobežotām pārvietošanās spējām</w:t>
            </w:r>
          </w:p>
        </w:tc>
      </w:tr>
      <w:tr w:rsidR="00776A1F" w14:paraId="6146DE32"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5DF2D95B" w14:textId="77777777" w:rsidR="00776A1F" w:rsidRDefault="00D8574B">
            <w:pPr>
              <w:pStyle w:val="P68B1DB1-Normal23"/>
              <w:spacing w:after="0"/>
              <w:jc w:val="center"/>
              <w:rPr>
                <w:rFonts w:eastAsia="Calibri" w:cs="Calibri"/>
                <w:noProof/>
              </w:rPr>
            </w:pPr>
            <w:r>
              <w:rPr>
                <w:noProof/>
              </w:rPr>
              <w:t>3.25</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48894F5A" w14:textId="77777777" w:rsidR="00776A1F" w:rsidRDefault="00D8574B">
            <w:pPr>
              <w:pStyle w:val="P68B1DB1-Normal23"/>
              <w:spacing w:after="0"/>
              <w:jc w:val="center"/>
              <w:rPr>
                <w:rFonts w:eastAsia="Calibri" w:cs="Calibri"/>
                <w:noProof/>
              </w:rPr>
            </w:pPr>
            <w:r>
              <w:rPr>
                <w:noProof/>
              </w:rPr>
              <w:t>Re-C01-i06</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56B5FA9F"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1E5C982E" w14:textId="77777777" w:rsidR="00776A1F" w:rsidRDefault="00D8574B">
            <w:pPr>
              <w:pStyle w:val="P68B1DB1-Normal23"/>
              <w:spacing w:after="0"/>
              <w:jc w:val="both"/>
              <w:rPr>
                <w:rFonts w:eastAsia="Calibri" w:cs="Calibri"/>
                <w:noProof/>
              </w:rPr>
            </w:pPr>
            <w:r>
              <w:rPr>
                <w:noProof/>
              </w:rPr>
              <w:t>Portu un Lisabonas aglomerāciju monitoringa ziņojuma publicēšana par pasākumiem, kas veikti katrā no 12 intervences jomām.</w:t>
            </w:r>
          </w:p>
        </w:tc>
      </w:tr>
      <w:tr w:rsidR="00776A1F" w14:paraId="0020D0F3"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6C71AEC" w14:textId="77777777" w:rsidR="00776A1F" w:rsidRDefault="00D8574B">
            <w:pPr>
              <w:pStyle w:val="P68B1DB1-Normal23"/>
              <w:spacing w:after="0"/>
              <w:jc w:val="center"/>
              <w:rPr>
                <w:rFonts w:eastAsia="Calibri" w:cs="Calibri"/>
                <w:noProof/>
              </w:rPr>
            </w:pPr>
            <w:r>
              <w:rPr>
                <w:noProof/>
              </w:rPr>
              <w:t>5.33</w:t>
            </w:r>
          </w:p>
        </w:tc>
        <w:tc>
          <w:tcPr>
            <w:tcW w:w="1731" w:type="dxa"/>
            <w:tcBorders>
              <w:top w:val="nil"/>
              <w:left w:val="nil"/>
              <w:bottom w:val="single" w:sz="4" w:space="0" w:color="auto"/>
              <w:right w:val="single" w:sz="4" w:space="0" w:color="auto"/>
            </w:tcBorders>
            <w:shd w:val="clear" w:color="auto" w:fill="C4EFCE"/>
            <w:vAlign w:val="center"/>
            <w:hideMark/>
          </w:tcPr>
          <w:p w14:paraId="4F60CC1D" w14:textId="6EDC4274" w:rsidR="00776A1F" w:rsidRDefault="00D8574B">
            <w:pPr>
              <w:pStyle w:val="P68B1DB1-Normal23"/>
              <w:spacing w:after="0"/>
              <w:jc w:val="center"/>
              <w:rPr>
                <w:rFonts w:eastAsia="Calibri" w:cs="Calibri"/>
                <w:noProof/>
              </w:rPr>
            </w:pPr>
            <w:r>
              <w:rPr>
                <w:noProof/>
              </w:rPr>
              <w:t xml:space="preserve">Re-C05-i07-RAM </w:t>
            </w:r>
          </w:p>
        </w:tc>
        <w:tc>
          <w:tcPr>
            <w:tcW w:w="1491" w:type="dxa"/>
            <w:tcBorders>
              <w:top w:val="nil"/>
              <w:left w:val="nil"/>
              <w:bottom w:val="single" w:sz="4" w:space="0" w:color="auto"/>
              <w:right w:val="single" w:sz="4" w:space="0" w:color="auto"/>
            </w:tcBorders>
            <w:shd w:val="clear" w:color="auto" w:fill="C4EFCE"/>
            <w:vAlign w:val="center"/>
            <w:hideMark/>
          </w:tcPr>
          <w:p w14:paraId="4F836274"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E64E7E2" w14:textId="77777777" w:rsidR="00776A1F" w:rsidRDefault="00D8574B">
            <w:pPr>
              <w:pStyle w:val="P68B1DB1-Normal23"/>
              <w:spacing w:after="0"/>
              <w:jc w:val="both"/>
              <w:rPr>
                <w:rFonts w:eastAsia="Calibri" w:cs="Calibri"/>
                <w:noProof/>
              </w:rPr>
            </w:pPr>
            <w:r>
              <w:rPr>
                <w:noProof/>
              </w:rPr>
              <w:t>Īstenošanas nolīguma (protokola) parakstīšana starp Banco Português de Fomento, Instituto de Desenvolvimento Empresarial un atsevišķiem finanšu starpniekiem</w:t>
            </w:r>
          </w:p>
        </w:tc>
      </w:tr>
      <w:tr w:rsidR="00776A1F" w14:paraId="30129324"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5FCB9E5" w14:textId="77777777" w:rsidR="00776A1F" w:rsidRDefault="00D8574B">
            <w:pPr>
              <w:pStyle w:val="P68B1DB1-Normal23"/>
              <w:spacing w:after="0"/>
              <w:jc w:val="center"/>
              <w:rPr>
                <w:rFonts w:eastAsia="Calibri" w:cs="Calibri"/>
                <w:noProof/>
              </w:rPr>
            </w:pPr>
            <w:r>
              <w:rPr>
                <w:noProof/>
              </w:rPr>
              <w:t>8.21</w:t>
            </w:r>
          </w:p>
        </w:tc>
        <w:tc>
          <w:tcPr>
            <w:tcW w:w="1731" w:type="dxa"/>
            <w:tcBorders>
              <w:top w:val="nil"/>
              <w:left w:val="nil"/>
              <w:bottom w:val="single" w:sz="4" w:space="0" w:color="auto"/>
              <w:right w:val="single" w:sz="4" w:space="0" w:color="auto"/>
            </w:tcBorders>
            <w:shd w:val="clear" w:color="auto" w:fill="C4EFCE"/>
            <w:vAlign w:val="center"/>
            <w:hideMark/>
          </w:tcPr>
          <w:p w14:paraId="4B7441D6" w14:textId="77777777" w:rsidR="00776A1F" w:rsidRDefault="00D8574B">
            <w:pPr>
              <w:pStyle w:val="P68B1DB1-Normal23"/>
              <w:spacing w:after="0"/>
              <w:jc w:val="center"/>
              <w:rPr>
                <w:rFonts w:eastAsia="Calibri" w:cs="Calibri"/>
                <w:noProof/>
              </w:rPr>
            </w:pPr>
            <w:r>
              <w:rPr>
                <w:noProof/>
              </w:rPr>
              <w:t>Re-C08-i05</w:t>
            </w:r>
          </w:p>
        </w:tc>
        <w:tc>
          <w:tcPr>
            <w:tcW w:w="1491" w:type="dxa"/>
            <w:tcBorders>
              <w:top w:val="nil"/>
              <w:left w:val="nil"/>
              <w:bottom w:val="single" w:sz="4" w:space="0" w:color="auto"/>
              <w:right w:val="single" w:sz="4" w:space="0" w:color="auto"/>
            </w:tcBorders>
            <w:shd w:val="clear" w:color="auto" w:fill="C4EFCE"/>
            <w:vAlign w:val="center"/>
            <w:hideMark/>
          </w:tcPr>
          <w:p w14:paraId="460E8712"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6608672" w14:textId="77777777" w:rsidR="00776A1F" w:rsidRDefault="00D8574B">
            <w:pPr>
              <w:pStyle w:val="P68B1DB1-Normal23"/>
              <w:spacing w:after="0"/>
              <w:jc w:val="both"/>
              <w:rPr>
                <w:rFonts w:eastAsia="Calibri" w:cs="Calibri"/>
                <w:noProof/>
              </w:rPr>
            </w:pPr>
            <w:r>
              <w:rPr>
                <w:noProof/>
              </w:rPr>
              <w:t>Izpratnes veicināšanas kampaņas izstrāde, lai novērstu riskantu uzvedību</w:t>
            </w:r>
          </w:p>
        </w:tc>
      </w:tr>
      <w:tr w:rsidR="00776A1F" w14:paraId="143CDEBF"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53A389BE" w14:textId="77777777" w:rsidR="00776A1F" w:rsidRDefault="00D8574B">
            <w:pPr>
              <w:pStyle w:val="P68B1DB1-Normal23"/>
              <w:spacing w:after="0"/>
              <w:jc w:val="center"/>
              <w:rPr>
                <w:rFonts w:eastAsia="Calibri" w:cs="Calibri"/>
                <w:noProof/>
              </w:rPr>
            </w:pPr>
            <w:r>
              <w:rPr>
                <w:noProof/>
              </w:rPr>
              <w:t>10.13</w:t>
            </w:r>
          </w:p>
        </w:tc>
        <w:tc>
          <w:tcPr>
            <w:tcW w:w="1731" w:type="dxa"/>
            <w:tcBorders>
              <w:top w:val="nil"/>
              <w:left w:val="nil"/>
              <w:bottom w:val="single" w:sz="4" w:space="0" w:color="auto"/>
              <w:right w:val="single" w:sz="4" w:space="0" w:color="auto"/>
            </w:tcBorders>
            <w:shd w:val="clear" w:color="auto" w:fill="C4EFCE"/>
            <w:vAlign w:val="center"/>
            <w:hideMark/>
          </w:tcPr>
          <w:p w14:paraId="43E82AAB" w14:textId="5D3C7004" w:rsidR="00776A1F" w:rsidRDefault="00D8574B">
            <w:pPr>
              <w:pStyle w:val="P68B1DB1-Normal23"/>
              <w:spacing w:after="0"/>
              <w:jc w:val="center"/>
              <w:rPr>
                <w:rFonts w:eastAsia="Calibri" w:cs="Calibri"/>
                <w:noProof/>
              </w:rPr>
            </w:pPr>
            <w:r>
              <w:rPr>
                <w:noProof/>
              </w:rPr>
              <w:t xml:space="preserve">TC-C10-i06-RAM </w:t>
            </w:r>
          </w:p>
        </w:tc>
        <w:tc>
          <w:tcPr>
            <w:tcW w:w="1491" w:type="dxa"/>
            <w:tcBorders>
              <w:top w:val="nil"/>
              <w:left w:val="nil"/>
              <w:bottom w:val="single" w:sz="4" w:space="0" w:color="auto"/>
              <w:right w:val="single" w:sz="4" w:space="0" w:color="auto"/>
            </w:tcBorders>
            <w:shd w:val="clear" w:color="auto" w:fill="C4EFCE"/>
            <w:vAlign w:val="center"/>
            <w:hideMark/>
          </w:tcPr>
          <w:p w14:paraId="3CB9CA7F"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E9A44F3" w14:textId="77777777" w:rsidR="00776A1F" w:rsidRDefault="00D8574B">
            <w:pPr>
              <w:pStyle w:val="P68B1DB1-Normal23"/>
              <w:spacing w:after="0"/>
              <w:jc w:val="both"/>
              <w:rPr>
                <w:rFonts w:eastAsia="Calibri" w:cs="Calibri"/>
                <w:noProof/>
              </w:rPr>
            </w:pPr>
            <w:r>
              <w:rPr>
                <w:noProof/>
              </w:rPr>
              <w:t>Līguma parakstīšana par daudzfunkcionālu pētniecības kuģi</w:t>
            </w:r>
          </w:p>
        </w:tc>
        <w:tc>
          <w:tcPr>
            <w:tcW w:w="0" w:type="auto"/>
          </w:tcPr>
          <w:p w14:paraId="3F53FDD0" w14:textId="77777777" w:rsidR="00776A1F" w:rsidRDefault="00776A1F">
            <w:pPr>
              <w:spacing w:after="0" w:line="240" w:lineRule="auto"/>
              <w:rPr>
                <w:noProof/>
                <w:sz w:val="18"/>
              </w:rPr>
            </w:pPr>
          </w:p>
        </w:tc>
      </w:tr>
      <w:tr w:rsidR="00776A1F" w14:paraId="1B11DFC4"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39F21E" w14:textId="77777777" w:rsidR="00776A1F" w:rsidRDefault="00D8574B">
            <w:pPr>
              <w:pStyle w:val="P68B1DB1-Normal23"/>
              <w:spacing w:after="0"/>
              <w:jc w:val="center"/>
              <w:rPr>
                <w:rFonts w:eastAsia="Calibri" w:cs="Calibri"/>
                <w:noProof/>
              </w:rPr>
            </w:pPr>
            <w:r>
              <w:rPr>
                <w:noProof/>
              </w:rPr>
              <w:t>13.1</w:t>
            </w:r>
          </w:p>
        </w:tc>
        <w:tc>
          <w:tcPr>
            <w:tcW w:w="1731" w:type="dxa"/>
            <w:tcBorders>
              <w:top w:val="nil"/>
              <w:left w:val="nil"/>
              <w:bottom w:val="single" w:sz="4" w:space="0" w:color="auto"/>
              <w:right w:val="single" w:sz="4" w:space="0" w:color="auto"/>
            </w:tcBorders>
            <w:shd w:val="clear" w:color="auto" w:fill="C4EFCE"/>
            <w:vAlign w:val="center"/>
            <w:hideMark/>
          </w:tcPr>
          <w:p w14:paraId="100A5399" w14:textId="77777777" w:rsidR="00776A1F" w:rsidRDefault="00D8574B">
            <w:pPr>
              <w:pStyle w:val="P68B1DB1-Normal23"/>
              <w:spacing w:after="0"/>
              <w:jc w:val="center"/>
              <w:rPr>
                <w:rFonts w:eastAsia="Calibri" w:cs="Calibri"/>
                <w:noProof/>
              </w:rPr>
            </w:pPr>
            <w:r>
              <w:rPr>
                <w:noProof/>
              </w:rPr>
              <w:t xml:space="preserve">TC-C13-i01  </w:t>
            </w:r>
          </w:p>
        </w:tc>
        <w:tc>
          <w:tcPr>
            <w:tcW w:w="1491" w:type="dxa"/>
            <w:tcBorders>
              <w:top w:val="nil"/>
              <w:left w:val="nil"/>
              <w:bottom w:val="single" w:sz="4" w:space="0" w:color="auto"/>
              <w:right w:val="single" w:sz="4" w:space="0" w:color="auto"/>
            </w:tcBorders>
            <w:shd w:val="clear" w:color="auto" w:fill="C4EFCE"/>
            <w:vAlign w:val="center"/>
            <w:hideMark/>
          </w:tcPr>
          <w:p w14:paraId="7735E13B"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0E8DAA" w14:textId="77777777" w:rsidR="00776A1F" w:rsidRDefault="00D8574B">
            <w:pPr>
              <w:pStyle w:val="P68B1DB1-Normal23"/>
              <w:spacing w:after="0"/>
              <w:jc w:val="both"/>
              <w:rPr>
                <w:rFonts w:eastAsia="Calibri" w:cs="Calibri"/>
                <w:noProof/>
              </w:rPr>
            </w:pPr>
            <w:r>
              <w:rPr>
                <w:noProof/>
              </w:rPr>
              <w:t>Privāto dzīvojamo ēku energoefektivitātes renovācija</w:t>
            </w:r>
          </w:p>
        </w:tc>
        <w:tc>
          <w:tcPr>
            <w:tcW w:w="0" w:type="auto"/>
          </w:tcPr>
          <w:p w14:paraId="6E5DAF10" w14:textId="77777777" w:rsidR="00776A1F" w:rsidRDefault="00776A1F">
            <w:pPr>
              <w:spacing w:after="0" w:line="240" w:lineRule="auto"/>
              <w:rPr>
                <w:noProof/>
                <w:sz w:val="18"/>
              </w:rPr>
            </w:pPr>
          </w:p>
        </w:tc>
      </w:tr>
      <w:tr w:rsidR="00776A1F" w14:paraId="04772B6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7C22BDC" w14:textId="77777777" w:rsidR="00776A1F" w:rsidRDefault="00D8574B">
            <w:pPr>
              <w:pStyle w:val="P68B1DB1-Normal23"/>
              <w:spacing w:after="0"/>
              <w:jc w:val="center"/>
              <w:rPr>
                <w:rFonts w:eastAsia="Calibri" w:cs="Calibri"/>
                <w:noProof/>
              </w:rPr>
            </w:pPr>
            <w:r>
              <w:rPr>
                <w:noProof/>
              </w:rPr>
              <w:t>14.12</w:t>
            </w:r>
          </w:p>
        </w:tc>
        <w:tc>
          <w:tcPr>
            <w:tcW w:w="1731" w:type="dxa"/>
            <w:tcBorders>
              <w:top w:val="nil"/>
              <w:left w:val="nil"/>
              <w:bottom w:val="single" w:sz="4" w:space="0" w:color="auto"/>
              <w:right w:val="single" w:sz="4" w:space="0" w:color="auto"/>
            </w:tcBorders>
            <w:shd w:val="clear" w:color="auto" w:fill="C4EFCE"/>
            <w:vAlign w:val="center"/>
            <w:hideMark/>
          </w:tcPr>
          <w:p w14:paraId="0F195F9B" w14:textId="77777777" w:rsidR="00776A1F" w:rsidRDefault="00D8574B">
            <w:pPr>
              <w:pStyle w:val="P68B1DB1-Normal23"/>
              <w:spacing w:after="0"/>
              <w:jc w:val="center"/>
              <w:rPr>
                <w:rFonts w:eastAsia="Calibri" w:cs="Calibri"/>
                <w:noProof/>
              </w:rPr>
            </w:pPr>
            <w:r>
              <w:rPr>
                <w:noProof/>
              </w:rPr>
              <w:t>TC-C14-i03-RAA</w:t>
            </w:r>
          </w:p>
        </w:tc>
        <w:tc>
          <w:tcPr>
            <w:tcW w:w="1491" w:type="dxa"/>
            <w:tcBorders>
              <w:top w:val="nil"/>
              <w:left w:val="nil"/>
              <w:bottom w:val="single" w:sz="4" w:space="0" w:color="auto"/>
              <w:right w:val="single" w:sz="4" w:space="0" w:color="auto"/>
            </w:tcBorders>
            <w:shd w:val="clear" w:color="auto" w:fill="C4EFCE"/>
            <w:vAlign w:val="center"/>
            <w:hideMark/>
          </w:tcPr>
          <w:p w14:paraId="5B757820"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48E5404" w14:textId="77777777" w:rsidR="00776A1F" w:rsidRDefault="00D8574B">
            <w:pPr>
              <w:pStyle w:val="P68B1DB1-Normal23"/>
              <w:spacing w:after="0"/>
              <w:jc w:val="both"/>
              <w:rPr>
                <w:rFonts w:eastAsia="Calibri" w:cs="Calibri"/>
                <w:noProof/>
              </w:rPr>
            </w:pPr>
            <w:r>
              <w:rPr>
                <w:noProof/>
              </w:rPr>
              <w:t>Papildu atjaunīgās elektroenerģijas ražošana Korvā</w:t>
            </w:r>
          </w:p>
        </w:tc>
        <w:tc>
          <w:tcPr>
            <w:tcW w:w="0" w:type="auto"/>
          </w:tcPr>
          <w:p w14:paraId="233A08FA" w14:textId="77777777" w:rsidR="00776A1F" w:rsidRDefault="00776A1F">
            <w:pPr>
              <w:spacing w:after="0" w:line="240" w:lineRule="auto"/>
              <w:rPr>
                <w:noProof/>
                <w:sz w:val="18"/>
              </w:rPr>
            </w:pPr>
          </w:p>
        </w:tc>
      </w:tr>
      <w:tr w:rsidR="00776A1F" w14:paraId="7BF5056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AC8B3F4" w14:textId="77777777" w:rsidR="00776A1F" w:rsidRDefault="00D8574B">
            <w:pPr>
              <w:pStyle w:val="P68B1DB1-Normal23"/>
              <w:spacing w:after="0"/>
              <w:jc w:val="center"/>
              <w:rPr>
                <w:rFonts w:eastAsia="Calibri" w:cs="Calibri"/>
                <w:noProof/>
              </w:rPr>
            </w:pPr>
            <w:r>
              <w:rPr>
                <w:noProof/>
              </w:rPr>
              <w:t>14.5</w:t>
            </w:r>
          </w:p>
        </w:tc>
        <w:tc>
          <w:tcPr>
            <w:tcW w:w="1731" w:type="dxa"/>
            <w:tcBorders>
              <w:top w:val="nil"/>
              <w:left w:val="nil"/>
              <w:bottom w:val="single" w:sz="4" w:space="0" w:color="auto"/>
              <w:right w:val="single" w:sz="4" w:space="0" w:color="auto"/>
            </w:tcBorders>
            <w:shd w:val="clear" w:color="auto" w:fill="C4EFCE"/>
            <w:vAlign w:val="center"/>
            <w:hideMark/>
          </w:tcPr>
          <w:p w14:paraId="30AC97EB" w14:textId="77777777" w:rsidR="00776A1F" w:rsidRDefault="00D8574B">
            <w:pPr>
              <w:pStyle w:val="P68B1DB1-Normal23"/>
              <w:spacing w:after="0"/>
              <w:jc w:val="center"/>
              <w:rPr>
                <w:rFonts w:eastAsia="Calibri" w:cs="Calibri"/>
                <w:noProof/>
              </w:rPr>
            </w:pPr>
            <w:r>
              <w:rPr>
                <w:noProof/>
              </w:rPr>
              <w:t xml:space="preserve">TC-C14-Ci02-RAM </w:t>
            </w:r>
          </w:p>
        </w:tc>
        <w:tc>
          <w:tcPr>
            <w:tcW w:w="1491" w:type="dxa"/>
            <w:tcBorders>
              <w:top w:val="nil"/>
              <w:left w:val="nil"/>
              <w:bottom w:val="single" w:sz="4" w:space="0" w:color="auto"/>
              <w:right w:val="single" w:sz="4" w:space="0" w:color="auto"/>
            </w:tcBorders>
            <w:shd w:val="clear" w:color="auto" w:fill="C4EFCE"/>
            <w:vAlign w:val="center"/>
            <w:hideMark/>
          </w:tcPr>
          <w:p w14:paraId="684CEB02"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E0A75B" w14:textId="77777777" w:rsidR="00776A1F" w:rsidRDefault="00D8574B">
            <w:pPr>
              <w:pStyle w:val="P68B1DB1-Normal23"/>
              <w:spacing w:after="0"/>
              <w:jc w:val="both"/>
              <w:rPr>
                <w:rFonts w:eastAsia="Calibri" w:cs="Calibri"/>
                <w:noProof/>
              </w:rPr>
            </w:pPr>
            <w:r>
              <w:rPr>
                <w:noProof/>
              </w:rPr>
              <w:t>Papildu uzstādītā hidroenerģijas ražošanas jauda</w:t>
            </w:r>
          </w:p>
        </w:tc>
        <w:tc>
          <w:tcPr>
            <w:tcW w:w="0" w:type="auto"/>
          </w:tcPr>
          <w:p w14:paraId="6A814305" w14:textId="77777777" w:rsidR="00776A1F" w:rsidRDefault="00776A1F">
            <w:pPr>
              <w:spacing w:after="0" w:line="240" w:lineRule="auto"/>
              <w:rPr>
                <w:noProof/>
                <w:sz w:val="18"/>
              </w:rPr>
            </w:pPr>
          </w:p>
        </w:tc>
      </w:tr>
      <w:tr w:rsidR="00776A1F" w14:paraId="2414C73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1DD6AE2" w14:textId="77777777" w:rsidR="00776A1F" w:rsidRDefault="00D8574B">
            <w:pPr>
              <w:pStyle w:val="P68B1DB1-Normal23"/>
              <w:spacing w:after="0"/>
              <w:jc w:val="center"/>
              <w:rPr>
                <w:rFonts w:eastAsia="Calibri" w:cs="Calibri"/>
                <w:noProof/>
              </w:rPr>
            </w:pPr>
            <w:r>
              <w:rPr>
                <w:noProof/>
              </w:rPr>
              <w:t>15.2</w:t>
            </w:r>
          </w:p>
        </w:tc>
        <w:tc>
          <w:tcPr>
            <w:tcW w:w="1731" w:type="dxa"/>
            <w:tcBorders>
              <w:top w:val="nil"/>
              <w:left w:val="nil"/>
              <w:bottom w:val="single" w:sz="4" w:space="0" w:color="auto"/>
              <w:right w:val="single" w:sz="4" w:space="0" w:color="auto"/>
            </w:tcBorders>
            <w:shd w:val="clear" w:color="auto" w:fill="C4EFCE"/>
            <w:vAlign w:val="center"/>
            <w:hideMark/>
          </w:tcPr>
          <w:p w14:paraId="265A1C92" w14:textId="77777777" w:rsidR="00776A1F" w:rsidRDefault="00D8574B">
            <w:pPr>
              <w:pStyle w:val="P68B1DB1-Normal23"/>
              <w:spacing w:after="0"/>
              <w:jc w:val="center"/>
              <w:rPr>
                <w:rFonts w:eastAsia="Calibri" w:cs="Calibri"/>
                <w:noProof/>
              </w:rPr>
            </w:pPr>
            <w:r>
              <w:rPr>
                <w:noProof/>
              </w:rPr>
              <w:t>TC-C15-i01</w:t>
            </w:r>
          </w:p>
        </w:tc>
        <w:tc>
          <w:tcPr>
            <w:tcW w:w="1491" w:type="dxa"/>
            <w:tcBorders>
              <w:top w:val="nil"/>
              <w:left w:val="nil"/>
              <w:bottom w:val="single" w:sz="4" w:space="0" w:color="auto"/>
              <w:right w:val="single" w:sz="4" w:space="0" w:color="auto"/>
            </w:tcBorders>
            <w:shd w:val="clear" w:color="auto" w:fill="C4EFCE"/>
            <w:vAlign w:val="center"/>
            <w:hideMark/>
          </w:tcPr>
          <w:p w14:paraId="6A06D6EB"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36FE9F6" w14:textId="77777777" w:rsidR="00776A1F" w:rsidRDefault="00D8574B">
            <w:pPr>
              <w:pStyle w:val="P68B1DB1-Normal23"/>
              <w:spacing w:after="0"/>
              <w:jc w:val="both"/>
              <w:rPr>
                <w:rFonts w:eastAsia="Calibri" w:cs="Calibri"/>
                <w:noProof/>
              </w:rPr>
            </w:pPr>
            <w:r>
              <w:rPr>
                <w:noProof/>
              </w:rPr>
              <w:t>Progresa ziņojums par Lisabonas metro tīkla paplašināšanu</w:t>
            </w:r>
          </w:p>
        </w:tc>
        <w:tc>
          <w:tcPr>
            <w:tcW w:w="0" w:type="auto"/>
          </w:tcPr>
          <w:p w14:paraId="176F4E1F" w14:textId="77777777" w:rsidR="00776A1F" w:rsidRDefault="00776A1F">
            <w:pPr>
              <w:spacing w:after="0" w:line="240" w:lineRule="auto"/>
              <w:rPr>
                <w:noProof/>
                <w:sz w:val="18"/>
              </w:rPr>
            </w:pPr>
          </w:p>
        </w:tc>
      </w:tr>
      <w:tr w:rsidR="00776A1F" w14:paraId="1B841B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C2C500B" w14:textId="77777777" w:rsidR="00776A1F" w:rsidRDefault="00D8574B">
            <w:pPr>
              <w:pStyle w:val="P68B1DB1-Normal23"/>
              <w:spacing w:after="0"/>
              <w:jc w:val="center"/>
              <w:rPr>
                <w:rFonts w:eastAsia="Calibri" w:cs="Calibri"/>
                <w:noProof/>
              </w:rPr>
            </w:pPr>
            <w:r>
              <w:rPr>
                <w:noProof/>
              </w:rPr>
              <w:t>16.6</w:t>
            </w:r>
          </w:p>
        </w:tc>
        <w:tc>
          <w:tcPr>
            <w:tcW w:w="1731" w:type="dxa"/>
            <w:tcBorders>
              <w:top w:val="nil"/>
              <w:left w:val="nil"/>
              <w:bottom w:val="single" w:sz="4" w:space="0" w:color="auto"/>
              <w:right w:val="single" w:sz="4" w:space="0" w:color="auto"/>
            </w:tcBorders>
            <w:shd w:val="clear" w:color="auto" w:fill="C4EFCE"/>
            <w:vAlign w:val="center"/>
            <w:hideMark/>
          </w:tcPr>
          <w:p w14:paraId="5B078A84" w14:textId="77777777" w:rsidR="00776A1F" w:rsidRDefault="00D8574B">
            <w:pPr>
              <w:pStyle w:val="P68B1DB1-Normal23"/>
              <w:spacing w:after="0"/>
              <w:jc w:val="center"/>
              <w:rPr>
                <w:rFonts w:eastAsia="Calibri" w:cs="Calibri"/>
                <w:noProof/>
              </w:rPr>
            </w:pPr>
            <w:r>
              <w:rPr>
                <w:noProof/>
              </w:rPr>
              <w:t>TD-C16-i02</w:t>
            </w:r>
          </w:p>
        </w:tc>
        <w:tc>
          <w:tcPr>
            <w:tcW w:w="1491" w:type="dxa"/>
            <w:tcBorders>
              <w:top w:val="nil"/>
              <w:left w:val="nil"/>
              <w:bottom w:val="single" w:sz="4" w:space="0" w:color="auto"/>
              <w:right w:val="single" w:sz="4" w:space="0" w:color="auto"/>
            </w:tcBorders>
            <w:shd w:val="clear" w:color="auto" w:fill="C4EFCE"/>
            <w:vAlign w:val="center"/>
            <w:hideMark/>
          </w:tcPr>
          <w:p w14:paraId="4B59BF99"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D181BA9" w14:textId="77777777" w:rsidR="00776A1F" w:rsidRDefault="00D8574B">
            <w:pPr>
              <w:pStyle w:val="P68B1DB1-Normal23"/>
              <w:spacing w:after="0"/>
              <w:jc w:val="both"/>
              <w:rPr>
                <w:rFonts w:eastAsia="Calibri" w:cs="Calibri"/>
                <w:noProof/>
              </w:rPr>
            </w:pPr>
            <w:r>
              <w:rPr>
                <w:noProof/>
              </w:rPr>
              <w:t>Izstrādātie valsts testēšanas pamattīkla izmēģinājuma produkti un pakalpojumi</w:t>
            </w:r>
          </w:p>
        </w:tc>
        <w:tc>
          <w:tcPr>
            <w:tcW w:w="0" w:type="auto"/>
          </w:tcPr>
          <w:p w14:paraId="30E9FC62" w14:textId="77777777" w:rsidR="00776A1F" w:rsidRDefault="00776A1F">
            <w:pPr>
              <w:spacing w:after="0" w:line="240" w:lineRule="auto"/>
              <w:rPr>
                <w:noProof/>
                <w:sz w:val="18"/>
              </w:rPr>
            </w:pPr>
          </w:p>
        </w:tc>
      </w:tr>
      <w:tr w:rsidR="00776A1F" w14:paraId="60F2EA6A"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14B7C4" w14:textId="77777777" w:rsidR="00776A1F" w:rsidRDefault="00D8574B">
            <w:pPr>
              <w:pStyle w:val="P68B1DB1-Normal23"/>
              <w:spacing w:after="0"/>
              <w:jc w:val="center"/>
              <w:rPr>
                <w:rFonts w:eastAsia="Calibri" w:cs="Calibri"/>
                <w:noProof/>
              </w:rPr>
            </w:pPr>
            <w:r>
              <w:rPr>
                <w:noProof/>
              </w:rPr>
              <w:t>17.9</w:t>
            </w:r>
          </w:p>
        </w:tc>
        <w:tc>
          <w:tcPr>
            <w:tcW w:w="1731" w:type="dxa"/>
            <w:tcBorders>
              <w:top w:val="nil"/>
              <w:left w:val="nil"/>
              <w:bottom w:val="single" w:sz="4" w:space="0" w:color="auto"/>
              <w:right w:val="single" w:sz="4" w:space="0" w:color="auto"/>
            </w:tcBorders>
            <w:shd w:val="clear" w:color="auto" w:fill="C4EFCE"/>
            <w:vAlign w:val="center"/>
            <w:hideMark/>
          </w:tcPr>
          <w:p w14:paraId="53DAA92D" w14:textId="77777777" w:rsidR="00776A1F" w:rsidRDefault="00D8574B">
            <w:pPr>
              <w:pStyle w:val="P68B1DB1-Normal23"/>
              <w:spacing w:after="0"/>
              <w:jc w:val="center"/>
              <w:rPr>
                <w:rFonts w:eastAsia="Calibri" w:cs="Calibri"/>
                <w:noProof/>
              </w:rPr>
            </w:pPr>
            <w:r>
              <w:rPr>
                <w:noProof/>
              </w:rPr>
              <w:t xml:space="preserve">TD-C17-i01  </w:t>
            </w:r>
          </w:p>
        </w:tc>
        <w:tc>
          <w:tcPr>
            <w:tcW w:w="1491" w:type="dxa"/>
            <w:tcBorders>
              <w:top w:val="nil"/>
              <w:left w:val="nil"/>
              <w:bottom w:val="single" w:sz="4" w:space="0" w:color="auto"/>
              <w:right w:val="single" w:sz="4" w:space="0" w:color="auto"/>
            </w:tcBorders>
            <w:shd w:val="clear" w:color="auto" w:fill="C4EFCE"/>
            <w:vAlign w:val="center"/>
            <w:hideMark/>
          </w:tcPr>
          <w:p w14:paraId="06990E6D"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8CB0E5D" w14:textId="77777777" w:rsidR="00776A1F" w:rsidRDefault="00D8574B">
            <w:pPr>
              <w:pStyle w:val="P68B1DB1-Normal23"/>
              <w:spacing w:after="0"/>
              <w:jc w:val="both"/>
              <w:rPr>
                <w:rFonts w:eastAsia="Calibri" w:cs="Calibri"/>
                <w:noProof/>
              </w:rPr>
            </w:pPr>
            <w:r>
              <w:rPr>
                <w:noProof/>
              </w:rPr>
              <w:t>Valsts grāmatvedības vienības ieviešanas pabeigšana</w:t>
            </w:r>
          </w:p>
        </w:tc>
      </w:tr>
      <w:tr w:rsidR="00776A1F" w14:paraId="52B41EA8"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217BC2C" w14:textId="77777777" w:rsidR="00776A1F" w:rsidRDefault="00D8574B">
            <w:pPr>
              <w:pStyle w:val="P68B1DB1-Normal23"/>
              <w:spacing w:after="0"/>
              <w:jc w:val="center"/>
              <w:rPr>
                <w:rFonts w:eastAsia="Calibri" w:cs="Calibri"/>
                <w:noProof/>
              </w:rPr>
            </w:pPr>
            <w:r>
              <w:rPr>
                <w:noProof/>
              </w:rPr>
              <w:t>18.3</w:t>
            </w:r>
          </w:p>
        </w:tc>
        <w:tc>
          <w:tcPr>
            <w:tcW w:w="1731" w:type="dxa"/>
            <w:tcBorders>
              <w:top w:val="nil"/>
              <w:left w:val="nil"/>
              <w:bottom w:val="single" w:sz="4" w:space="0" w:color="auto"/>
              <w:right w:val="single" w:sz="4" w:space="0" w:color="auto"/>
            </w:tcBorders>
            <w:shd w:val="clear" w:color="auto" w:fill="C4EFCE"/>
            <w:vAlign w:val="center"/>
            <w:hideMark/>
          </w:tcPr>
          <w:p w14:paraId="439AD1C1" w14:textId="77777777" w:rsidR="00776A1F" w:rsidRDefault="00D8574B">
            <w:pPr>
              <w:pStyle w:val="P68B1DB1-Normal23"/>
              <w:spacing w:after="0"/>
              <w:jc w:val="center"/>
              <w:rPr>
                <w:rFonts w:eastAsia="Calibri" w:cs="Calibri"/>
                <w:noProof/>
              </w:rPr>
            </w:pPr>
            <w:r>
              <w:rPr>
                <w:noProof/>
              </w:rPr>
              <w:t xml:space="preserve">TD-C18-r33  </w:t>
            </w:r>
          </w:p>
        </w:tc>
        <w:tc>
          <w:tcPr>
            <w:tcW w:w="1491" w:type="dxa"/>
            <w:tcBorders>
              <w:top w:val="nil"/>
              <w:left w:val="nil"/>
              <w:bottom w:val="single" w:sz="4" w:space="0" w:color="auto"/>
              <w:right w:val="single" w:sz="4" w:space="0" w:color="auto"/>
            </w:tcBorders>
            <w:shd w:val="clear" w:color="auto" w:fill="C4EFCE"/>
            <w:vAlign w:val="center"/>
            <w:hideMark/>
          </w:tcPr>
          <w:p w14:paraId="256DB6ED"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D0F6574" w14:textId="77777777" w:rsidR="00776A1F" w:rsidRDefault="00D8574B">
            <w:pPr>
              <w:pStyle w:val="P68B1DB1-Normal23"/>
              <w:spacing w:after="0"/>
              <w:jc w:val="both"/>
              <w:rPr>
                <w:rFonts w:eastAsia="Calibri" w:cs="Calibri"/>
                <w:noProof/>
              </w:rPr>
            </w:pPr>
            <w:r>
              <w:rPr>
                <w:noProof/>
              </w:rPr>
              <w:t>Pārskatītā maksātnespējas un atgūšanas tiesiskā regulējuma stāšanās spēkā</w:t>
            </w:r>
          </w:p>
        </w:tc>
      </w:tr>
      <w:tr w:rsidR="00776A1F" w14:paraId="6BA9A315"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308F543" w14:textId="77777777" w:rsidR="00776A1F" w:rsidRDefault="00D8574B">
            <w:pPr>
              <w:pStyle w:val="P68B1DB1-Normal23"/>
              <w:spacing w:after="0"/>
              <w:jc w:val="center"/>
              <w:rPr>
                <w:rFonts w:eastAsia="Calibri" w:cs="Calibri"/>
                <w:noProof/>
              </w:rPr>
            </w:pPr>
            <w:r>
              <w:rPr>
                <w:noProof/>
              </w:rPr>
              <w:t>18.6</w:t>
            </w:r>
          </w:p>
        </w:tc>
        <w:tc>
          <w:tcPr>
            <w:tcW w:w="1731" w:type="dxa"/>
            <w:tcBorders>
              <w:top w:val="nil"/>
              <w:left w:val="nil"/>
              <w:bottom w:val="single" w:sz="4" w:space="0" w:color="auto"/>
              <w:right w:val="single" w:sz="4" w:space="0" w:color="auto"/>
            </w:tcBorders>
            <w:shd w:val="clear" w:color="auto" w:fill="C4EFCE"/>
            <w:vAlign w:val="center"/>
            <w:hideMark/>
          </w:tcPr>
          <w:p w14:paraId="69B5EA32" w14:textId="77777777" w:rsidR="00776A1F" w:rsidRDefault="00D8574B">
            <w:pPr>
              <w:pStyle w:val="P68B1DB1-Normal23"/>
              <w:spacing w:after="0"/>
              <w:jc w:val="center"/>
              <w:rPr>
                <w:rFonts w:eastAsia="Calibri" w:cs="Calibri"/>
                <w:noProof/>
              </w:rPr>
            </w:pPr>
            <w:r>
              <w:rPr>
                <w:noProof/>
              </w:rPr>
              <w:t xml:space="preserve">TD-C18-i01  </w:t>
            </w:r>
          </w:p>
        </w:tc>
        <w:tc>
          <w:tcPr>
            <w:tcW w:w="1491" w:type="dxa"/>
            <w:tcBorders>
              <w:top w:val="nil"/>
              <w:left w:val="nil"/>
              <w:bottom w:val="single" w:sz="4" w:space="0" w:color="auto"/>
              <w:right w:val="single" w:sz="4" w:space="0" w:color="auto"/>
            </w:tcBorders>
            <w:shd w:val="clear" w:color="auto" w:fill="C4EFCE"/>
            <w:vAlign w:val="center"/>
            <w:hideMark/>
          </w:tcPr>
          <w:p w14:paraId="02E67EB9"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5F982AAA" w14:textId="77777777" w:rsidR="00776A1F" w:rsidRDefault="00D8574B">
            <w:pPr>
              <w:pStyle w:val="P68B1DB1-Normal23"/>
              <w:spacing w:after="0"/>
              <w:jc w:val="both"/>
              <w:rPr>
                <w:rFonts w:eastAsia="Calibri" w:cs="Calibri"/>
                <w:noProof/>
              </w:rPr>
            </w:pPr>
            <w:r>
              <w:rPr>
                <w:noProof/>
              </w:rPr>
              <w:t>Informācijas sistēma “Uzņēmuma 2.0”</w:t>
            </w:r>
          </w:p>
        </w:tc>
      </w:tr>
      <w:tr w:rsidR="00776A1F" w14:paraId="066A4BC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8C5AC18" w14:textId="77777777" w:rsidR="00776A1F" w:rsidRDefault="00D8574B">
            <w:pPr>
              <w:pStyle w:val="P68B1DB1-Normal23"/>
              <w:spacing w:after="0"/>
              <w:jc w:val="center"/>
              <w:rPr>
                <w:rFonts w:eastAsia="Calibri" w:cs="Calibri"/>
                <w:noProof/>
              </w:rPr>
            </w:pPr>
            <w:r>
              <w:rPr>
                <w:noProof/>
              </w:rPr>
              <w:t>20.6</w:t>
            </w:r>
          </w:p>
        </w:tc>
        <w:tc>
          <w:tcPr>
            <w:tcW w:w="1731" w:type="dxa"/>
            <w:tcBorders>
              <w:top w:val="nil"/>
              <w:left w:val="nil"/>
              <w:bottom w:val="single" w:sz="4" w:space="0" w:color="auto"/>
              <w:right w:val="single" w:sz="4" w:space="0" w:color="auto"/>
            </w:tcBorders>
            <w:shd w:val="clear" w:color="auto" w:fill="C4EFCE"/>
            <w:vAlign w:val="center"/>
            <w:hideMark/>
          </w:tcPr>
          <w:p w14:paraId="02680F3B" w14:textId="77777777" w:rsidR="00776A1F" w:rsidRDefault="00D8574B">
            <w:pPr>
              <w:pStyle w:val="P68B1DB1-Normal23"/>
              <w:spacing w:after="0"/>
              <w:jc w:val="center"/>
              <w:rPr>
                <w:rFonts w:eastAsia="Calibri" w:cs="Calibri"/>
                <w:noProof/>
              </w:rPr>
            </w:pPr>
            <w:r>
              <w:rPr>
                <w:noProof/>
              </w:rPr>
              <w:t xml:space="preserve">TD-C20-i01  </w:t>
            </w:r>
          </w:p>
        </w:tc>
        <w:tc>
          <w:tcPr>
            <w:tcW w:w="1491" w:type="dxa"/>
            <w:tcBorders>
              <w:top w:val="nil"/>
              <w:left w:val="nil"/>
              <w:bottom w:val="single" w:sz="4" w:space="0" w:color="auto"/>
              <w:right w:val="single" w:sz="4" w:space="0" w:color="auto"/>
            </w:tcBorders>
            <w:shd w:val="clear" w:color="auto" w:fill="C4EFCE"/>
            <w:vAlign w:val="center"/>
            <w:hideMark/>
          </w:tcPr>
          <w:p w14:paraId="6D1CFD3C" w14:textId="77777777" w:rsidR="00776A1F" w:rsidRDefault="00D8574B">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0C2BC67C" w14:textId="77777777" w:rsidR="00776A1F" w:rsidRDefault="00D8574B">
            <w:pPr>
              <w:pStyle w:val="P68B1DB1-Normal23"/>
              <w:spacing w:after="0"/>
              <w:jc w:val="both"/>
              <w:rPr>
                <w:rFonts w:eastAsia="Calibri" w:cs="Calibri"/>
                <w:noProof/>
              </w:rPr>
            </w:pPr>
            <w:r>
              <w:rPr>
                <w:noProof/>
              </w:rPr>
              <w:t>Klases ar jaunu projicēšanas aprīkojumu</w:t>
            </w:r>
          </w:p>
        </w:tc>
      </w:tr>
      <w:tr w:rsidR="00776A1F" w14:paraId="3F22673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EADFA0" w14:textId="77777777" w:rsidR="00776A1F" w:rsidRDefault="00D8574B">
            <w:pPr>
              <w:pStyle w:val="P68B1DB1-Normal23"/>
              <w:spacing w:after="0"/>
              <w:jc w:val="center"/>
              <w:rPr>
                <w:rFonts w:eastAsia="Calibri" w:cs="Calibri"/>
                <w:noProof/>
              </w:rPr>
            </w:pPr>
            <w:r>
              <w:rPr>
                <w:noProof/>
              </w:rPr>
              <w:t>21.12</w:t>
            </w:r>
          </w:p>
        </w:tc>
        <w:tc>
          <w:tcPr>
            <w:tcW w:w="1731" w:type="dxa"/>
            <w:tcBorders>
              <w:top w:val="nil"/>
              <w:left w:val="nil"/>
              <w:bottom w:val="single" w:sz="4" w:space="0" w:color="auto"/>
              <w:right w:val="single" w:sz="4" w:space="0" w:color="auto"/>
            </w:tcBorders>
            <w:shd w:val="clear" w:color="auto" w:fill="C4EFCE"/>
            <w:vAlign w:val="center"/>
            <w:hideMark/>
          </w:tcPr>
          <w:p w14:paraId="6B91C308" w14:textId="77777777" w:rsidR="00776A1F" w:rsidRDefault="00D8574B">
            <w:pPr>
              <w:pStyle w:val="P68B1DB1-Normal23"/>
              <w:spacing w:after="0"/>
              <w:jc w:val="center"/>
              <w:rPr>
                <w:rFonts w:eastAsia="Calibri" w:cs="Calibri"/>
                <w:noProof/>
              </w:rPr>
            </w:pPr>
            <w:r>
              <w:rPr>
                <w:noProof/>
              </w:rPr>
              <w:t>RP-C21-i05</w:t>
            </w:r>
          </w:p>
        </w:tc>
        <w:tc>
          <w:tcPr>
            <w:tcW w:w="1491" w:type="dxa"/>
            <w:tcBorders>
              <w:top w:val="nil"/>
              <w:left w:val="nil"/>
              <w:bottom w:val="single" w:sz="4" w:space="0" w:color="auto"/>
              <w:right w:val="single" w:sz="4" w:space="0" w:color="auto"/>
            </w:tcBorders>
            <w:shd w:val="clear" w:color="auto" w:fill="C4EFCE"/>
            <w:vAlign w:val="center"/>
            <w:hideMark/>
          </w:tcPr>
          <w:p w14:paraId="51F3F5CD"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1729A8E5" w14:textId="77777777" w:rsidR="00776A1F" w:rsidRDefault="00D8574B">
            <w:pPr>
              <w:pStyle w:val="P68B1DB1-Normal23"/>
              <w:spacing w:after="0"/>
              <w:jc w:val="both"/>
              <w:rPr>
                <w:rFonts w:eastAsia="Calibri" w:cs="Calibri"/>
                <w:noProof/>
              </w:rPr>
            </w:pPr>
            <w:r>
              <w:rPr>
                <w:noProof/>
              </w:rPr>
              <w:t>Rūpniecisko projektu īstenošanas pieņemšanas noteikumu parakstīšana</w:t>
            </w:r>
          </w:p>
        </w:tc>
        <w:tc>
          <w:tcPr>
            <w:tcW w:w="0" w:type="auto"/>
          </w:tcPr>
          <w:p w14:paraId="3441107D" w14:textId="77777777" w:rsidR="00776A1F" w:rsidRDefault="00776A1F">
            <w:pPr>
              <w:spacing w:after="0" w:line="240" w:lineRule="auto"/>
              <w:rPr>
                <w:noProof/>
                <w:sz w:val="18"/>
              </w:rPr>
            </w:pPr>
          </w:p>
        </w:tc>
      </w:tr>
      <w:tr w:rsidR="00776A1F" w14:paraId="62CE6F8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5DDD690" w14:textId="77777777" w:rsidR="00776A1F" w:rsidRDefault="00D8574B">
            <w:pPr>
              <w:pStyle w:val="P68B1DB1-Normal23"/>
              <w:spacing w:after="0"/>
              <w:jc w:val="center"/>
              <w:rPr>
                <w:rFonts w:eastAsia="Calibri" w:cs="Calibri"/>
                <w:noProof/>
              </w:rPr>
            </w:pPr>
            <w:r>
              <w:rPr>
                <w:noProof/>
              </w:rPr>
              <w:t>21.17</w:t>
            </w:r>
          </w:p>
        </w:tc>
        <w:tc>
          <w:tcPr>
            <w:tcW w:w="1731" w:type="dxa"/>
            <w:tcBorders>
              <w:top w:val="nil"/>
              <w:left w:val="nil"/>
              <w:bottom w:val="single" w:sz="4" w:space="0" w:color="auto"/>
              <w:right w:val="single" w:sz="4" w:space="0" w:color="auto"/>
            </w:tcBorders>
            <w:shd w:val="clear" w:color="auto" w:fill="C4EFCE"/>
            <w:vAlign w:val="center"/>
            <w:hideMark/>
          </w:tcPr>
          <w:p w14:paraId="4A7D0D48" w14:textId="6D14D617" w:rsidR="00776A1F" w:rsidRDefault="00D8574B">
            <w:pPr>
              <w:pStyle w:val="P68B1DB1-Normal23"/>
              <w:spacing w:after="0"/>
              <w:jc w:val="center"/>
              <w:rPr>
                <w:rFonts w:eastAsia="Calibri" w:cs="Calibri"/>
                <w:noProof/>
              </w:rPr>
            </w:pPr>
            <w:r>
              <w:rPr>
                <w:noProof/>
              </w:rPr>
              <w:t>RP-C21-r46</w:t>
            </w:r>
          </w:p>
        </w:tc>
        <w:tc>
          <w:tcPr>
            <w:tcW w:w="1491" w:type="dxa"/>
            <w:tcBorders>
              <w:top w:val="nil"/>
              <w:left w:val="nil"/>
              <w:bottom w:val="single" w:sz="4" w:space="0" w:color="auto"/>
              <w:right w:val="single" w:sz="4" w:space="0" w:color="auto"/>
            </w:tcBorders>
            <w:shd w:val="clear" w:color="auto" w:fill="C4EFCE"/>
            <w:vAlign w:val="center"/>
            <w:hideMark/>
          </w:tcPr>
          <w:p w14:paraId="3A735B1F"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67B978A" w14:textId="77777777" w:rsidR="00776A1F" w:rsidRDefault="00D8574B">
            <w:pPr>
              <w:pStyle w:val="P68B1DB1-Normal23"/>
              <w:spacing w:after="0"/>
              <w:jc w:val="both"/>
              <w:rPr>
                <w:rFonts w:eastAsia="Calibri" w:cs="Calibri"/>
                <w:noProof/>
              </w:rPr>
            </w:pPr>
            <w:r>
              <w:rPr>
                <w:noProof/>
              </w:rPr>
              <w:t>Pārskatītās Gāzes pārvades tīkla regulas un Valsts gāzes sadales tīkla regulas stāšanās spēkā</w:t>
            </w:r>
          </w:p>
        </w:tc>
        <w:tc>
          <w:tcPr>
            <w:tcW w:w="0" w:type="auto"/>
          </w:tcPr>
          <w:p w14:paraId="7E717CD2" w14:textId="77777777" w:rsidR="00776A1F" w:rsidRDefault="00776A1F">
            <w:pPr>
              <w:spacing w:after="0" w:line="240" w:lineRule="auto"/>
              <w:rPr>
                <w:noProof/>
                <w:sz w:val="18"/>
              </w:rPr>
            </w:pPr>
          </w:p>
        </w:tc>
      </w:tr>
      <w:tr w:rsidR="00776A1F" w14:paraId="04CE70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498CBBC" w14:textId="77777777" w:rsidR="00776A1F" w:rsidRDefault="00D8574B">
            <w:pPr>
              <w:pStyle w:val="P68B1DB1-Normal23"/>
              <w:spacing w:after="0"/>
              <w:jc w:val="center"/>
              <w:rPr>
                <w:rFonts w:eastAsia="Calibri" w:cs="Calibri"/>
                <w:noProof/>
              </w:rPr>
            </w:pPr>
            <w:r>
              <w:rPr>
                <w:noProof/>
              </w:rPr>
              <w:t>21.19</w:t>
            </w:r>
          </w:p>
        </w:tc>
        <w:tc>
          <w:tcPr>
            <w:tcW w:w="1731" w:type="dxa"/>
            <w:tcBorders>
              <w:top w:val="nil"/>
              <w:left w:val="nil"/>
              <w:bottom w:val="single" w:sz="4" w:space="0" w:color="auto"/>
              <w:right w:val="single" w:sz="4" w:space="0" w:color="auto"/>
            </w:tcBorders>
            <w:shd w:val="clear" w:color="auto" w:fill="C4EFCE"/>
            <w:vAlign w:val="center"/>
            <w:hideMark/>
          </w:tcPr>
          <w:p w14:paraId="14CCA84B" w14:textId="452A7EC5" w:rsidR="00776A1F" w:rsidRDefault="00D8574B">
            <w:pPr>
              <w:pStyle w:val="P68B1DB1-Normal23"/>
              <w:spacing w:after="0"/>
              <w:jc w:val="center"/>
              <w:rPr>
                <w:rFonts w:eastAsia="Calibri" w:cs="Calibri"/>
                <w:noProof/>
              </w:rPr>
            </w:pPr>
            <w:r>
              <w:rPr>
                <w:noProof/>
              </w:rPr>
              <w:t>RP-C21-r47</w:t>
            </w:r>
          </w:p>
        </w:tc>
        <w:tc>
          <w:tcPr>
            <w:tcW w:w="1491" w:type="dxa"/>
            <w:tcBorders>
              <w:top w:val="nil"/>
              <w:left w:val="nil"/>
              <w:bottom w:val="single" w:sz="4" w:space="0" w:color="auto"/>
              <w:right w:val="single" w:sz="4" w:space="0" w:color="auto"/>
            </w:tcBorders>
            <w:shd w:val="clear" w:color="auto" w:fill="C4EFCE"/>
            <w:vAlign w:val="center"/>
            <w:hideMark/>
          </w:tcPr>
          <w:p w14:paraId="0A60F32E"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45DEC73" w14:textId="77777777" w:rsidR="00776A1F" w:rsidRDefault="00D8574B">
            <w:pPr>
              <w:pStyle w:val="P68B1DB1-Normal23"/>
              <w:spacing w:after="0"/>
              <w:jc w:val="both"/>
              <w:rPr>
                <w:rFonts w:eastAsia="Calibri" w:cs="Calibri"/>
                <w:noProof/>
              </w:rPr>
            </w:pPr>
            <w:r>
              <w:rPr>
                <w:noProof/>
              </w:rPr>
              <w:t>Biometāna rīcības plāna pieņemšana</w:t>
            </w:r>
          </w:p>
        </w:tc>
        <w:tc>
          <w:tcPr>
            <w:tcW w:w="0" w:type="auto"/>
          </w:tcPr>
          <w:p w14:paraId="6244CF38" w14:textId="77777777" w:rsidR="00776A1F" w:rsidRDefault="00776A1F">
            <w:pPr>
              <w:spacing w:after="0" w:line="240" w:lineRule="auto"/>
              <w:rPr>
                <w:noProof/>
                <w:sz w:val="18"/>
              </w:rPr>
            </w:pPr>
          </w:p>
        </w:tc>
      </w:tr>
      <w:tr w:rsidR="00776A1F" w14:paraId="614F83E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B38B6C" w14:textId="77777777" w:rsidR="00776A1F" w:rsidRDefault="00D8574B">
            <w:pPr>
              <w:pStyle w:val="P68B1DB1-Normal23"/>
              <w:spacing w:after="0"/>
              <w:jc w:val="center"/>
              <w:rPr>
                <w:rFonts w:eastAsia="Calibri" w:cs="Calibri"/>
                <w:noProof/>
              </w:rPr>
            </w:pPr>
            <w:r>
              <w:rPr>
                <w:noProof/>
              </w:rPr>
              <w:t>21.22</w:t>
            </w:r>
          </w:p>
        </w:tc>
        <w:tc>
          <w:tcPr>
            <w:tcW w:w="1731" w:type="dxa"/>
            <w:tcBorders>
              <w:top w:val="nil"/>
              <w:left w:val="nil"/>
              <w:bottom w:val="single" w:sz="4" w:space="0" w:color="auto"/>
              <w:right w:val="single" w:sz="4" w:space="0" w:color="auto"/>
            </w:tcBorders>
            <w:shd w:val="clear" w:color="auto" w:fill="C4EFCE"/>
            <w:vAlign w:val="center"/>
            <w:hideMark/>
          </w:tcPr>
          <w:p w14:paraId="48F8BD33" w14:textId="5060F7CF" w:rsidR="00776A1F" w:rsidRDefault="00D8574B">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97F16E3"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6B9DAF45" w14:textId="77777777" w:rsidR="00776A1F" w:rsidRDefault="00D8574B">
            <w:pPr>
              <w:pStyle w:val="P68B1DB1-Normal23"/>
              <w:spacing w:after="0"/>
              <w:jc w:val="both"/>
              <w:rPr>
                <w:rFonts w:eastAsia="Calibri" w:cs="Calibri"/>
                <w:noProof/>
              </w:rPr>
            </w:pPr>
            <w:r>
              <w:rPr>
                <w:noProof/>
              </w:rPr>
              <w:t>Atjaunojamo energoresursu projektu atļaušanā iesaistītā personāla apmācība</w:t>
            </w:r>
          </w:p>
        </w:tc>
        <w:tc>
          <w:tcPr>
            <w:tcW w:w="0" w:type="auto"/>
          </w:tcPr>
          <w:p w14:paraId="1B59DBBC" w14:textId="77777777" w:rsidR="00776A1F" w:rsidRDefault="00776A1F">
            <w:pPr>
              <w:spacing w:after="0" w:line="240" w:lineRule="auto"/>
              <w:rPr>
                <w:noProof/>
                <w:sz w:val="18"/>
              </w:rPr>
            </w:pPr>
          </w:p>
        </w:tc>
      </w:tr>
      <w:tr w:rsidR="00776A1F" w14:paraId="1A789DE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2840F22" w14:textId="77777777" w:rsidR="00776A1F" w:rsidRDefault="00D8574B">
            <w:pPr>
              <w:pStyle w:val="P68B1DB1-Normal23"/>
              <w:spacing w:after="0"/>
              <w:jc w:val="center"/>
              <w:rPr>
                <w:rFonts w:eastAsia="Calibri" w:cs="Calibri"/>
                <w:noProof/>
              </w:rPr>
            </w:pPr>
            <w:r>
              <w:rPr>
                <w:noProof/>
              </w:rPr>
              <w:t>21.23</w:t>
            </w:r>
          </w:p>
        </w:tc>
        <w:tc>
          <w:tcPr>
            <w:tcW w:w="1731" w:type="dxa"/>
            <w:tcBorders>
              <w:top w:val="nil"/>
              <w:left w:val="nil"/>
              <w:bottom w:val="single" w:sz="4" w:space="0" w:color="auto"/>
              <w:right w:val="single" w:sz="4" w:space="0" w:color="auto"/>
            </w:tcBorders>
            <w:shd w:val="clear" w:color="auto" w:fill="C4EFCE"/>
            <w:vAlign w:val="center"/>
            <w:hideMark/>
          </w:tcPr>
          <w:p w14:paraId="5F455980" w14:textId="7B09C91A" w:rsidR="00776A1F" w:rsidRDefault="00D8574B">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2876EA7"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0ACA668" w14:textId="77777777" w:rsidR="00776A1F" w:rsidRDefault="00D8574B">
            <w:pPr>
              <w:pStyle w:val="P68B1DB1-Normal23"/>
              <w:spacing w:after="0"/>
              <w:jc w:val="both"/>
              <w:rPr>
                <w:rFonts w:eastAsia="Calibri" w:cs="Calibri"/>
                <w:noProof/>
              </w:rPr>
            </w:pPr>
            <w:r>
              <w:rPr>
                <w:noProof/>
              </w:rPr>
              <w:t>Jaunas atjaunojamās enerģijas jaudas piešķiršanas grafika pieņemšana, īpašu uzmanību pievēršot ģeogrāfiskajiem apgabaliem, kas izriet no nozaru programmas “Atjaunojamie mērķi — teritorijas”</w:t>
            </w:r>
          </w:p>
        </w:tc>
      </w:tr>
      <w:tr w:rsidR="00776A1F" w14:paraId="06A277B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4F7C25" w14:textId="77777777" w:rsidR="00776A1F" w:rsidRDefault="00D8574B">
            <w:pPr>
              <w:pStyle w:val="P68B1DB1-Normal23"/>
              <w:spacing w:after="0"/>
              <w:jc w:val="center"/>
              <w:rPr>
                <w:rFonts w:eastAsia="Calibri" w:cs="Calibri"/>
                <w:noProof/>
              </w:rPr>
            </w:pPr>
            <w:r>
              <w:rPr>
                <w:noProof/>
              </w:rPr>
              <w:t>21.26</w:t>
            </w:r>
          </w:p>
        </w:tc>
        <w:tc>
          <w:tcPr>
            <w:tcW w:w="1731" w:type="dxa"/>
            <w:tcBorders>
              <w:top w:val="nil"/>
              <w:left w:val="nil"/>
              <w:bottom w:val="single" w:sz="4" w:space="0" w:color="auto"/>
              <w:right w:val="single" w:sz="4" w:space="0" w:color="auto"/>
            </w:tcBorders>
            <w:shd w:val="clear" w:color="auto" w:fill="C4EFCE"/>
            <w:vAlign w:val="center"/>
            <w:hideMark/>
          </w:tcPr>
          <w:p w14:paraId="245A5243" w14:textId="32E9BC0F" w:rsidR="00776A1F" w:rsidRDefault="00D8574B">
            <w:pPr>
              <w:pStyle w:val="P68B1DB1-Normal23"/>
              <w:spacing w:after="0"/>
              <w:jc w:val="center"/>
              <w:rPr>
                <w:rFonts w:eastAsia="Calibri" w:cs="Calibri"/>
                <w:noProof/>
              </w:rPr>
            </w:pPr>
            <w:r>
              <w:rPr>
                <w:noProof/>
              </w:rPr>
              <w:t>RP-C21-i07</w:t>
            </w:r>
          </w:p>
        </w:tc>
        <w:tc>
          <w:tcPr>
            <w:tcW w:w="1491" w:type="dxa"/>
            <w:tcBorders>
              <w:top w:val="nil"/>
              <w:left w:val="nil"/>
              <w:bottom w:val="single" w:sz="4" w:space="0" w:color="auto"/>
              <w:right w:val="single" w:sz="4" w:space="0" w:color="auto"/>
            </w:tcBorders>
            <w:shd w:val="clear" w:color="auto" w:fill="C4EFCE"/>
            <w:vAlign w:val="center"/>
            <w:hideMark/>
          </w:tcPr>
          <w:p w14:paraId="38129E5F"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D5267AC" w14:textId="77777777" w:rsidR="00776A1F" w:rsidRDefault="00D8574B">
            <w:pPr>
              <w:pStyle w:val="P68B1DB1-Normal23"/>
              <w:spacing w:after="0"/>
              <w:jc w:val="both"/>
              <w:rPr>
                <w:rFonts w:eastAsia="Calibri" w:cs="Calibri"/>
                <w:noProof/>
              </w:rPr>
            </w:pPr>
            <w:r>
              <w:rPr>
                <w:noProof/>
              </w:rPr>
              <w:t>Atkrastes tehnisko pētījumu līguma(-u) parakstīšana</w:t>
            </w:r>
          </w:p>
        </w:tc>
        <w:tc>
          <w:tcPr>
            <w:tcW w:w="0" w:type="auto"/>
          </w:tcPr>
          <w:p w14:paraId="1D5FFE10" w14:textId="77777777" w:rsidR="00776A1F" w:rsidRDefault="00776A1F">
            <w:pPr>
              <w:spacing w:after="0" w:line="240" w:lineRule="auto"/>
              <w:rPr>
                <w:noProof/>
                <w:sz w:val="18"/>
              </w:rPr>
            </w:pPr>
          </w:p>
        </w:tc>
      </w:tr>
      <w:tr w:rsidR="00776A1F" w14:paraId="74F928D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1D78166" w14:textId="77777777" w:rsidR="00776A1F" w:rsidRDefault="00D8574B">
            <w:pPr>
              <w:pStyle w:val="P68B1DB1-Normal23"/>
              <w:spacing w:after="0"/>
              <w:jc w:val="center"/>
              <w:rPr>
                <w:rFonts w:eastAsia="Calibri" w:cs="Calibri"/>
                <w:noProof/>
              </w:rPr>
            </w:pPr>
            <w:r>
              <w:rPr>
                <w:noProof/>
              </w:rPr>
              <w:t>21.28</w:t>
            </w:r>
          </w:p>
        </w:tc>
        <w:tc>
          <w:tcPr>
            <w:tcW w:w="1731" w:type="dxa"/>
            <w:tcBorders>
              <w:top w:val="nil"/>
              <w:left w:val="nil"/>
              <w:bottom w:val="single" w:sz="4" w:space="0" w:color="auto"/>
              <w:right w:val="single" w:sz="4" w:space="0" w:color="auto"/>
            </w:tcBorders>
            <w:shd w:val="clear" w:color="auto" w:fill="C4EFCE"/>
            <w:vAlign w:val="center"/>
            <w:hideMark/>
          </w:tcPr>
          <w:p w14:paraId="638BD854" w14:textId="7CBF63B7" w:rsidR="00776A1F" w:rsidRDefault="00D8574B">
            <w:pPr>
              <w:pStyle w:val="P68B1DB1-Normal23"/>
              <w:spacing w:after="0"/>
              <w:jc w:val="center"/>
              <w:rPr>
                <w:rFonts w:eastAsia="Calibri" w:cs="Calibri"/>
                <w:noProof/>
              </w:rPr>
            </w:pPr>
            <w:r>
              <w:rPr>
                <w:noProof/>
              </w:rPr>
              <w:t>RP-C21-i08</w:t>
            </w:r>
          </w:p>
        </w:tc>
        <w:tc>
          <w:tcPr>
            <w:tcW w:w="1491" w:type="dxa"/>
            <w:tcBorders>
              <w:top w:val="nil"/>
              <w:left w:val="nil"/>
              <w:bottom w:val="single" w:sz="4" w:space="0" w:color="auto"/>
              <w:right w:val="single" w:sz="4" w:space="0" w:color="auto"/>
            </w:tcBorders>
            <w:shd w:val="clear" w:color="auto" w:fill="C4EFCE"/>
            <w:vAlign w:val="center"/>
            <w:hideMark/>
          </w:tcPr>
          <w:p w14:paraId="06F70A27"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E4D2267" w14:textId="77777777" w:rsidR="00776A1F" w:rsidRDefault="00D8574B">
            <w:pPr>
              <w:pStyle w:val="P68B1DB1-Normal23"/>
              <w:spacing w:after="0"/>
              <w:jc w:val="both"/>
              <w:rPr>
                <w:rFonts w:eastAsia="Calibri" w:cs="Calibri"/>
                <w:noProof/>
              </w:rPr>
            </w:pPr>
            <w:r>
              <w:rPr>
                <w:noProof/>
              </w:rPr>
              <w:t>Elektroenerģijas akumulēšanas jaudas uzstādīšanas pieņemšanas noteikumu parakstīšana</w:t>
            </w:r>
          </w:p>
        </w:tc>
        <w:tc>
          <w:tcPr>
            <w:tcW w:w="0" w:type="auto"/>
          </w:tcPr>
          <w:p w14:paraId="002DB804" w14:textId="77777777" w:rsidR="00776A1F" w:rsidRDefault="00776A1F">
            <w:pPr>
              <w:spacing w:after="0" w:line="240" w:lineRule="auto"/>
              <w:rPr>
                <w:noProof/>
                <w:sz w:val="18"/>
              </w:rPr>
            </w:pPr>
          </w:p>
        </w:tc>
      </w:tr>
      <w:tr w:rsidR="00776A1F" w14:paraId="56A7925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5A0096A" w14:textId="77777777" w:rsidR="00776A1F" w:rsidRDefault="00D8574B">
            <w:pPr>
              <w:pStyle w:val="P68B1DB1-Normal23"/>
              <w:spacing w:after="0"/>
              <w:jc w:val="center"/>
              <w:rPr>
                <w:rFonts w:eastAsia="Calibri" w:cs="Calibri"/>
                <w:noProof/>
              </w:rPr>
            </w:pPr>
            <w:r>
              <w:rPr>
                <w:noProof/>
              </w:rPr>
              <w:t>21.35</w:t>
            </w:r>
          </w:p>
        </w:tc>
        <w:tc>
          <w:tcPr>
            <w:tcW w:w="1731" w:type="dxa"/>
            <w:tcBorders>
              <w:top w:val="nil"/>
              <w:left w:val="nil"/>
              <w:bottom w:val="single" w:sz="4" w:space="0" w:color="auto"/>
              <w:right w:val="single" w:sz="4" w:space="0" w:color="auto"/>
            </w:tcBorders>
            <w:shd w:val="clear" w:color="auto" w:fill="C4EFCE"/>
            <w:vAlign w:val="center"/>
            <w:hideMark/>
          </w:tcPr>
          <w:p w14:paraId="3795D271" w14:textId="17BBBA36" w:rsidR="00776A1F" w:rsidRDefault="00D8574B">
            <w:pPr>
              <w:pStyle w:val="P68B1DB1-Normal23"/>
              <w:spacing w:after="0"/>
              <w:jc w:val="center"/>
              <w:rPr>
                <w:rFonts w:eastAsia="Calibri" w:cs="Calibri"/>
                <w:noProof/>
              </w:rPr>
            </w:pPr>
            <w:r>
              <w:rPr>
                <w:noProof/>
              </w:rPr>
              <w:t>RP-C21-i12</w:t>
            </w:r>
          </w:p>
        </w:tc>
        <w:tc>
          <w:tcPr>
            <w:tcW w:w="1491" w:type="dxa"/>
            <w:tcBorders>
              <w:top w:val="nil"/>
              <w:left w:val="nil"/>
              <w:bottom w:val="single" w:sz="4" w:space="0" w:color="auto"/>
              <w:right w:val="single" w:sz="4" w:space="0" w:color="auto"/>
            </w:tcBorders>
            <w:shd w:val="clear" w:color="auto" w:fill="C4EFCE"/>
            <w:vAlign w:val="center"/>
            <w:hideMark/>
          </w:tcPr>
          <w:p w14:paraId="09B715F7"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FD26132" w14:textId="77777777" w:rsidR="00776A1F" w:rsidRDefault="00D8574B">
            <w:pPr>
              <w:pStyle w:val="P68B1DB1-Normal23"/>
              <w:spacing w:after="0"/>
              <w:jc w:val="both"/>
              <w:rPr>
                <w:rFonts w:eastAsia="Calibri" w:cs="Calibri"/>
                <w:noProof/>
              </w:rPr>
            </w:pPr>
            <w:r>
              <w:rPr>
                <w:noProof/>
              </w:rPr>
              <w:t>Līguma parakstīšana par tīru autobusu iegādi saskaņā ar Sabiedriskā transporta dekarbonizācijas programmu</w:t>
            </w:r>
          </w:p>
        </w:tc>
        <w:tc>
          <w:tcPr>
            <w:tcW w:w="0" w:type="auto"/>
          </w:tcPr>
          <w:p w14:paraId="54E7AB68" w14:textId="77777777" w:rsidR="00776A1F" w:rsidRDefault="00776A1F">
            <w:pPr>
              <w:spacing w:after="0" w:line="240" w:lineRule="auto"/>
              <w:rPr>
                <w:noProof/>
                <w:sz w:val="18"/>
              </w:rPr>
            </w:pPr>
          </w:p>
        </w:tc>
      </w:tr>
      <w:tr w:rsidR="00776A1F" w14:paraId="2005FDB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tcPr>
          <w:p w14:paraId="75A6F4F7" w14:textId="77777777" w:rsidR="00776A1F" w:rsidRDefault="00D8574B">
            <w:pPr>
              <w:pStyle w:val="P68B1DB1-Normal23"/>
              <w:spacing w:after="0"/>
              <w:jc w:val="center"/>
              <w:rPr>
                <w:rFonts w:eastAsia="Calibri" w:cs="Calibri"/>
                <w:noProof/>
              </w:rPr>
            </w:pPr>
            <w:r>
              <w:rPr>
                <w:noProof/>
              </w:rPr>
              <w:t>21.40</w:t>
            </w:r>
          </w:p>
        </w:tc>
        <w:tc>
          <w:tcPr>
            <w:tcW w:w="1731" w:type="dxa"/>
            <w:tcBorders>
              <w:top w:val="nil"/>
              <w:left w:val="nil"/>
              <w:bottom w:val="single" w:sz="4" w:space="0" w:color="auto"/>
              <w:right w:val="single" w:sz="4" w:space="0" w:color="auto"/>
            </w:tcBorders>
            <w:shd w:val="clear" w:color="auto" w:fill="C4EFCE"/>
            <w:vAlign w:val="center"/>
          </w:tcPr>
          <w:p w14:paraId="21109940" w14:textId="77777777" w:rsidR="00776A1F" w:rsidRDefault="00D8574B">
            <w:pPr>
              <w:pStyle w:val="P68B1DB1-Normal23"/>
              <w:spacing w:after="0"/>
              <w:jc w:val="center"/>
              <w:rPr>
                <w:rFonts w:eastAsia="Calibri" w:cs="Calibri"/>
                <w:noProof/>
              </w:rPr>
            </w:pPr>
            <w:r>
              <w:rPr>
                <w:noProof/>
              </w:rPr>
              <w:t>RP-C21-i15-RAA</w:t>
            </w:r>
          </w:p>
        </w:tc>
        <w:tc>
          <w:tcPr>
            <w:tcW w:w="1491" w:type="dxa"/>
            <w:tcBorders>
              <w:top w:val="nil"/>
              <w:left w:val="nil"/>
              <w:bottom w:val="single" w:sz="4" w:space="0" w:color="auto"/>
              <w:right w:val="single" w:sz="4" w:space="0" w:color="auto"/>
            </w:tcBorders>
            <w:shd w:val="clear" w:color="auto" w:fill="C4EFCE"/>
            <w:vAlign w:val="center"/>
          </w:tcPr>
          <w:p w14:paraId="14D3E6EC" w14:textId="77777777" w:rsidR="00776A1F" w:rsidRDefault="00D8574B">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tcPr>
          <w:p w14:paraId="204EA7D4" w14:textId="77777777" w:rsidR="00776A1F" w:rsidRDefault="00D8574B">
            <w:pPr>
              <w:pStyle w:val="P68B1DB1-Normal23"/>
              <w:spacing w:after="0"/>
              <w:jc w:val="both"/>
              <w:rPr>
                <w:rFonts w:eastAsia="Calibri" w:cs="Calibri"/>
                <w:noProof/>
              </w:rPr>
            </w:pPr>
            <w:r>
              <w:rPr>
                <w:noProof/>
              </w:rPr>
              <w:t>Līguma parakstīšana par divu elektrisko prāmju iegādi pasažieru un transportlīdzekļu pārvadāšanai starp Pico, Faial un San Jorge salām</w:t>
            </w:r>
          </w:p>
        </w:tc>
        <w:tc>
          <w:tcPr>
            <w:tcW w:w="0" w:type="auto"/>
          </w:tcPr>
          <w:p w14:paraId="04893D6C" w14:textId="77777777" w:rsidR="00776A1F" w:rsidRDefault="00776A1F">
            <w:pPr>
              <w:spacing w:after="0" w:line="240" w:lineRule="auto"/>
              <w:rPr>
                <w:noProof/>
                <w:sz w:val="18"/>
              </w:rPr>
            </w:pPr>
          </w:p>
        </w:tc>
      </w:tr>
      <w:tr w:rsidR="00776A1F" w14:paraId="6B53B02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E28EFA" w14:textId="77777777" w:rsidR="00776A1F" w:rsidRDefault="00776A1F">
            <w:pPr>
              <w:jc w:val="center"/>
              <w:rPr>
                <w:rFonts w:ascii="Calibri" w:eastAsia="Calibri" w:hAnsi="Calibri" w:cs="Calibri"/>
                <w:noProof/>
                <w:sz w:val="16"/>
              </w:rPr>
            </w:pPr>
          </w:p>
        </w:tc>
        <w:tc>
          <w:tcPr>
            <w:tcW w:w="1731" w:type="dxa"/>
            <w:tcBorders>
              <w:top w:val="nil"/>
              <w:left w:val="nil"/>
              <w:bottom w:val="single" w:sz="4" w:space="0" w:color="auto"/>
              <w:right w:val="single" w:sz="4" w:space="0" w:color="auto"/>
            </w:tcBorders>
            <w:shd w:val="clear" w:color="auto" w:fill="C4EFCE"/>
            <w:vAlign w:val="center"/>
            <w:hideMark/>
          </w:tcPr>
          <w:p w14:paraId="2E93C338" w14:textId="77777777" w:rsidR="00776A1F" w:rsidRDefault="00776A1F">
            <w:pPr>
              <w:jc w:val="center"/>
              <w:rPr>
                <w:rFonts w:ascii="Calibri" w:eastAsia="Calibri" w:hAnsi="Calibri" w:cs="Calibri"/>
                <w:noProof/>
                <w:sz w:val="16"/>
              </w:rPr>
            </w:pPr>
          </w:p>
        </w:tc>
        <w:tc>
          <w:tcPr>
            <w:tcW w:w="1491" w:type="dxa"/>
            <w:tcBorders>
              <w:top w:val="nil"/>
              <w:left w:val="nil"/>
              <w:bottom w:val="single" w:sz="4" w:space="0" w:color="auto"/>
              <w:right w:val="single" w:sz="4" w:space="0" w:color="auto"/>
            </w:tcBorders>
            <w:shd w:val="clear" w:color="auto" w:fill="C4EFCE"/>
            <w:vAlign w:val="center"/>
            <w:hideMark/>
          </w:tcPr>
          <w:p w14:paraId="75B5103C"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4919" w:type="dxa"/>
            <w:tcBorders>
              <w:top w:val="nil"/>
              <w:left w:val="nil"/>
              <w:bottom w:val="single" w:sz="4" w:space="0" w:color="auto"/>
              <w:right w:val="single" w:sz="4" w:space="0" w:color="auto"/>
            </w:tcBorders>
            <w:shd w:val="clear" w:color="auto" w:fill="C4EFCE"/>
            <w:vAlign w:val="center"/>
            <w:hideMark/>
          </w:tcPr>
          <w:p w14:paraId="3E3CC648" w14:textId="2B08B464" w:rsidR="00776A1F" w:rsidRDefault="00D8574B">
            <w:pPr>
              <w:pStyle w:val="P68B1DB1-Normal25"/>
              <w:spacing w:after="0" w:line="240" w:lineRule="auto"/>
              <w:jc w:val="center"/>
              <w:rPr>
                <w:rFonts w:cs="Calibri"/>
                <w:noProof/>
              </w:rPr>
            </w:pPr>
            <w:r>
              <w:rPr>
                <w:noProof/>
              </w:rPr>
              <w:t xml:space="preserve"> 1 501 588 718 EUR </w:t>
            </w:r>
          </w:p>
        </w:tc>
        <w:tc>
          <w:tcPr>
            <w:tcW w:w="0" w:type="auto"/>
          </w:tcPr>
          <w:p w14:paraId="3C8F94FE" w14:textId="77777777" w:rsidR="00776A1F" w:rsidRDefault="00776A1F">
            <w:pPr>
              <w:spacing w:after="0" w:line="240" w:lineRule="auto"/>
              <w:rPr>
                <w:noProof/>
              </w:rPr>
            </w:pPr>
          </w:p>
        </w:tc>
      </w:tr>
    </w:tbl>
    <w:p w14:paraId="0498FCB8" w14:textId="77777777" w:rsidR="00776A1F" w:rsidRDefault="00776A1F">
      <w:pPr>
        <w:keepNext/>
        <w:spacing w:before="40" w:after="160" w:line="259" w:lineRule="auto"/>
        <w:ind w:left="360"/>
        <w:contextualSpacing/>
        <w:jc w:val="both"/>
        <w:rPr>
          <w:rFonts w:ascii="Times New Roman" w:eastAsiaTheme="minorEastAsia" w:hAnsi="Times New Roman" w:cs="Times New Roman"/>
          <w:noProof/>
          <w:sz w:val="24"/>
        </w:rPr>
      </w:pPr>
    </w:p>
    <w:p w14:paraId="7C23D5C3"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Septītais maksājuma pieprasījums (neatmaksājams atbalsts): </w:t>
      </w:r>
    </w:p>
    <w:p w14:paraId="05CC9F84"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690"/>
        <w:gridCol w:w="1983"/>
        <w:gridCol w:w="4704"/>
      </w:tblGrid>
      <w:tr w:rsidR="00776A1F" w14:paraId="2089B95C" w14:textId="77777777">
        <w:trPr>
          <w:trHeight w:val="509"/>
          <w:tblHeader/>
        </w:trPr>
        <w:tc>
          <w:tcPr>
            <w:tcW w:w="1200" w:type="dxa"/>
            <w:vMerge w:val="restart"/>
            <w:shd w:val="clear" w:color="auto" w:fill="BDD7EE"/>
            <w:vAlign w:val="center"/>
            <w:hideMark/>
          </w:tcPr>
          <w:p w14:paraId="1610403B"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087CD088"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3758B49E"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6115E89D"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74F34BCB" w14:textId="77777777">
        <w:trPr>
          <w:trHeight w:val="509"/>
          <w:tblHeader/>
        </w:trPr>
        <w:tc>
          <w:tcPr>
            <w:tcW w:w="1200" w:type="dxa"/>
            <w:vMerge/>
            <w:vAlign w:val="center"/>
            <w:hideMark/>
          </w:tcPr>
          <w:p w14:paraId="5E98CE98" w14:textId="77777777" w:rsidR="00776A1F" w:rsidRDefault="00776A1F">
            <w:pPr>
              <w:spacing w:after="0" w:line="240" w:lineRule="auto"/>
              <w:rPr>
                <w:rFonts w:ascii="Times New Roman" w:eastAsia="Times New Roman" w:hAnsi="Times New Roman" w:cs="Times New Roman"/>
                <w:b/>
                <w:noProof/>
                <w:sz w:val="20"/>
              </w:rPr>
            </w:pPr>
          </w:p>
        </w:tc>
        <w:tc>
          <w:tcPr>
            <w:tcW w:w="1760" w:type="dxa"/>
            <w:vMerge/>
            <w:vAlign w:val="center"/>
            <w:hideMark/>
          </w:tcPr>
          <w:p w14:paraId="273A84B2" w14:textId="77777777" w:rsidR="00776A1F" w:rsidRDefault="00776A1F">
            <w:pPr>
              <w:spacing w:after="0" w:line="240" w:lineRule="auto"/>
              <w:rPr>
                <w:rFonts w:ascii="Times New Roman" w:eastAsia="Times New Roman" w:hAnsi="Times New Roman" w:cs="Times New Roman"/>
                <w:b/>
                <w:noProof/>
                <w:sz w:val="20"/>
              </w:rPr>
            </w:pPr>
          </w:p>
        </w:tc>
        <w:tc>
          <w:tcPr>
            <w:tcW w:w="1520" w:type="dxa"/>
            <w:vMerge/>
            <w:vAlign w:val="center"/>
            <w:hideMark/>
          </w:tcPr>
          <w:p w14:paraId="0B017496" w14:textId="77777777" w:rsidR="00776A1F" w:rsidRDefault="00776A1F">
            <w:pPr>
              <w:spacing w:after="0" w:line="240" w:lineRule="auto"/>
              <w:rPr>
                <w:rFonts w:ascii="Times New Roman" w:eastAsia="Times New Roman" w:hAnsi="Times New Roman" w:cs="Times New Roman"/>
                <w:b/>
                <w:noProof/>
                <w:sz w:val="20"/>
              </w:rPr>
            </w:pPr>
          </w:p>
        </w:tc>
        <w:tc>
          <w:tcPr>
            <w:tcW w:w="5060" w:type="dxa"/>
            <w:vMerge/>
            <w:vAlign w:val="center"/>
            <w:hideMark/>
          </w:tcPr>
          <w:p w14:paraId="51E262C0" w14:textId="77777777" w:rsidR="00776A1F" w:rsidRDefault="00776A1F">
            <w:pPr>
              <w:spacing w:after="0" w:line="240" w:lineRule="auto"/>
              <w:rPr>
                <w:rFonts w:ascii="Times New Roman" w:eastAsia="Times New Roman" w:hAnsi="Times New Roman" w:cs="Times New Roman"/>
                <w:b/>
                <w:noProof/>
                <w:sz w:val="20"/>
              </w:rPr>
            </w:pPr>
          </w:p>
        </w:tc>
      </w:tr>
      <w:tr w:rsidR="00776A1F" w14:paraId="78D2FC43" w14:textId="77777777">
        <w:trPr>
          <w:trHeight w:val="440"/>
        </w:trPr>
        <w:tc>
          <w:tcPr>
            <w:tcW w:w="1200" w:type="dxa"/>
            <w:shd w:val="clear" w:color="auto" w:fill="C4EFCE"/>
            <w:vAlign w:val="center"/>
            <w:hideMark/>
          </w:tcPr>
          <w:p w14:paraId="34AFA81A" w14:textId="77777777" w:rsidR="00776A1F" w:rsidRDefault="00D8574B">
            <w:pPr>
              <w:pStyle w:val="P68B1DB1-Normal23"/>
              <w:spacing w:after="0"/>
              <w:jc w:val="center"/>
              <w:rPr>
                <w:rFonts w:eastAsia="Calibri" w:cs="Calibri"/>
                <w:noProof/>
              </w:rPr>
            </w:pPr>
            <w:r>
              <w:rPr>
                <w:noProof/>
              </w:rPr>
              <w:t>1.10</w:t>
            </w:r>
          </w:p>
        </w:tc>
        <w:tc>
          <w:tcPr>
            <w:tcW w:w="1760" w:type="dxa"/>
            <w:shd w:val="clear" w:color="auto" w:fill="C4EFCE"/>
            <w:vAlign w:val="center"/>
            <w:hideMark/>
          </w:tcPr>
          <w:p w14:paraId="51D0C2F0" w14:textId="77777777" w:rsidR="00776A1F" w:rsidRDefault="00D8574B">
            <w:pPr>
              <w:pStyle w:val="P68B1DB1-Normal23"/>
              <w:spacing w:after="0"/>
              <w:jc w:val="center"/>
              <w:rPr>
                <w:rFonts w:eastAsia="Calibri" w:cs="Calibri"/>
                <w:noProof/>
              </w:rPr>
            </w:pPr>
            <w:r>
              <w:rPr>
                <w:noProof/>
              </w:rPr>
              <w:t>Re-C01-r03</w:t>
            </w:r>
          </w:p>
        </w:tc>
        <w:tc>
          <w:tcPr>
            <w:tcW w:w="1520" w:type="dxa"/>
            <w:shd w:val="clear" w:color="auto" w:fill="C4EFCE"/>
            <w:vAlign w:val="center"/>
            <w:hideMark/>
          </w:tcPr>
          <w:p w14:paraId="50D354B1"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664EC88" w14:textId="77777777" w:rsidR="00776A1F" w:rsidRDefault="00D8574B">
            <w:pPr>
              <w:pStyle w:val="P68B1DB1-Normal23"/>
              <w:spacing w:after="0"/>
              <w:jc w:val="both"/>
              <w:rPr>
                <w:rFonts w:eastAsia="Calibri" w:cs="Calibri"/>
                <w:noProof/>
              </w:rPr>
            </w:pPr>
            <w:r>
              <w:rPr>
                <w:noProof/>
              </w:rPr>
              <w:t>Valsts veselības dienesta slimnīcās stiprināt hospitalizāciju mājās</w:t>
            </w:r>
          </w:p>
        </w:tc>
      </w:tr>
      <w:tr w:rsidR="00776A1F" w14:paraId="281EF144" w14:textId="77777777">
        <w:trPr>
          <w:trHeight w:val="440"/>
        </w:trPr>
        <w:tc>
          <w:tcPr>
            <w:tcW w:w="1200" w:type="dxa"/>
            <w:shd w:val="clear" w:color="auto" w:fill="C4EFCE"/>
            <w:vAlign w:val="center"/>
            <w:hideMark/>
          </w:tcPr>
          <w:p w14:paraId="512494E5" w14:textId="77777777" w:rsidR="00776A1F" w:rsidRDefault="00D8574B">
            <w:pPr>
              <w:pStyle w:val="P68B1DB1-Normal23"/>
              <w:spacing w:after="0"/>
              <w:jc w:val="center"/>
              <w:rPr>
                <w:rFonts w:eastAsia="Calibri" w:cs="Calibri"/>
                <w:noProof/>
              </w:rPr>
            </w:pPr>
            <w:r>
              <w:rPr>
                <w:noProof/>
              </w:rPr>
              <w:t>1.14</w:t>
            </w:r>
          </w:p>
        </w:tc>
        <w:tc>
          <w:tcPr>
            <w:tcW w:w="1760" w:type="dxa"/>
            <w:shd w:val="clear" w:color="auto" w:fill="C4EFCE"/>
            <w:vAlign w:val="center"/>
            <w:hideMark/>
          </w:tcPr>
          <w:p w14:paraId="0370E718" w14:textId="77777777" w:rsidR="00776A1F" w:rsidRDefault="00D8574B">
            <w:pPr>
              <w:pStyle w:val="P68B1DB1-Normal23"/>
              <w:spacing w:after="0"/>
              <w:jc w:val="center"/>
              <w:rPr>
                <w:rFonts w:eastAsia="Calibri" w:cs="Calibri"/>
                <w:noProof/>
              </w:rPr>
            </w:pPr>
            <w:r>
              <w:rPr>
                <w:noProof/>
              </w:rPr>
              <w:t>Re-C01-i01</w:t>
            </w:r>
          </w:p>
        </w:tc>
        <w:tc>
          <w:tcPr>
            <w:tcW w:w="1520" w:type="dxa"/>
            <w:shd w:val="clear" w:color="auto" w:fill="C4EFCE"/>
            <w:vAlign w:val="center"/>
            <w:hideMark/>
          </w:tcPr>
          <w:p w14:paraId="1D5E254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FC949BF" w14:textId="77777777" w:rsidR="00776A1F" w:rsidRDefault="00D8574B">
            <w:pPr>
              <w:pStyle w:val="P68B1DB1-Normal23"/>
              <w:spacing w:after="0"/>
              <w:jc w:val="both"/>
              <w:rPr>
                <w:rFonts w:eastAsia="Calibri" w:cs="Calibri"/>
                <w:noProof/>
              </w:rPr>
            </w:pPr>
            <w:r>
              <w:rPr>
                <w:noProof/>
              </w:rPr>
              <w:t>Jaunu veselības aprūpes vienību izveide</w:t>
            </w:r>
          </w:p>
        </w:tc>
      </w:tr>
      <w:tr w:rsidR="00776A1F" w14:paraId="5D10BD59" w14:textId="77777777">
        <w:trPr>
          <w:trHeight w:val="440"/>
        </w:trPr>
        <w:tc>
          <w:tcPr>
            <w:tcW w:w="1200" w:type="dxa"/>
            <w:shd w:val="clear" w:color="auto" w:fill="C4EFCE"/>
            <w:vAlign w:val="center"/>
            <w:hideMark/>
          </w:tcPr>
          <w:p w14:paraId="461A7F1E" w14:textId="77777777" w:rsidR="00776A1F" w:rsidRDefault="00D8574B">
            <w:pPr>
              <w:pStyle w:val="P68B1DB1-Normal23"/>
              <w:spacing w:after="0"/>
              <w:jc w:val="center"/>
              <w:rPr>
                <w:rFonts w:eastAsia="Calibri" w:cs="Calibri"/>
                <w:noProof/>
              </w:rPr>
            </w:pPr>
            <w:r>
              <w:rPr>
                <w:noProof/>
              </w:rPr>
              <w:t>1.35</w:t>
            </w:r>
          </w:p>
        </w:tc>
        <w:tc>
          <w:tcPr>
            <w:tcW w:w="1760" w:type="dxa"/>
            <w:shd w:val="clear" w:color="auto" w:fill="C4EFCE"/>
            <w:vAlign w:val="center"/>
            <w:hideMark/>
          </w:tcPr>
          <w:p w14:paraId="018B6B55" w14:textId="77777777" w:rsidR="00776A1F" w:rsidRDefault="00D8574B">
            <w:pPr>
              <w:pStyle w:val="P68B1DB1-Normal23"/>
              <w:spacing w:after="0"/>
              <w:jc w:val="center"/>
              <w:rPr>
                <w:rFonts w:eastAsia="Calibri" w:cs="Calibri"/>
                <w:noProof/>
              </w:rPr>
            </w:pPr>
            <w:r>
              <w:rPr>
                <w:noProof/>
              </w:rPr>
              <w:t>Re-C01-i07-RAM</w:t>
            </w:r>
          </w:p>
        </w:tc>
        <w:tc>
          <w:tcPr>
            <w:tcW w:w="1520" w:type="dxa"/>
            <w:shd w:val="clear" w:color="auto" w:fill="C4EFCE"/>
            <w:vAlign w:val="center"/>
            <w:hideMark/>
          </w:tcPr>
          <w:p w14:paraId="5CA14FA7"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379A737" w14:textId="77777777" w:rsidR="00776A1F" w:rsidRDefault="00D8574B">
            <w:pPr>
              <w:pStyle w:val="P68B1DB1-Normal23"/>
              <w:spacing w:after="0"/>
              <w:jc w:val="both"/>
              <w:rPr>
                <w:rFonts w:eastAsia="Calibri" w:cs="Calibri"/>
                <w:noProof/>
              </w:rPr>
            </w:pPr>
            <w:r>
              <w:rPr>
                <w:noProof/>
              </w:rPr>
              <w:t>Jaunas datoriekārtas Madeiras reģionālajam veselības dienestam</w:t>
            </w:r>
          </w:p>
        </w:tc>
      </w:tr>
      <w:tr w:rsidR="00776A1F" w14:paraId="6C85753F" w14:textId="77777777">
        <w:trPr>
          <w:trHeight w:val="440"/>
        </w:trPr>
        <w:tc>
          <w:tcPr>
            <w:tcW w:w="1200" w:type="dxa"/>
            <w:shd w:val="clear" w:color="auto" w:fill="C4EFCE"/>
            <w:vAlign w:val="center"/>
            <w:hideMark/>
          </w:tcPr>
          <w:p w14:paraId="663CED66" w14:textId="77777777" w:rsidR="00776A1F" w:rsidRDefault="00D8574B">
            <w:pPr>
              <w:pStyle w:val="P68B1DB1-Normal23"/>
              <w:spacing w:after="0"/>
              <w:jc w:val="center"/>
              <w:rPr>
                <w:rFonts w:eastAsia="Calibri" w:cs="Calibri"/>
                <w:noProof/>
              </w:rPr>
            </w:pPr>
            <w:r>
              <w:rPr>
                <w:noProof/>
              </w:rPr>
              <w:t>1.37</w:t>
            </w:r>
          </w:p>
        </w:tc>
        <w:tc>
          <w:tcPr>
            <w:tcW w:w="1760" w:type="dxa"/>
            <w:shd w:val="clear" w:color="auto" w:fill="C4EFCE"/>
            <w:vAlign w:val="center"/>
            <w:hideMark/>
          </w:tcPr>
          <w:p w14:paraId="4A6C5BBD" w14:textId="77777777" w:rsidR="00776A1F" w:rsidRDefault="00D8574B">
            <w:pPr>
              <w:pStyle w:val="P68B1DB1-Normal23"/>
              <w:spacing w:after="0"/>
              <w:jc w:val="center"/>
              <w:rPr>
                <w:rFonts w:eastAsia="Calibri" w:cs="Calibri"/>
                <w:noProof/>
              </w:rPr>
            </w:pPr>
            <w:r>
              <w:rPr>
                <w:noProof/>
              </w:rPr>
              <w:t>Re-C01-i08-RAA</w:t>
            </w:r>
          </w:p>
        </w:tc>
        <w:tc>
          <w:tcPr>
            <w:tcW w:w="1520" w:type="dxa"/>
            <w:shd w:val="clear" w:color="auto" w:fill="C4EFCE"/>
            <w:vAlign w:val="center"/>
            <w:hideMark/>
          </w:tcPr>
          <w:p w14:paraId="3A083AE7"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8C87034" w14:textId="77777777" w:rsidR="00776A1F" w:rsidRDefault="00D8574B">
            <w:pPr>
              <w:pStyle w:val="P68B1DB1-Normal23"/>
              <w:spacing w:after="0"/>
              <w:jc w:val="both"/>
              <w:rPr>
                <w:rFonts w:eastAsia="Calibri" w:cs="Calibri"/>
                <w:noProof/>
              </w:rPr>
            </w:pPr>
            <w:r>
              <w:rPr>
                <w:noProof/>
              </w:rPr>
              <w:t>Telemedicīnas iecelšana Azoru salu reģionālajā veselības dienestā</w:t>
            </w:r>
          </w:p>
        </w:tc>
      </w:tr>
      <w:tr w:rsidR="00776A1F" w14:paraId="0E7C2786" w14:textId="77777777">
        <w:trPr>
          <w:trHeight w:val="440"/>
        </w:trPr>
        <w:tc>
          <w:tcPr>
            <w:tcW w:w="1200" w:type="dxa"/>
            <w:shd w:val="clear" w:color="auto" w:fill="C4EFCE"/>
            <w:vAlign w:val="center"/>
            <w:hideMark/>
          </w:tcPr>
          <w:p w14:paraId="56EFE37A" w14:textId="77777777" w:rsidR="00776A1F" w:rsidRDefault="00D8574B">
            <w:pPr>
              <w:pStyle w:val="P68B1DB1-Normal23"/>
              <w:spacing w:after="0"/>
              <w:jc w:val="center"/>
              <w:rPr>
                <w:rFonts w:eastAsia="Calibri" w:cs="Calibri"/>
                <w:noProof/>
              </w:rPr>
            </w:pPr>
            <w:r>
              <w:rPr>
                <w:noProof/>
              </w:rPr>
              <w:t>1.42</w:t>
            </w:r>
          </w:p>
        </w:tc>
        <w:tc>
          <w:tcPr>
            <w:tcW w:w="1760" w:type="dxa"/>
            <w:shd w:val="clear" w:color="auto" w:fill="C4EFCE"/>
            <w:vAlign w:val="center"/>
            <w:hideMark/>
          </w:tcPr>
          <w:p w14:paraId="4BF6A73F" w14:textId="77777777" w:rsidR="00776A1F" w:rsidRDefault="00D8574B">
            <w:pPr>
              <w:pStyle w:val="P68B1DB1-Normal23"/>
              <w:spacing w:after="0"/>
              <w:jc w:val="center"/>
              <w:rPr>
                <w:rFonts w:eastAsia="Calibri" w:cs="Calibri"/>
                <w:noProof/>
              </w:rPr>
            </w:pPr>
            <w:r>
              <w:rPr>
                <w:noProof/>
              </w:rPr>
              <w:t>Re-C01-i10</w:t>
            </w:r>
          </w:p>
        </w:tc>
        <w:tc>
          <w:tcPr>
            <w:tcW w:w="1520" w:type="dxa"/>
            <w:shd w:val="clear" w:color="auto" w:fill="C4EFCE"/>
            <w:vAlign w:val="center"/>
            <w:hideMark/>
          </w:tcPr>
          <w:p w14:paraId="507AF341"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7D2D683" w14:textId="77777777" w:rsidR="00776A1F" w:rsidRDefault="00D8574B">
            <w:pPr>
              <w:pStyle w:val="P68B1DB1-Normal23"/>
              <w:spacing w:after="0"/>
              <w:jc w:val="both"/>
              <w:rPr>
                <w:rFonts w:eastAsia="Calibri" w:cs="Calibri"/>
                <w:noProof/>
              </w:rPr>
            </w:pPr>
            <w:r>
              <w:rPr>
                <w:noProof/>
              </w:rPr>
              <w:t>Smaga medicīniskā aprīkojuma iegāde</w:t>
            </w:r>
          </w:p>
        </w:tc>
      </w:tr>
      <w:tr w:rsidR="00776A1F" w14:paraId="5FD85112" w14:textId="77777777">
        <w:trPr>
          <w:trHeight w:val="440"/>
        </w:trPr>
        <w:tc>
          <w:tcPr>
            <w:tcW w:w="1200" w:type="dxa"/>
            <w:shd w:val="clear" w:color="auto" w:fill="C4EFCE"/>
            <w:vAlign w:val="center"/>
            <w:hideMark/>
          </w:tcPr>
          <w:p w14:paraId="4C05018B" w14:textId="77777777" w:rsidR="00776A1F" w:rsidRDefault="00D8574B">
            <w:pPr>
              <w:pStyle w:val="P68B1DB1-Normal23"/>
              <w:spacing w:after="0"/>
              <w:jc w:val="center"/>
              <w:rPr>
                <w:rFonts w:eastAsia="Calibri" w:cs="Calibri"/>
                <w:noProof/>
              </w:rPr>
            </w:pPr>
            <w:r>
              <w:rPr>
                <w:noProof/>
              </w:rPr>
              <w:t>2.5</w:t>
            </w:r>
          </w:p>
        </w:tc>
        <w:tc>
          <w:tcPr>
            <w:tcW w:w="1760" w:type="dxa"/>
            <w:shd w:val="clear" w:color="auto" w:fill="C4EFCE"/>
            <w:vAlign w:val="center"/>
            <w:hideMark/>
          </w:tcPr>
          <w:p w14:paraId="7718FE5F" w14:textId="77777777" w:rsidR="00776A1F" w:rsidRDefault="00D8574B">
            <w:pPr>
              <w:pStyle w:val="P68B1DB1-Normal23"/>
              <w:spacing w:after="0"/>
              <w:jc w:val="center"/>
              <w:rPr>
                <w:rFonts w:eastAsia="Calibri" w:cs="Calibri"/>
                <w:noProof/>
              </w:rPr>
            </w:pPr>
            <w:r>
              <w:rPr>
                <w:noProof/>
              </w:rPr>
              <w:t>Re-C02-i02</w:t>
            </w:r>
          </w:p>
        </w:tc>
        <w:tc>
          <w:tcPr>
            <w:tcW w:w="1520" w:type="dxa"/>
            <w:shd w:val="clear" w:color="auto" w:fill="C4EFCE"/>
            <w:vAlign w:val="center"/>
            <w:hideMark/>
          </w:tcPr>
          <w:p w14:paraId="14E36A4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3716262" w14:textId="77777777" w:rsidR="00776A1F" w:rsidRDefault="00D8574B">
            <w:pPr>
              <w:pStyle w:val="P68B1DB1-Normal23"/>
              <w:spacing w:after="0"/>
              <w:jc w:val="both"/>
              <w:rPr>
                <w:rFonts w:eastAsia="Calibri" w:cs="Calibri"/>
                <w:noProof/>
              </w:rPr>
            </w:pPr>
            <w:r>
              <w:rPr>
                <w:noProof/>
              </w:rPr>
              <w:t>Valsts ārkārtas un pagaidu izmitināšanas dotācija — finansēšanas nolīgumu parakstīšana ārkārtas un pārejas mājokļiem</w:t>
            </w:r>
          </w:p>
        </w:tc>
      </w:tr>
      <w:tr w:rsidR="00776A1F" w14:paraId="558EEAA4" w14:textId="77777777">
        <w:trPr>
          <w:trHeight w:val="440"/>
        </w:trPr>
        <w:tc>
          <w:tcPr>
            <w:tcW w:w="1200" w:type="dxa"/>
            <w:shd w:val="clear" w:color="auto" w:fill="C4EFCE"/>
            <w:vAlign w:val="center"/>
            <w:hideMark/>
          </w:tcPr>
          <w:p w14:paraId="08AB08F8" w14:textId="77777777" w:rsidR="00776A1F" w:rsidRDefault="00D8574B">
            <w:pPr>
              <w:pStyle w:val="P68B1DB1-Normal23"/>
              <w:spacing w:after="0"/>
              <w:jc w:val="center"/>
              <w:rPr>
                <w:rFonts w:eastAsia="Calibri" w:cs="Calibri"/>
                <w:noProof/>
              </w:rPr>
            </w:pPr>
            <w:r>
              <w:rPr>
                <w:noProof/>
              </w:rPr>
              <w:t>2.10</w:t>
            </w:r>
          </w:p>
        </w:tc>
        <w:tc>
          <w:tcPr>
            <w:tcW w:w="1760" w:type="dxa"/>
            <w:shd w:val="clear" w:color="auto" w:fill="C4EFCE"/>
            <w:vAlign w:val="center"/>
            <w:hideMark/>
          </w:tcPr>
          <w:p w14:paraId="2483B503" w14:textId="77777777" w:rsidR="00776A1F" w:rsidRDefault="00D8574B">
            <w:pPr>
              <w:pStyle w:val="P68B1DB1-Normal23"/>
              <w:spacing w:after="0"/>
              <w:jc w:val="center"/>
              <w:rPr>
                <w:rFonts w:eastAsia="Calibri" w:cs="Calibri"/>
                <w:noProof/>
              </w:rPr>
            </w:pPr>
            <w:r>
              <w:rPr>
                <w:noProof/>
              </w:rPr>
              <w:t>Re-C02-i03-RAM</w:t>
            </w:r>
          </w:p>
        </w:tc>
        <w:tc>
          <w:tcPr>
            <w:tcW w:w="1520" w:type="dxa"/>
            <w:shd w:val="clear" w:color="auto" w:fill="C4EFCE"/>
            <w:vAlign w:val="center"/>
            <w:hideMark/>
          </w:tcPr>
          <w:p w14:paraId="6BC4004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94C0CAB" w14:textId="77777777" w:rsidR="00776A1F" w:rsidRDefault="00D8574B">
            <w:pPr>
              <w:pStyle w:val="P68B1DB1-Normal23"/>
              <w:spacing w:after="0"/>
              <w:jc w:val="both"/>
              <w:rPr>
                <w:rFonts w:eastAsia="Calibri" w:cs="Calibri"/>
                <w:noProof/>
              </w:rPr>
            </w:pPr>
            <w:r>
              <w:rPr>
                <w:noProof/>
              </w:rPr>
              <w:t>Atbalstīti mājokļi Madeiras autonomajā reģionā</w:t>
            </w:r>
          </w:p>
        </w:tc>
      </w:tr>
      <w:tr w:rsidR="00776A1F" w14:paraId="692CD3EC" w14:textId="77777777">
        <w:trPr>
          <w:trHeight w:val="440"/>
        </w:trPr>
        <w:tc>
          <w:tcPr>
            <w:tcW w:w="1200" w:type="dxa"/>
            <w:shd w:val="clear" w:color="auto" w:fill="C4EFCE"/>
            <w:vAlign w:val="center"/>
            <w:hideMark/>
          </w:tcPr>
          <w:p w14:paraId="66CC6C58" w14:textId="77777777" w:rsidR="00776A1F" w:rsidRDefault="00D8574B">
            <w:pPr>
              <w:pStyle w:val="P68B1DB1-Normal23"/>
              <w:spacing w:after="0"/>
              <w:jc w:val="center"/>
              <w:rPr>
                <w:rFonts w:eastAsia="Calibri" w:cs="Calibri"/>
                <w:noProof/>
              </w:rPr>
            </w:pPr>
            <w:r>
              <w:rPr>
                <w:noProof/>
              </w:rPr>
              <w:t>3.2</w:t>
            </w:r>
          </w:p>
        </w:tc>
        <w:tc>
          <w:tcPr>
            <w:tcW w:w="1760" w:type="dxa"/>
            <w:shd w:val="clear" w:color="auto" w:fill="C4EFCE"/>
            <w:vAlign w:val="center"/>
            <w:hideMark/>
          </w:tcPr>
          <w:p w14:paraId="4B6552D8" w14:textId="77777777" w:rsidR="00776A1F" w:rsidRDefault="00D8574B">
            <w:pPr>
              <w:pStyle w:val="P68B1DB1-Normal23"/>
              <w:spacing w:after="0"/>
              <w:jc w:val="center"/>
              <w:rPr>
                <w:rFonts w:eastAsia="Calibri" w:cs="Calibri"/>
                <w:noProof/>
              </w:rPr>
            </w:pPr>
            <w:r>
              <w:rPr>
                <w:noProof/>
              </w:rPr>
              <w:t>Re-C03-i01</w:t>
            </w:r>
          </w:p>
        </w:tc>
        <w:tc>
          <w:tcPr>
            <w:tcW w:w="1520" w:type="dxa"/>
            <w:shd w:val="clear" w:color="auto" w:fill="C4EFCE"/>
            <w:vAlign w:val="center"/>
            <w:hideMark/>
          </w:tcPr>
          <w:p w14:paraId="0928115F"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12F2860" w14:textId="77777777" w:rsidR="00776A1F" w:rsidRDefault="00D8574B">
            <w:pPr>
              <w:pStyle w:val="P68B1DB1-Normal23"/>
              <w:spacing w:after="0"/>
              <w:jc w:val="both"/>
              <w:rPr>
                <w:rFonts w:eastAsia="Calibri" w:cs="Calibri"/>
                <w:noProof/>
              </w:rPr>
            </w:pPr>
            <w:r>
              <w:rPr>
                <w:noProof/>
              </w:rPr>
              <w:t>Sociālās intervences grupu izveide (Radar Social)</w:t>
            </w:r>
          </w:p>
        </w:tc>
      </w:tr>
      <w:tr w:rsidR="00776A1F" w14:paraId="30BD846E" w14:textId="77777777">
        <w:trPr>
          <w:trHeight w:val="440"/>
        </w:trPr>
        <w:tc>
          <w:tcPr>
            <w:tcW w:w="1200" w:type="dxa"/>
            <w:shd w:val="clear" w:color="auto" w:fill="C4EFCE"/>
            <w:vAlign w:val="center"/>
            <w:hideMark/>
          </w:tcPr>
          <w:p w14:paraId="77CAF7E5" w14:textId="77777777" w:rsidR="00776A1F" w:rsidRDefault="00D8574B">
            <w:pPr>
              <w:pStyle w:val="P68B1DB1-Normal23"/>
              <w:spacing w:after="0"/>
              <w:jc w:val="center"/>
              <w:rPr>
                <w:rFonts w:eastAsia="Calibri" w:cs="Calibri"/>
                <w:noProof/>
              </w:rPr>
            </w:pPr>
            <w:r>
              <w:rPr>
                <w:noProof/>
              </w:rPr>
              <w:t>3.18</w:t>
            </w:r>
          </w:p>
        </w:tc>
        <w:tc>
          <w:tcPr>
            <w:tcW w:w="1760" w:type="dxa"/>
            <w:shd w:val="clear" w:color="auto" w:fill="C4EFCE"/>
            <w:vAlign w:val="center"/>
            <w:hideMark/>
          </w:tcPr>
          <w:p w14:paraId="4095135D" w14:textId="77777777" w:rsidR="00776A1F" w:rsidRDefault="00D8574B">
            <w:pPr>
              <w:pStyle w:val="P68B1DB1-Normal23"/>
              <w:spacing w:after="0"/>
              <w:jc w:val="center"/>
              <w:rPr>
                <w:rFonts w:eastAsia="Calibri" w:cs="Calibri"/>
                <w:noProof/>
              </w:rPr>
            </w:pPr>
            <w:r>
              <w:rPr>
                <w:noProof/>
              </w:rPr>
              <w:t>Re-C03-i05</w:t>
            </w:r>
          </w:p>
        </w:tc>
        <w:tc>
          <w:tcPr>
            <w:tcW w:w="1520" w:type="dxa"/>
            <w:shd w:val="clear" w:color="auto" w:fill="C4EFCE"/>
            <w:vAlign w:val="center"/>
            <w:hideMark/>
          </w:tcPr>
          <w:p w14:paraId="3214A456"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CF15101" w14:textId="77777777" w:rsidR="00776A1F" w:rsidRDefault="00D8574B">
            <w:pPr>
              <w:pStyle w:val="P68B1DB1-Normal23"/>
              <w:spacing w:after="0"/>
              <w:jc w:val="both"/>
              <w:rPr>
                <w:rFonts w:eastAsia="Calibri" w:cs="Calibri"/>
                <w:noProof/>
              </w:rPr>
            </w:pPr>
            <w:r>
              <w:rPr>
                <w:noProof/>
              </w:rPr>
              <w:t>Digitāla informācijas platforma cilvēkiem ar invaliditāti</w:t>
            </w:r>
          </w:p>
        </w:tc>
      </w:tr>
      <w:tr w:rsidR="00776A1F" w14:paraId="20628CE8" w14:textId="77777777">
        <w:trPr>
          <w:trHeight w:val="440"/>
        </w:trPr>
        <w:tc>
          <w:tcPr>
            <w:tcW w:w="1200" w:type="dxa"/>
            <w:shd w:val="clear" w:color="auto" w:fill="C4EFCE"/>
            <w:vAlign w:val="center"/>
            <w:hideMark/>
          </w:tcPr>
          <w:p w14:paraId="718E4D78" w14:textId="77777777" w:rsidR="00776A1F" w:rsidRDefault="00D8574B">
            <w:pPr>
              <w:pStyle w:val="P68B1DB1-Normal23"/>
              <w:spacing w:after="0"/>
              <w:jc w:val="center"/>
              <w:rPr>
                <w:rFonts w:eastAsia="Calibri" w:cs="Calibri"/>
                <w:noProof/>
              </w:rPr>
            </w:pPr>
            <w:r>
              <w:rPr>
                <w:noProof/>
              </w:rPr>
              <w:t>5.37</w:t>
            </w:r>
          </w:p>
        </w:tc>
        <w:tc>
          <w:tcPr>
            <w:tcW w:w="1760" w:type="dxa"/>
            <w:shd w:val="clear" w:color="auto" w:fill="C4EFCE"/>
            <w:vAlign w:val="center"/>
            <w:hideMark/>
          </w:tcPr>
          <w:p w14:paraId="7B3EE8CE" w14:textId="77777777" w:rsidR="00776A1F" w:rsidRDefault="00D8574B">
            <w:pPr>
              <w:pStyle w:val="P68B1DB1-Normal23"/>
              <w:spacing w:after="0"/>
              <w:jc w:val="center"/>
              <w:rPr>
                <w:rFonts w:eastAsia="Calibri" w:cs="Calibri"/>
                <w:noProof/>
              </w:rPr>
            </w:pPr>
            <w:r>
              <w:rPr>
                <w:noProof/>
              </w:rPr>
              <w:t>Re-C05-i08</w:t>
            </w:r>
          </w:p>
        </w:tc>
        <w:tc>
          <w:tcPr>
            <w:tcW w:w="1520" w:type="dxa"/>
            <w:shd w:val="clear" w:color="auto" w:fill="C4EFCE"/>
            <w:vAlign w:val="center"/>
            <w:hideMark/>
          </w:tcPr>
          <w:p w14:paraId="37761C8D"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9320E7C" w14:textId="77777777" w:rsidR="00776A1F" w:rsidRDefault="00D8574B">
            <w:pPr>
              <w:pStyle w:val="P68B1DB1-Normal23"/>
              <w:spacing w:after="0"/>
              <w:jc w:val="both"/>
              <w:rPr>
                <w:rFonts w:eastAsia="Calibri" w:cs="Calibri"/>
                <w:noProof/>
              </w:rPr>
            </w:pPr>
            <w:r>
              <w:rPr>
                <w:noProof/>
              </w:rPr>
              <w:t>Valsts progresīvās datošanas centra (CNCA) izveide.</w:t>
            </w:r>
          </w:p>
        </w:tc>
      </w:tr>
      <w:tr w:rsidR="00776A1F" w14:paraId="6A2FA64B" w14:textId="77777777">
        <w:trPr>
          <w:trHeight w:val="440"/>
        </w:trPr>
        <w:tc>
          <w:tcPr>
            <w:tcW w:w="1200" w:type="dxa"/>
            <w:shd w:val="clear" w:color="auto" w:fill="C4EFCE"/>
            <w:vAlign w:val="center"/>
            <w:hideMark/>
          </w:tcPr>
          <w:p w14:paraId="7FC45C4C" w14:textId="77777777" w:rsidR="00776A1F" w:rsidRDefault="00D8574B">
            <w:pPr>
              <w:pStyle w:val="P68B1DB1-Normal23"/>
              <w:spacing w:after="0"/>
              <w:jc w:val="center"/>
              <w:rPr>
                <w:rFonts w:eastAsia="Calibri" w:cs="Calibri"/>
                <w:noProof/>
              </w:rPr>
            </w:pPr>
            <w:r>
              <w:rPr>
                <w:noProof/>
              </w:rPr>
              <w:t>6.5</w:t>
            </w:r>
          </w:p>
        </w:tc>
        <w:tc>
          <w:tcPr>
            <w:tcW w:w="1760" w:type="dxa"/>
            <w:shd w:val="clear" w:color="auto" w:fill="C4EFCE"/>
            <w:vAlign w:val="center"/>
            <w:hideMark/>
          </w:tcPr>
          <w:p w14:paraId="2B15BC68" w14:textId="77777777" w:rsidR="00776A1F" w:rsidRDefault="00D8574B">
            <w:pPr>
              <w:pStyle w:val="P68B1DB1-Normal23"/>
              <w:spacing w:after="0"/>
              <w:jc w:val="center"/>
              <w:rPr>
                <w:rFonts w:eastAsia="Calibri" w:cs="Calibri"/>
                <w:noProof/>
              </w:rPr>
            </w:pPr>
            <w:r>
              <w:rPr>
                <w:noProof/>
              </w:rPr>
              <w:t>Re-C06-i02</w:t>
            </w:r>
          </w:p>
        </w:tc>
        <w:tc>
          <w:tcPr>
            <w:tcW w:w="1520" w:type="dxa"/>
            <w:shd w:val="clear" w:color="auto" w:fill="C4EFCE"/>
            <w:vAlign w:val="center"/>
            <w:hideMark/>
          </w:tcPr>
          <w:p w14:paraId="7BE9B1B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F542581" w14:textId="77777777" w:rsidR="00776A1F" w:rsidRDefault="00D8574B">
            <w:pPr>
              <w:pStyle w:val="P68B1DB1-Normal23"/>
              <w:spacing w:after="0"/>
              <w:jc w:val="both"/>
              <w:rPr>
                <w:rFonts w:eastAsia="Calibri" w:cs="Calibri"/>
                <w:noProof/>
              </w:rPr>
            </w:pPr>
            <w:r>
              <w:rPr>
                <w:noProof/>
              </w:rPr>
              <w:t>Finansiāls atbalsts pastāvīgiem līgumiem</w:t>
            </w:r>
          </w:p>
        </w:tc>
      </w:tr>
      <w:tr w:rsidR="00776A1F" w14:paraId="4839FE69" w14:textId="77777777">
        <w:trPr>
          <w:trHeight w:val="440"/>
        </w:trPr>
        <w:tc>
          <w:tcPr>
            <w:tcW w:w="1200" w:type="dxa"/>
            <w:shd w:val="clear" w:color="auto" w:fill="C4EFCE"/>
            <w:vAlign w:val="center"/>
            <w:hideMark/>
          </w:tcPr>
          <w:p w14:paraId="410B82AF" w14:textId="77777777" w:rsidR="00776A1F" w:rsidRDefault="00D8574B">
            <w:pPr>
              <w:pStyle w:val="P68B1DB1-Normal23"/>
              <w:spacing w:after="0"/>
              <w:jc w:val="center"/>
              <w:rPr>
                <w:rFonts w:eastAsia="Calibri" w:cs="Calibri"/>
                <w:noProof/>
              </w:rPr>
            </w:pPr>
            <w:r>
              <w:rPr>
                <w:noProof/>
              </w:rPr>
              <w:t>6.17</w:t>
            </w:r>
          </w:p>
        </w:tc>
        <w:tc>
          <w:tcPr>
            <w:tcW w:w="1760" w:type="dxa"/>
            <w:shd w:val="clear" w:color="auto" w:fill="C4EFCE"/>
            <w:vAlign w:val="center"/>
            <w:hideMark/>
          </w:tcPr>
          <w:p w14:paraId="71A13B94" w14:textId="77777777" w:rsidR="00776A1F" w:rsidRDefault="00D8574B">
            <w:pPr>
              <w:pStyle w:val="P68B1DB1-Normal23"/>
              <w:spacing w:after="0"/>
              <w:jc w:val="center"/>
              <w:rPr>
                <w:rFonts w:eastAsia="Calibri" w:cs="Calibri"/>
                <w:noProof/>
              </w:rPr>
            </w:pPr>
            <w:r>
              <w:rPr>
                <w:noProof/>
              </w:rPr>
              <w:t>Re-C06-r18</w:t>
            </w:r>
          </w:p>
        </w:tc>
        <w:tc>
          <w:tcPr>
            <w:tcW w:w="1520" w:type="dxa"/>
            <w:shd w:val="clear" w:color="auto" w:fill="C4EFCE"/>
            <w:vAlign w:val="center"/>
            <w:hideMark/>
          </w:tcPr>
          <w:p w14:paraId="51778BF5"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41251F" w14:textId="77777777" w:rsidR="00776A1F" w:rsidRDefault="00D8574B">
            <w:pPr>
              <w:pStyle w:val="P68B1DB1-Normal23"/>
              <w:spacing w:after="0"/>
              <w:jc w:val="both"/>
              <w:rPr>
                <w:rFonts w:eastAsia="Calibri" w:cs="Calibri"/>
                <w:noProof/>
              </w:rPr>
            </w:pPr>
            <w:r>
              <w:rPr>
                <w:noProof/>
              </w:rPr>
              <w:t>Noteikt Portugāles normu par vienlīdzīgas darba samaksas pārvaldības sistēmu.</w:t>
            </w:r>
          </w:p>
        </w:tc>
      </w:tr>
      <w:tr w:rsidR="00776A1F" w14:paraId="0118C2E1" w14:textId="77777777">
        <w:trPr>
          <w:trHeight w:val="440"/>
        </w:trPr>
        <w:tc>
          <w:tcPr>
            <w:tcW w:w="1200" w:type="dxa"/>
            <w:shd w:val="clear" w:color="auto" w:fill="C4EFCE"/>
            <w:vAlign w:val="center"/>
          </w:tcPr>
          <w:p w14:paraId="73E1EE90" w14:textId="77777777" w:rsidR="00776A1F" w:rsidRDefault="00D8574B">
            <w:pPr>
              <w:pStyle w:val="P68B1DB1-Normal23"/>
              <w:spacing w:after="0"/>
              <w:jc w:val="center"/>
              <w:rPr>
                <w:rFonts w:eastAsia="Calibri" w:cs="Calibri"/>
                <w:noProof/>
              </w:rPr>
            </w:pPr>
            <w:r>
              <w:rPr>
                <w:noProof/>
              </w:rPr>
              <w:t>6.18</w:t>
            </w:r>
          </w:p>
        </w:tc>
        <w:tc>
          <w:tcPr>
            <w:tcW w:w="1760" w:type="dxa"/>
            <w:shd w:val="clear" w:color="auto" w:fill="C4EFCE"/>
            <w:vAlign w:val="center"/>
          </w:tcPr>
          <w:p w14:paraId="3D8A0425" w14:textId="77777777" w:rsidR="00776A1F" w:rsidRDefault="00D8574B">
            <w:pPr>
              <w:pStyle w:val="P68B1DB1-Normal23"/>
              <w:spacing w:after="0"/>
              <w:jc w:val="center"/>
              <w:rPr>
                <w:rFonts w:eastAsia="Calibri" w:cs="Calibri"/>
                <w:noProof/>
              </w:rPr>
            </w:pPr>
            <w:r>
              <w:rPr>
                <w:noProof/>
              </w:rPr>
              <w:t>Re-C06-r18</w:t>
            </w:r>
          </w:p>
        </w:tc>
        <w:tc>
          <w:tcPr>
            <w:tcW w:w="1520" w:type="dxa"/>
            <w:shd w:val="clear" w:color="auto" w:fill="C4EFCE"/>
            <w:vAlign w:val="center"/>
          </w:tcPr>
          <w:p w14:paraId="72CDE6C4"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tcPr>
          <w:p w14:paraId="601AD98C" w14:textId="77777777" w:rsidR="00776A1F" w:rsidRDefault="00D8574B">
            <w:pPr>
              <w:pStyle w:val="P68B1DB1-Normal23"/>
              <w:spacing w:after="0"/>
              <w:jc w:val="both"/>
              <w:rPr>
                <w:rFonts w:eastAsia="Calibri" w:cs="Calibri"/>
                <w:noProof/>
              </w:rPr>
            </w:pPr>
            <w:r>
              <w:rPr>
                <w:noProof/>
              </w:rPr>
              <w:t>Paziņošana par uzņēmumiem, kuros ir vairāk nekā 50 darbinieku un kuriem ir ievērojamas vīriešu un sieviešu darba samaksas atšķirības</w:t>
            </w:r>
          </w:p>
        </w:tc>
      </w:tr>
      <w:tr w:rsidR="00776A1F" w14:paraId="6DE96290" w14:textId="77777777">
        <w:trPr>
          <w:trHeight w:val="440"/>
        </w:trPr>
        <w:tc>
          <w:tcPr>
            <w:tcW w:w="1200" w:type="dxa"/>
            <w:shd w:val="clear" w:color="auto" w:fill="C4EFCE"/>
            <w:vAlign w:val="center"/>
            <w:hideMark/>
          </w:tcPr>
          <w:p w14:paraId="2DF8DE3F" w14:textId="77777777" w:rsidR="00776A1F" w:rsidRDefault="00D8574B">
            <w:pPr>
              <w:pStyle w:val="P68B1DB1-Normal23"/>
              <w:spacing w:after="0"/>
              <w:jc w:val="center"/>
              <w:rPr>
                <w:rFonts w:eastAsia="Calibri" w:cs="Calibri"/>
                <w:noProof/>
              </w:rPr>
            </w:pPr>
            <w:r>
              <w:rPr>
                <w:noProof/>
              </w:rPr>
              <w:t>6.24</w:t>
            </w:r>
          </w:p>
        </w:tc>
        <w:tc>
          <w:tcPr>
            <w:tcW w:w="1760" w:type="dxa"/>
            <w:shd w:val="clear" w:color="auto" w:fill="C4EFCE"/>
            <w:vAlign w:val="center"/>
            <w:hideMark/>
          </w:tcPr>
          <w:p w14:paraId="3F72ECAE" w14:textId="77777777" w:rsidR="00776A1F" w:rsidRDefault="00D8574B">
            <w:pPr>
              <w:pStyle w:val="P68B1DB1-Normal23"/>
              <w:spacing w:after="0"/>
              <w:jc w:val="center"/>
              <w:rPr>
                <w:rFonts w:eastAsia="Calibri" w:cs="Calibri"/>
                <w:noProof/>
              </w:rPr>
            </w:pPr>
            <w:r>
              <w:rPr>
                <w:noProof/>
              </w:rPr>
              <w:t>Re-C06-i07</w:t>
            </w:r>
          </w:p>
        </w:tc>
        <w:tc>
          <w:tcPr>
            <w:tcW w:w="1520" w:type="dxa"/>
            <w:shd w:val="clear" w:color="auto" w:fill="C4EFCE"/>
            <w:vAlign w:val="center"/>
            <w:hideMark/>
          </w:tcPr>
          <w:p w14:paraId="36EEB3BA"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E71C6ED" w14:textId="77777777" w:rsidR="00776A1F" w:rsidRDefault="00D8574B">
            <w:pPr>
              <w:pStyle w:val="P68B1DB1-Normal23"/>
              <w:spacing w:after="0"/>
              <w:jc w:val="both"/>
              <w:rPr>
                <w:rFonts w:eastAsia="Calibri" w:cs="Calibri"/>
                <w:noProof/>
              </w:rPr>
            </w:pPr>
            <w:r>
              <w:rPr>
                <w:noProof/>
              </w:rPr>
              <w:t xml:space="preserve">Inovācija un pedagoģiskā modernizācija augstākajā izglītībā </w:t>
            </w:r>
          </w:p>
        </w:tc>
      </w:tr>
      <w:tr w:rsidR="00776A1F" w14:paraId="71CB9782" w14:textId="77777777">
        <w:trPr>
          <w:trHeight w:val="440"/>
        </w:trPr>
        <w:tc>
          <w:tcPr>
            <w:tcW w:w="1200" w:type="dxa"/>
            <w:shd w:val="clear" w:color="auto" w:fill="C4EFCE"/>
            <w:vAlign w:val="center"/>
            <w:hideMark/>
          </w:tcPr>
          <w:p w14:paraId="2D7720E1" w14:textId="77777777" w:rsidR="00776A1F" w:rsidRDefault="00D8574B">
            <w:pPr>
              <w:pStyle w:val="P68B1DB1-Normal23"/>
              <w:spacing w:after="0"/>
              <w:jc w:val="center"/>
              <w:rPr>
                <w:rFonts w:eastAsia="Calibri" w:cs="Calibri"/>
                <w:noProof/>
              </w:rPr>
            </w:pPr>
            <w:r>
              <w:rPr>
                <w:noProof/>
              </w:rPr>
              <w:t>6.26</w:t>
            </w:r>
          </w:p>
        </w:tc>
        <w:tc>
          <w:tcPr>
            <w:tcW w:w="1760" w:type="dxa"/>
            <w:shd w:val="clear" w:color="auto" w:fill="C4EFCE"/>
            <w:vAlign w:val="center"/>
            <w:hideMark/>
          </w:tcPr>
          <w:p w14:paraId="4E35273D" w14:textId="0EFE6435" w:rsidR="00776A1F" w:rsidRDefault="00D8574B">
            <w:pPr>
              <w:pStyle w:val="P68B1DB1-Normal23"/>
              <w:spacing w:after="0"/>
              <w:jc w:val="center"/>
              <w:rPr>
                <w:rFonts w:eastAsia="Calibri" w:cs="Calibri"/>
                <w:noProof/>
              </w:rPr>
            </w:pPr>
            <w:r>
              <w:rPr>
                <w:noProof/>
              </w:rPr>
              <w:t>Re-C06-i08-RAM</w:t>
            </w:r>
          </w:p>
        </w:tc>
        <w:tc>
          <w:tcPr>
            <w:tcW w:w="1520" w:type="dxa"/>
            <w:shd w:val="clear" w:color="auto" w:fill="C4EFCE"/>
            <w:vAlign w:val="center"/>
            <w:hideMark/>
          </w:tcPr>
          <w:p w14:paraId="682F1E48"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A9A92A" w14:textId="77777777" w:rsidR="00776A1F" w:rsidRDefault="00D8574B">
            <w:pPr>
              <w:pStyle w:val="P68B1DB1-Normal23"/>
              <w:spacing w:after="0"/>
              <w:jc w:val="both"/>
              <w:rPr>
                <w:rFonts w:eastAsia="Calibri" w:cs="Calibri"/>
                <w:noProof/>
              </w:rPr>
            </w:pPr>
            <w:r>
              <w:rPr>
                <w:noProof/>
              </w:rPr>
              <w:t>Parakstīts līgums par CITMA ēkas paplašināšanu</w:t>
            </w:r>
          </w:p>
        </w:tc>
      </w:tr>
      <w:tr w:rsidR="00776A1F" w14:paraId="1641F158" w14:textId="77777777">
        <w:trPr>
          <w:trHeight w:val="440"/>
        </w:trPr>
        <w:tc>
          <w:tcPr>
            <w:tcW w:w="1200" w:type="dxa"/>
            <w:shd w:val="clear" w:color="auto" w:fill="C4EFCE"/>
            <w:vAlign w:val="center"/>
            <w:hideMark/>
          </w:tcPr>
          <w:p w14:paraId="2A803BC2" w14:textId="77777777" w:rsidR="00776A1F" w:rsidRDefault="00D8574B">
            <w:pPr>
              <w:pStyle w:val="P68B1DB1-Normal23"/>
              <w:spacing w:after="0"/>
              <w:jc w:val="center"/>
              <w:rPr>
                <w:rFonts w:eastAsia="Calibri" w:cs="Calibri"/>
                <w:noProof/>
              </w:rPr>
            </w:pPr>
            <w:r>
              <w:rPr>
                <w:noProof/>
              </w:rPr>
              <w:t>7.2</w:t>
            </w:r>
          </w:p>
        </w:tc>
        <w:tc>
          <w:tcPr>
            <w:tcW w:w="1760" w:type="dxa"/>
            <w:shd w:val="clear" w:color="auto" w:fill="C4EFCE"/>
            <w:vAlign w:val="center"/>
            <w:hideMark/>
          </w:tcPr>
          <w:p w14:paraId="148139C0" w14:textId="77777777" w:rsidR="00776A1F" w:rsidRDefault="00D8574B">
            <w:pPr>
              <w:pStyle w:val="P68B1DB1-Normal23"/>
              <w:spacing w:after="0"/>
              <w:jc w:val="center"/>
              <w:rPr>
                <w:rFonts w:eastAsia="Calibri" w:cs="Calibri"/>
                <w:noProof/>
              </w:rPr>
            </w:pPr>
            <w:r>
              <w:rPr>
                <w:noProof/>
              </w:rPr>
              <w:t>Re-C07-i00</w:t>
            </w:r>
          </w:p>
        </w:tc>
        <w:tc>
          <w:tcPr>
            <w:tcW w:w="1520" w:type="dxa"/>
            <w:shd w:val="clear" w:color="auto" w:fill="C4EFCE"/>
            <w:vAlign w:val="center"/>
            <w:hideMark/>
          </w:tcPr>
          <w:p w14:paraId="3C913E09"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B05BD75" w14:textId="4917198F" w:rsidR="00776A1F" w:rsidRDefault="00D8574B">
            <w:pPr>
              <w:pStyle w:val="P68B1DB1-Normal23"/>
              <w:spacing w:after="0"/>
              <w:jc w:val="both"/>
              <w:rPr>
                <w:rFonts w:eastAsia="Calibri" w:cs="Calibri"/>
                <w:noProof/>
              </w:rPr>
            </w:pPr>
            <w:r>
              <w:rPr>
                <w:noProof/>
              </w:rPr>
              <w:t>Publiski pieejami elektrotransportlīdzekļu uzlādes punkti</w:t>
            </w:r>
          </w:p>
        </w:tc>
      </w:tr>
      <w:tr w:rsidR="00776A1F" w14:paraId="409538B8" w14:textId="77777777">
        <w:trPr>
          <w:trHeight w:val="440"/>
        </w:trPr>
        <w:tc>
          <w:tcPr>
            <w:tcW w:w="1200" w:type="dxa"/>
            <w:shd w:val="clear" w:color="auto" w:fill="C4EFCE"/>
            <w:vAlign w:val="center"/>
            <w:hideMark/>
          </w:tcPr>
          <w:p w14:paraId="7AD48D83" w14:textId="77777777" w:rsidR="00776A1F" w:rsidRDefault="00D8574B">
            <w:pPr>
              <w:pStyle w:val="P68B1DB1-Normal23"/>
              <w:spacing w:after="0"/>
              <w:jc w:val="center"/>
              <w:rPr>
                <w:rFonts w:eastAsia="Calibri" w:cs="Calibri"/>
                <w:noProof/>
              </w:rPr>
            </w:pPr>
            <w:r>
              <w:rPr>
                <w:noProof/>
              </w:rPr>
              <w:t>8.13</w:t>
            </w:r>
          </w:p>
        </w:tc>
        <w:tc>
          <w:tcPr>
            <w:tcW w:w="1760" w:type="dxa"/>
            <w:shd w:val="clear" w:color="auto" w:fill="C4EFCE"/>
            <w:vAlign w:val="center"/>
            <w:hideMark/>
          </w:tcPr>
          <w:p w14:paraId="4745E4E8" w14:textId="77777777" w:rsidR="00776A1F" w:rsidRDefault="00D8574B">
            <w:pPr>
              <w:pStyle w:val="P68B1DB1-Normal23"/>
              <w:spacing w:after="0"/>
              <w:jc w:val="center"/>
              <w:rPr>
                <w:rFonts w:eastAsia="Calibri" w:cs="Calibri"/>
                <w:noProof/>
              </w:rPr>
            </w:pPr>
            <w:r>
              <w:rPr>
                <w:noProof/>
              </w:rPr>
              <w:t>Re-C08-i05</w:t>
            </w:r>
          </w:p>
        </w:tc>
        <w:tc>
          <w:tcPr>
            <w:tcW w:w="1520" w:type="dxa"/>
            <w:shd w:val="clear" w:color="auto" w:fill="C4EFCE"/>
            <w:vAlign w:val="center"/>
            <w:hideMark/>
          </w:tcPr>
          <w:p w14:paraId="5F6B7E1B"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9D1CC3E" w14:textId="77777777" w:rsidR="00776A1F" w:rsidRDefault="00D8574B">
            <w:pPr>
              <w:pStyle w:val="P68B1DB1-Normal23"/>
              <w:spacing w:after="0"/>
              <w:jc w:val="both"/>
              <w:rPr>
                <w:rFonts w:eastAsia="Calibri" w:cs="Calibri"/>
                <w:noProof/>
              </w:rPr>
            </w:pPr>
            <w:r>
              <w:rPr>
                <w:noProof/>
              </w:rPr>
              <w:t>Iekšlietu ministrijas (MAI) struktūru stiprināšana ar transportlīdzekļiem un darba aprīkojumu</w:t>
            </w:r>
          </w:p>
        </w:tc>
      </w:tr>
      <w:tr w:rsidR="00776A1F" w14:paraId="46442EA5" w14:textId="77777777">
        <w:trPr>
          <w:trHeight w:val="440"/>
        </w:trPr>
        <w:tc>
          <w:tcPr>
            <w:tcW w:w="1200" w:type="dxa"/>
            <w:shd w:val="clear" w:color="auto" w:fill="C4EFCE"/>
            <w:vAlign w:val="center"/>
            <w:hideMark/>
          </w:tcPr>
          <w:p w14:paraId="37ADCEA6" w14:textId="77777777" w:rsidR="00776A1F" w:rsidRDefault="00D8574B">
            <w:pPr>
              <w:pStyle w:val="P68B1DB1-Normal23"/>
              <w:spacing w:after="0"/>
              <w:jc w:val="center"/>
              <w:rPr>
                <w:rFonts w:eastAsia="Calibri" w:cs="Calibri"/>
                <w:noProof/>
              </w:rPr>
            </w:pPr>
            <w:r>
              <w:rPr>
                <w:noProof/>
              </w:rPr>
              <w:t>9.1</w:t>
            </w:r>
          </w:p>
        </w:tc>
        <w:tc>
          <w:tcPr>
            <w:tcW w:w="1760" w:type="dxa"/>
            <w:shd w:val="clear" w:color="auto" w:fill="C4EFCE"/>
            <w:vAlign w:val="center"/>
            <w:hideMark/>
          </w:tcPr>
          <w:p w14:paraId="21DD8E0C" w14:textId="77777777" w:rsidR="00776A1F" w:rsidRDefault="00D8574B">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4B9F30BC"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51D75FD" w14:textId="77777777" w:rsidR="00776A1F" w:rsidRDefault="00D8574B">
            <w:pPr>
              <w:pStyle w:val="P68B1DB1-Normal23"/>
              <w:spacing w:after="0"/>
              <w:jc w:val="both"/>
              <w:rPr>
                <w:rFonts w:eastAsia="Calibri" w:cs="Calibri"/>
                <w:noProof/>
              </w:rPr>
            </w:pPr>
            <w:r>
              <w:rPr>
                <w:noProof/>
              </w:rPr>
              <w:t>Uzstādīto gruntsūdeņu resursu papildu monitoringa punkti (SM3)</w:t>
            </w:r>
          </w:p>
        </w:tc>
      </w:tr>
      <w:tr w:rsidR="00776A1F" w14:paraId="19B5815B" w14:textId="77777777">
        <w:trPr>
          <w:trHeight w:val="440"/>
        </w:trPr>
        <w:tc>
          <w:tcPr>
            <w:tcW w:w="1200" w:type="dxa"/>
            <w:shd w:val="clear" w:color="auto" w:fill="C4EFCE"/>
            <w:vAlign w:val="center"/>
            <w:hideMark/>
          </w:tcPr>
          <w:p w14:paraId="40BE5193" w14:textId="77777777" w:rsidR="00776A1F" w:rsidRDefault="00D8574B">
            <w:pPr>
              <w:pStyle w:val="P68B1DB1-Normal23"/>
              <w:spacing w:after="0"/>
              <w:jc w:val="center"/>
              <w:rPr>
                <w:rFonts w:eastAsia="Calibri" w:cs="Calibri"/>
                <w:noProof/>
              </w:rPr>
            </w:pPr>
            <w:r>
              <w:rPr>
                <w:noProof/>
              </w:rPr>
              <w:t>9.5</w:t>
            </w:r>
          </w:p>
        </w:tc>
        <w:tc>
          <w:tcPr>
            <w:tcW w:w="1760" w:type="dxa"/>
            <w:shd w:val="clear" w:color="auto" w:fill="C4EFCE"/>
            <w:vAlign w:val="center"/>
            <w:hideMark/>
          </w:tcPr>
          <w:p w14:paraId="604C41E0" w14:textId="77777777" w:rsidR="00776A1F" w:rsidRDefault="00D8574B">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68882788"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A618198" w14:textId="77777777" w:rsidR="00776A1F" w:rsidRDefault="00D8574B">
            <w:pPr>
              <w:pStyle w:val="P68B1DB1-Normal23"/>
              <w:spacing w:after="0"/>
              <w:jc w:val="both"/>
              <w:rPr>
                <w:rFonts w:eastAsia="Calibri" w:cs="Calibri"/>
                <w:noProof/>
              </w:rPr>
            </w:pPr>
            <w:r>
              <w:rPr>
                <w:noProof/>
              </w:rPr>
              <w:t>Atjaunināta projekta pieņemšana (ja vajadzīgs) pasākumam par ieguvi Guadiana, pilnībā iekļaujot visus ietekmes uz vidi novērtējuma (SM5) rezultātus un nosacījumus</w:t>
            </w:r>
          </w:p>
        </w:tc>
      </w:tr>
      <w:tr w:rsidR="00776A1F" w14:paraId="61BA2CC6" w14:textId="77777777">
        <w:trPr>
          <w:trHeight w:val="440"/>
        </w:trPr>
        <w:tc>
          <w:tcPr>
            <w:tcW w:w="1200" w:type="dxa"/>
            <w:shd w:val="clear" w:color="auto" w:fill="C4EFCE"/>
            <w:vAlign w:val="center"/>
            <w:hideMark/>
          </w:tcPr>
          <w:p w14:paraId="6330516E" w14:textId="77777777" w:rsidR="00776A1F" w:rsidRDefault="00D8574B">
            <w:pPr>
              <w:pStyle w:val="P68B1DB1-Normal23"/>
              <w:spacing w:after="0"/>
              <w:jc w:val="center"/>
              <w:rPr>
                <w:rFonts w:eastAsia="Calibri" w:cs="Calibri"/>
                <w:noProof/>
              </w:rPr>
            </w:pPr>
            <w:r>
              <w:rPr>
                <w:noProof/>
              </w:rPr>
              <w:t>9.7</w:t>
            </w:r>
          </w:p>
        </w:tc>
        <w:tc>
          <w:tcPr>
            <w:tcW w:w="1760" w:type="dxa"/>
            <w:shd w:val="clear" w:color="auto" w:fill="C4EFCE"/>
            <w:vAlign w:val="center"/>
            <w:hideMark/>
          </w:tcPr>
          <w:p w14:paraId="4FB0CCD7" w14:textId="77777777" w:rsidR="00776A1F" w:rsidRDefault="00D8574B">
            <w:pPr>
              <w:pStyle w:val="P68B1DB1-Normal23"/>
              <w:spacing w:after="0"/>
              <w:jc w:val="center"/>
              <w:rPr>
                <w:rFonts w:eastAsia="Calibri" w:cs="Calibri"/>
                <w:noProof/>
              </w:rPr>
            </w:pPr>
            <w:r>
              <w:rPr>
                <w:noProof/>
              </w:rPr>
              <w:t xml:space="preserve">Re-C09-i01  </w:t>
            </w:r>
          </w:p>
        </w:tc>
        <w:tc>
          <w:tcPr>
            <w:tcW w:w="1520" w:type="dxa"/>
            <w:shd w:val="clear" w:color="auto" w:fill="C4EFCE"/>
            <w:vAlign w:val="center"/>
            <w:hideMark/>
          </w:tcPr>
          <w:p w14:paraId="4CAF32D0"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83D462D" w14:textId="77777777" w:rsidR="00776A1F" w:rsidRDefault="00D8574B">
            <w:pPr>
              <w:pStyle w:val="P68B1DB1-Normal23"/>
              <w:spacing w:after="0"/>
              <w:jc w:val="both"/>
              <w:rPr>
                <w:rFonts w:eastAsia="Calibri" w:cs="Calibri"/>
                <w:noProof/>
              </w:rPr>
            </w:pPr>
            <w:r>
              <w:rPr>
                <w:noProof/>
              </w:rPr>
              <w:t>Atjaunināta atsāļošanas pasākuma projekta pieņemšana (ja vajadzīgs), pilnībā iekļaujot visus ietekmes uz vidi novērtējuma (SM6) rezultātus un nosacījumus</w:t>
            </w:r>
          </w:p>
        </w:tc>
      </w:tr>
      <w:tr w:rsidR="00776A1F" w14:paraId="0AB93700" w14:textId="77777777">
        <w:trPr>
          <w:trHeight w:val="440"/>
        </w:trPr>
        <w:tc>
          <w:tcPr>
            <w:tcW w:w="1200" w:type="dxa"/>
            <w:shd w:val="clear" w:color="auto" w:fill="C4EFCE"/>
            <w:vAlign w:val="center"/>
            <w:hideMark/>
          </w:tcPr>
          <w:p w14:paraId="3E548EA8" w14:textId="77777777" w:rsidR="00776A1F" w:rsidRDefault="00D8574B">
            <w:pPr>
              <w:pStyle w:val="P68B1DB1-Normal23"/>
              <w:spacing w:after="0"/>
              <w:jc w:val="center"/>
              <w:rPr>
                <w:rFonts w:eastAsia="Calibri" w:cs="Calibri"/>
                <w:noProof/>
              </w:rPr>
            </w:pPr>
            <w:r>
              <w:rPr>
                <w:noProof/>
              </w:rPr>
              <w:t>10.15</w:t>
            </w:r>
          </w:p>
        </w:tc>
        <w:tc>
          <w:tcPr>
            <w:tcW w:w="1760" w:type="dxa"/>
            <w:shd w:val="clear" w:color="auto" w:fill="C4EFCE"/>
            <w:vAlign w:val="center"/>
            <w:hideMark/>
          </w:tcPr>
          <w:p w14:paraId="4CF19DFE" w14:textId="77777777" w:rsidR="00776A1F" w:rsidRDefault="00D8574B">
            <w:pPr>
              <w:pStyle w:val="P68B1DB1-Normal23"/>
              <w:spacing w:after="0"/>
              <w:jc w:val="center"/>
              <w:rPr>
                <w:rFonts w:eastAsia="Calibri" w:cs="Calibri"/>
                <w:noProof/>
              </w:rPr>
            </w:pPr>
            <w:r>
              <w:rPr>
                <w:noProof/>
              </w:rPr>
              <w:t>TC-C10-i06-RAM</w:t>
            </w:r>
          </w:p>
        </w:tc>
        <w:tc>
          <w:tcPr>
            <w:tcW w:w="1520" w:type="dxa"/>
            <w:shd w:val="clear" w:color="auto" w:fill="C4EFCE"/>
            <w:vAlign w:val="center"/>
            <w:hideMark/>
          </w:tcPr>
          <w:p w14:paraId="6C4706BE"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BDA8F52" w14:textId="77777777" w:rsidR="00776A1F" w:rsidRDefault="00D8574B">
            <w:pPr>
              <w:pStyle w:val="P68B1DB1-Normal23"/>
              <w:spacing w:after="0"/>
              <w:jc w:val="both"/>
              <w:rPr>
                <w:rFonts w:eastAsia="Calibri" w:cs="Calibri"/>
                <w:noProof/>
              </w:rPr>
            </w:pPr>
            <w:r>
              <w:rPr>
                <w:noProof/>
              </w:rPr>
              <w:t>Divu autonomu bezpilota transportlīdzekļu piegāde</w:t>
            </w:r>
          </w:p>
        </w:tc>
      </w:tr>
      <w:tr w:rsidR="00776A1F" w14:paraId="0980B6CB" w14:textId="77777777">
        <w:trPr>
          <w:trHeight w:val="440"/>
        </w:trPr>
        <w:tc>
          <w:tcPr>
            <w:tcW w:w="1200" w:type="dxa"/>
            <w:shd w:val="clear" w:color="auto" w:fill="C4EFCE"/>
            <w:vAlign w:val="center"/>
            <w:hideMark/>
          </w:tcPr>
          <w:p w14:paraId="7E7FB85D" w14:textId="77777777" w:rsidR="00776A1F" w:rsidRDefault="00D8574B">
            <w:pPr>
              <w:pStyle w:val="P68B1DB1-Normal23"/>
              <w:spacing w:after="0"/>
              <w:jc w:val="center"/>
              <w:rPr>
                <w:rFonts w:eastAsia="Calibri" w:cs="Calibri"/>
                <w:noProof/>
              </w:rPr>
            </w:pPr>
            <w:r>
              <w:rPr>
                <w:noProof/>
              </w:rPr>
              <w:t>14.4</w:t>
            </w:r>
          </w:p>
        </w:tc>
        <w:tc>
          <w:tcPr>
            <w:tcW w:w="1760" w:type="dxa"/>
            <w:shd w:val="clear" w:color="auto" w:fill="C4EFCE"/>
            <w:vAlign w:val="center"/>
            <w:hideMark/>
          </w:tcPr>
          <w:p w14:paraId="04D0BEED" w14:textId="77777777" w:rsidR="00776A1F" w:rsidRDefault="00D8574B">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57393661"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8E80E7D" w14:textId="77777777" w:rsidR="00776A1F" w:rsidRDefault="00D8574B">
            <w:pPr>
              <w:pStyle w:val="P68B1DB1-Normal23"/>
              <w:spacing w:after="0"/>
              <w:jc w:val="both"/>
              <w:rPr>
                <w:rFonts w:eastAsia="Calibri" w:cs="Calibri"/>
                <w:noProof/>
              </w:rPr>
            </w:pPr>
            <w:r>
              <w:rPr>
                <w:noProof/>
              </w:rPr>
              <w:t>Jauna sinhronā kompensatora uzstādīšana</w:t>
            </w:r>
          </w:p>
        </w:tc>
      </w:tr>
      <w:tr w:rsidR="00776A1F" w14:paraId="5A41BED8" w14:textId="77777777">
        <w:trPr>
          <w:trHeight w:val="440"/>
        </w:trPr>
        <w:tc>
          <w:tcPr>
            <w:tcW w:w="1200" w:type="dxa"/>
            <w:shd w:val="clear" w:color="auto" w:fill="C4EFCE"/>
            <w:vAlign w:val="center"/>
            <w:hideMark/>
          </w:tcPr>
          <w:p w14:paraId="29F13402" w14:textId="77777777" w:rsidR="00776A1F" w:rsidRDefault="00D8574B">
            <w:pPr>
              <w:pStyle w:val="P68B1DB1-Normal23"/>
              <w:spacing w:after="0"/>
              <w:jc w:val="center"/>
              <w:rPr>
                <w:rFonts w:eastAsia="Calibri" w:cs="Calibri"/>
                <w:noProof/>
              </w:rPr>
            </w:pPr>
            <w:r>
              <w:rPr>
                <w:noProof/>
              </w:rPr>
              <w:t>14.6</w:t>
            </w:r>
          </w:p>
        </w:tc>
        <w:tc>
          <w:tcPr>
            <w:tcW w:w="1760" w:type="dxa"/>
            <w:shd w:val="clear" w:color="auto" w:fill="C4EFCE"/>
            <w:vAlign w:val="center"/>
            <w:hideMark/>
          </w:tcPr>
          <w:p w14:paraId="2564F54A" w14:textId="77777777" w:rsidR="00776A1F" w:rsidRDefault="00D8574B">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2D22D314"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C086CC6" w14:textId="77777777" w:rsidR="00776A1F" w:rsidRDefault="00D8574B">
            <w:pPr>
              <w:pStyle w:val="P68B1DB1-Normal23"/>
              <w:spacing w:after="0"/>
              <w:jc w:val="both"/>
              <w:rPr>
                <w:rFonts w:eastAsia="Calibri" w:cs="Calibri"/>
                <w:noProof/>
              </w:rPr>
            </w:pPr>
            <w:r>
              <w:rPr>
                <w:noProof/>
              </w:rPr>
              <w:t>Atjaunotā uzstādītā hidroenerģijas ražošanas jauda</w:t>
            </w:r>
          </w:p>
        </w:tc>
      </w:tr>
      <w:tr w:rsidR="00776A1F" w14:paraId="67DAD308" w14:textId="77777777">
        <w:trPr>
          <w:trHeight w:val="440"/>
        </w:trPr>
        <w:tc>
          <w:tcPr>
            <w:tcW w:w="1200" w:type="dxa"/>
            <w:shd w:val="clear" w:color="auto" w:fill="C4EFCE"/>
            <w:vAlign w:val="center"/>
            <w:hideMark/>
          </w:tcPr>
          <w:p w14:paraId="27435949" w14:textId="77777777" w:rsidR="00776A1F" w:rsidRDefault="00D8574B">
            <w:pPr>
              <w:pStyle w:val="P68B1DB1-Normal23"/>
              <w:spacing w:after="0"/>
              <w:jc w:val="center"/>
              <w:rPr>
                <w:rFonts w:eastAsia="Calibri" w:cs="Calibri"/>
                <w:noProof/>
              </w:rPr>
            </w:pPr>
            <w:r>
              <w:rPr>
                <w:noProof/>
              </w:rPr>
              <w:t>14.7</w:t>
            </w:r>
          </w:p>
        </w:tc>
        <w:tc>
          <w:tcPr>
            <w:tcW w:w="1760" w:type="dxa"/>
            <w:shd w:val="clear" w:color="auto" w:fill="C4EFCE"/>
            <w:vAlign w:val="center"/>
            <w:hideMark/>
          </w:tcPr>
          <w:p w14:paraId="5DC4FFD0" w14:textId="77777777" w:rsidR="00776A1F" w:rsidRDefault="00D8574B">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6996B48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98F423" w14:textId="77777777" w:rsidR="00776A1F" w:rsidRDefault="00D8574B">
            <w:pPr>
              <w:pStyle w:val="P68B1DB1-Normal23"/>
              <w:spacing w:after="0"/>
              <w:jc w:val="both"/>
              <w:rPr>
                <w:rFonts w:eastAsia="Calibri" w:cs="Calibri"/>
                <w:noProof/>
              </w:rPr>
            </w:pPr>
            <w:r>
              <w:rPr>
                <w:noProof/>
              </w:rPr>
              <w:t>Papildu uzstādītā jauda akumulatoru uzkrāšanas sistēmā</w:t>
            </w:r>
          </w:p>
        </w:tc>
      </w:tr>
      <w:tr w:rsidR="00776A1F" w14:paraId="33AF3466" w14:textId="77777777">
        <w:trPr>
          <w:trHeight w:val="440"/>
        </w:trPr>
        <w:tc>
          <w:tcPr>
            <w:tcW w:w="1200" w:type="dxa"/>
            <w:shd w:val="clear" w:color="auto" w:fill="C4EFCE"/>
            <w:vAlign w:val="center"/>
            <w:hideMark/>
          </w:tcPr>
          <w:p w14:paraId="50DEBE76" w14:textId="77777777" w:rsidR="00776A1F" w:rsidRDefault="00D8574B">
            <w:pPr>
              <w:pStyle w:val="P68B1DB1-Normal23"/>
              <w:spacing w:after="0"/>
              <w:jc w:val="center"/>
              <w:rPr>
                <w:rFonts w:eastAsia="Calibri" w:cs="Calibri"/>
                <w:noProof/>
              </w:rPr>
            </w:pPr>
            <w:r>
              <w:rPr>
                <w:noProof/>
              </w:rPr>
              <w:t>15.5</w:t>
            </w:r>
          </w:p>
        </w:tc>
        <w:tc>
          <w:tcPr>
            <w:tcW w:w="1760" w:type="dxa"/>
            <w:shd w:val="clear" w:color="auto" w:fill="C4EFCE"/>
            <w:vAlign w:val="center"/>
            <w:hideMark/>
          </w:tcPr>
          <w:p w14:paraId="0C3D8592" w14:textId="77777777" w:rsidR="00776A1F" w:rsidRDefault="00D8574B">
            <w:pPr>
              <w:pStyle w:val="P68B1DB1-Normal23"/>
              <w:spacing w:after="0"/>
              <w:jc w:val="center"/>
              <w:rPr>
                <w:rFonts w:eastAsia="Calibri" w:cs="Calibri"/>
                <w:noProof/>
              </w:rPr>
            </w:pPr>
            <w:r>
              <w:rPr>
                <w:noProof/>
              </w:rPr>
              <w:t>TC-C15-i02</w:t>
            </w:r>
          </w:p>
        </w:tc>
        <w:tc>
          <w:tcPr>
            <w:tcW w:w="1520" w:type="dxa"/>
            <w:shd w:val="clear" w:color="auto" w:fill="C4EFCE"/>
            <w:vAlign w:val="center"/>
            <w:hideMark/>
          </w:tcPr>
          <w:p w14:paraId="2F39D734"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901C353" w14:textId="77777777" w:rsidR="00776A1F" w:rsidRDefault="00D8574B">
            <w:pPr>
              <w:pStyle w:val="P68B1DB1-Normal23"/>
              <w:spacing w:after="0"/>
              <w:jc w:val="both"/>
              <w:rPr>
                <w:rFonts w:eastAsia="Calibri" w:cs="Calibri"/>
                <w:noProof/>
              </w:rPr>
            </w:pPr>
            <w:r>
              <w:rPr>
                <w:noProof/>
              </w:rPr>
              <w:t>Progresa ziņojums par Porto Metro tīkla paplašināšanu</w:t>
            </w:r>
          </w:p>
        </w:tc>
      </w:tr>
      <w:tr w:rsidR="00776A1F" w14:paraId="7CD1B8EB" w14:textId="77777777">
        <w:trPr>
          <w:trHeight w:val="440"/>
        </w:trPr>
        <w:tc>
          <w:tcPr>
            <w:tcW w:w="1200" w:type="dxa"/>
            <w:shd w:val="clear" w:color="auto" w:fill="C4EFCE"/>
            <w:vAlign w:val="center"/>
            <w:hideMark/>
          </w:tcPr>
          <w:p w14:paraId="637A0073" w14:textId="77777777" w:rsidR="00776A1F" w:rsidRDefault="00D8574B">
            <w:pPr>
              <w:pStyle w:val="P68B1DB1-Normal23"/>
              <w:spacing w:after="0"/>
              <w:jc w:val="center"/>
              <w:rPr>
                <w:rFonts w:eastAsia="Calibri" w:cs="Calibri"/>
                <w:noProof/>
              </w:rPr>
            </w:pPr>
            <w:r>
              <w:rPr>
                <w:noProof/>
              </w:rPr>
              <w:t>15.11</w:t>
            </w:r>
          </w:p>
        </w:tc>
        <w:tc>
          <w:tcPr>
            <w:tcW w:w="1760" w:type="dxa"/>
            <w:shd w:val="clear" w:color="auto" w:fill="C4EFCE"/>
            <w:vAlign w:val="center"/>
            <w:hideMark/>
          </w:tcPr>
          <w:p w14:paraId="5A701BFC" w14:textId="77777777" w:rsidR="00776A1F" w:rsidRDefault="00D8574B">
            <w:pPr>
              <w:pStyle w:val="P68B1DB1-Normal23"/>
              <w:spacing w:after="0"/>
              <w:jc w:val="center"/>
              <w:rPr>
                <w:rFonts w:eastAsia="Calibri" w:cs="Calibri"/>
                <w:noProof/>
              </w:rPr>
            </w:pPr>
            <w:r>
              <w:rPr>
                <w:noProof/>
              </w:rPr>
              <w:t>TC-C15-i04</w:t>
            </w:r>
          </w:p>
        </w:tc>
        <w:tc>
          <w:tcPr>
            <w:tcW w:w="1520" w:type="dxa"/>
            <w:shd w:val="clear" w:color="auto" w:fill="C4EFCE"/>
            <w:vAlign w:val="center"/>
            <w:hideMark/>
          </w:tcPr>
          <w:p w14:paraId="19EE7515"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0E54A2" w14:textId="77777777" w:rsidR="00776A1F" w:rsidRDefault="00D8574B">
            <w:pPr>
              <w:pStyle w:val="P68B1DB1-Normal23"/>
              <w:spacing w:after="0"/>
              <w:jc w:val="both"/>
              <w:rPr>
                <w:rFonts w:eastAsia="Calibri" w:cs="Calibri"/>
                <w:noProof/>
              </w:rPr>
            </w:pPr>
            <w:r>
              <w:rPr>
                <w:noProof/>
              </w:rPr>
              <w:t>Pabeigta Bus ātrās tranzīta līnijas būvniecība starp Praça do Império un Praça Albuquerque Mouzinho Porto</w:t>
            </w:r>
          </w:p>
        </w:tc>
      </w:tr>
      <w:tr w:rsidR="00776A1F" w14:paraId="2779212F" w14:textId="77777777">
        <w:trPr>
          <w:trHeight w:val="440"/>
        </w:trPr>
        <w:tc>
          <w:tcPr>
            <w:tcW w:w="1200" w:type="dxa"/>
            <w:shd w:val="clear" w:color="auto" w:fill="C4EFCE"/>
            <w:vAlign w:val="center"/>
            <w:hideMark/>
          </w:tcPr>
          <w:p w14:paraId="14B00922" w14:textId="77777777" w:rsidR="00776A1F" w:rsidRDefault="00D8574B">
            <w:pPr>
              <w:pStyle w:val="P68B1DB1-Normal23"/>
              <w:spacing w:after="0"/>
              <w:jc w:val="center"/>
              <w:rPr>
                <w:rFonts w:eastAsia="Calibri" w:cs="Calibri"/>
                <w:noProof/>
              </w:rPr>
            </w:pPr>
            <w:r>
              <w:rPr>
                <w:noProof/>
              </w:rPr>
              <w:t>15.15</w:t>
            </w:r>
          </w:p>
        </w:tc>
        <w:tc>
          <w:tcPr>
            <w:tcW w:w="1760" w:type="dxa"/>
            <w:shd w:val="clear" w:color="auto" w:fill="C4EFCE"/>
            <w:vAlign w:val="center"/>
            <w:hideMark/>
          </w:tcPr>
          <w:p w14:paraId="405B1745" w14:textId="77777777" w:rsidR="00776A1F" w:rsidRDefault="00D8574B">
            <w:pPr>
              <w:pStyle w:val="P68B1DB1-Normal23"/>
              <w:spacing w:after="0"/>
              <w:jc w:val="center"/>
              <w:rPr>
                <w:rFonts w:eastAsia="Calibri" w:cs="Calibri"/>
                <w:noProof/>
              </w:rPr>
            </w:pPr>
            <w:r>
              <w:rPr>
                <w:noProof/>
              </w:rPr>
              <w:t>TC-C15-i06</w:t>
            </w:r>
          </w:p>
        </w:tc>
        <w:tc>
          <w:tcPr>
            <w:tcW w:w="1520" w:type="dxa"/>
            <w:shd w:val="clear" w:color="auto" w:fill="C4EFCE"/>
            <w:vAlign w:val="center"/>
            <w:hideMark/>
          </w:tcPr>
          <w:p w14:paraId="01989B92"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94D9EC" w14:textId="77777777" w:rsidR="00776A1F" w:rsidRDefault="00D8574B">
            <w:pPr>
              <w:pStyle w:val="P68B1DB1-Normal23"/>
              <w:spacing w:after="0"/>
              <w:jc w:val="both"/>
              <w:rPr>
                <w:rFonts w:eastAsia="Calibri" w:cs="Calibri"/>
                <w:noProof/>
              </w:rPr>
            </w:pPr>
            <w:r>
              <w:rPr>
                <w:noProof/>
              </w:rPr>
              <w:t>Elektronisko signalizācijas sistēmu līguma parakstīšana</w:t>
            </w:r>
          </w:p>
        </w:tc>
      </w:tr>
      <w:tr w:rsidR="00776A1F" w14:paraId="56D38DB6" w14:textId="77777777">
        <w:trPr>
          <w:trHeight w:val="440"/>
        </w:trPr>
        <w:tc>
          <w:tcPr>
            <w:tcW w:w="1200" w:type="dxa"/>
            <w:shd w:val="clear" w:color="auto" w:fill="C4EFCE"/>
            <w:vAlign w:val="center"/>
            <w:hideMark/>
          </w:tcPr>
          <w:p w14:paraId="6CFABCF9" w14:textId="77777777" w:rsidR="00776A1F" w:rsidRDefault="00D8574B">
            <w:pPr>
              <w:pStyle w:val="P68B1DB1-Normal23"/>
              <w:spacing w:after="0"/>
              <w:jc w:val="center"/>
              <w:rPr>
                <w:rFonts w:eastAsia="Calibri" w:cs="Calibri"/>
                <w:noProof/>
              </w:rPr>
            </w:pPr>
            <w:r>
              <w:rPr>
                <w:noProof/>
              </w:rPr>
              <w:t>16.5</w:t>
            </w:r>
          </w:p>
        </w:tc>
        <w:tc>
          <w:tcPr>
            <w:tcW w:w="1760" w:type="dxa"/>
            <w:shd w:val="clear" w:color="auto" w:fill="C4EFCE"/>
            <w:vAlign w:val="center"/>
            <w:hideMark/>
          </w:tcPr>
          <w:p w14:paraId="6A307F6F" w14:textId="77777777" w:rsidR="00776A1F" w:rsidRDefault="00D8574B">
            <w:pPr>
              <w:pStyle w:val="P68B1DB1-Normal23"/>
              <w:spacing w:after="0"/>
              <w:jc w:val="center"/>
              <w:rPr>
                <w:rFonts w:eastAsia="Calibri" w:cs="Calibri"/>
                <w:noProof/>
              </w:rPr>
            </w:pPr>
            <w:r>
              <w:rPr>
                <w:noProof/>
              </w:rPr>
              <w:t>TD-C16-i02</w:t>
            </w:r>
          </w:p>
        </w:tc>
        <w:tc>
          <w:tcPr>
            <w:tcW w:w="1520" w:type="dxa"/>
            <w:shd w:val="clear" w:color="auto" w:fill="C4EFCE"/>
            <w:vAlign w:val="center"/>
            <w:hideMark/>
          </w:tcPr>
          <w:p w14:paraId="6195C394"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97CE114" w14:textId="77777777" w:rsidR="00776A1F" w:rsidRDefault="00D8574B">
            <w:pPr>
              <w:pStyle w:val="P68B1DB1-Normal23"/>
              <w:spacing w:after="0"/>
              <w:jc w:val="both"/>
              <w:rPr>
                <w:rFonts w:eastAsia="Calibri" w:cs="Calibri"/>
                <w:noProof/>
              </w:rPr>
            </w:pPr>
            <w:r>
              <w:rPr>
                <w:noProof/>
              </w:rPr>
              <w:t>MVU, kurus atbalsta digitālās komercijas paātrinātāji</w:t>
            </w:r>
          </w:p>
        </w:tc>
      </w:tr>
      <w:tr w:rsidR="00776A1F" w14:paraId="56167A7A" w14:textId="77777777">
        <w:trPr>
          <w:trHeight w:val="440"/>
        </w:trPr>
        <w:tc>
          <w:tcPr>
            <w:tcW w:w="1200" w:type="dxa"/>
            <w:shd w:val="clear" w:color="auto" w:fill="C4EFCE"/>
            <w:vAlign w:val="center"/>
            <w:hideMark/>
          </w:tcPr>
          <w:p w14:paraId="0CF069F8" w14:textId="77777777" w:rsidR="00776A1F" w:rsidRDefault="00D8574B">
            <w:pPr>
              <w:pStyle w:val="P68B1DB1-Normal23"/>
              <w:spacing w:after="0"/>
              <w:jc w:val="center"/>
              <w:rPr>
                <w:rFonts w:eastAsia="Calibri" w:cs="Calibri"/>
                <w:noProof/>
              </w:rPr>
            </w:pPr>
            <w:r>
              <w:rPr>
                <w:noProof/>
              </w:rPr>
              <w:t>17.5</w:t>
            </w:r>
          </w:p>
        </w:tc>
        <w:tc>
          <w:tcPr>
            <w:tcW w:w="1760" w:type="dxa"/>
            <w:shd w:val="clear" w:color="auto" w:fill="C4EFCE"/>
            <w:vAlign w:val="center"/>
            <w:hideMark/>
          </w:tcPr>
          <w:p w14:paraId="7E1E0351" w14:textId="77777777" w:rsidR="00776A1F" w:rsidRDefault="00D8574B">
            <w:pPr>
              <w:pStyle w:val="P68B1DB1-Normal23"/>
              <w:spacing w:after="0"/>
              <w:jc w:val="center"/>
              <w:rPr>
                <w:rFonts w:eastAsia="Calibri" w:cs="Calibri"/>
                <w:noProof/>
              </w:rPr>
            </w:pPr>
            <w:r>
              <w:rPr>
                <w:noProof/>
              </w:rPr>
              <w:t>TD-C17-r32</w:t>
            </w:r>
          </w:p>
        </w:tc>
        <w:tc>
          <w:tcPr>
            <w:tcW w:w="1520" w:type="dxa"/>
            <w:shd w:val="clear" w:color="auto" w:fill="C4EFCE"/>
            <w:vAlign w:val="center"/>
            <w:hideMark/>
          </w:tcPr>
          <w:p w14:paraId="60722B6A"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6F87E6B" w14:textId="77777777" w:rsidR="00776A1F" w:rsidRDefault="00D8574B">
            <w:pPr>
              <w:pStyle w:val="P68B1DB1-Normal23"/>
              <w:spacing w:after="0"/>
              <w:jc w:val="both"/>
              <w:rPr>
                <w:rFonts w:eastAsia="Calibri" w:cs="Calibri"/>
                <w:noProof/>
              </w:rPr>
            </w:pPr>
            <w:r>
              <w:rPr>
                <w:noProof/>
              </w:rPr>
              <w:t>Mehānismu īstenošana, lai izdevumu pārskatus integrētu regulārajā budžeta procesā, tostarp efektivitātes ietaupījumu ex post novērtējumā</w:t>
            </w:r>
          </w:p>
        </w:tc>
      </w:tr>
      <w:tr w:rsidR="00776A1F" w14:paraId="17788C3A" w14:textId="77777777">
        <w:trPr>
          <w:trHeight w:val="440"/>
        </w:trPr>
        <w:tc>
          <w:tcPr>
            <w:tcW w:w="1200" w:type="dxa"/>
            <w:shd w:val="clear" w:color="auto" w:fill="C4EFCE"/>
            <w:vAlign w:val="center"/>
            <w:hideMark/>
          </w:tcPr>
          <w:p w14:paraId="37658F95" w14:textId="77777777" w:rsidR="00776A1F" w:rsidRDefault="00D8574B">
            <w:pPr>
              <w:pStyle w:val="P68B1DB1-Normal23"/>
              <w:spacing w:after="0"/>
              <w:jc w:val="center"/>
              <w:rPr>
                <w:rFonts w:eastAsia="Calibri" w:cs="Calibri"/>
                <w:noProof/>
              </w:rPr>
            </w:pPr>
            <w:r>
              <w:rPr>
                <w:noProof/>
              </w:rPr>
              <w:t>17.10</w:t>
            </w:r>
          </w:p>
        </w:tc>
        <w:tc>
          <w:tcPr>
            <w:tcW w:w="1760" w:type="dxa"/>
            <w:shd w:val="clear" w:color="auto" w:fill="C4EFCE"/>
            <w:vAlign w:val="center"/>
            <w:hideMark/>
          </w:tcPr>
          <w:p w14:paraId="4E422B3C" w14:textId="77777777" w:rsidR="00776A1F" w:rsidRDefault="00D8574B">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5B816A0C"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ECE329E" w14:textId="77777777" w:rsidR="00776A1F" w:rsidRDefault="00D8574B">
            <w:pPr>
              <w:pStyle w:val="P68B1DB1-Normal23"/>
              <w:spacing w:after="0"/>
              <w:jc w:val="both"/>
              <w:rPr>
                <w:rFonts w:eastAsia="Calibri" w:cs="Calibri"/>
                <w:noProof/>
              </w:rPr>
            </w:pPr>
            <w:r>
              <w:rPr>
                <w:noProof/>
              </w:rPr>
              <w:t>Informācijas sistēmas darbības uzsākšana budžeta procesa pārveidošanai un īstenošanai, iekļaujot programmas budžeta plānošanu</w:t>
            </w:r>
          </w:p>
        </w:tc>
      </w:tr>
      <w:tr w:rsidR="00776A1F" w14:paraId="7961C854" w14:textId="77777777">
        <w:trPr>
          <w:trHeight w:val="440"/>
        </w:trPr>
        <w:tc>
          <w:tcPr>
            <w:tcW w:w="1200" w:type="dxa"/>
            <w:shd w:val="clear" w:color="auto" w:fill="C4EFCE"/>
            <w:vAlign w:val="center"/>
            <w:hideMark/>
          </w:tcPr>
          <w:p w14:paraId="06A842B9" w14:textId="77777777" w:rsidR="00776A1F" w:rsidRDefault="00D8574B">
            <w:pPr>
              <w:pStyle w:val="P68B1DB1-Normal23"/>
              <w:spacing w:after="0"/>
              <w:jc w:val="center"/>
              <w:rPr>
                <w:rFonts w:eastAsia="Calibri" w:cs="Calibri"/>
                <w:noProof/>
              </w:rPr>
            </w:pPr>
            <w:r>
              <w:rPr>
                <w:noProof/>
              </w:rPr>
              <w:t>17.12</w:t>
            </w:r>
          </w:p>
        </w:tc>
        <w:tc>
          <w:tcPr>
            <w:tcW w:w="1760" w:type="dxa"/>
            <w:shd w:val="clear" w:color="auto" w:fill="C4EFCE"/>
            <w:vAlign w:val="center"/>
            <w:hideMark/>
          </w:tcPr>
          <w:p w14:paraId="001468C9" w14:textId="77777777" w:rsidR="00776A1F" w:rsidRDefault="00D8574B">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2A0495A0"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CECF438" w14:textId="77777777" w:rsidR="00776A1F" w:rsidRDefault="00D8574B">
            <w:pPr>
              <w:pStyle w:val="P68B1DB1-Normal23"/>
              <w:spacing w:after="0"/>
              <w:jc w:val="both"/>
              <w:rPr>
                <w:rFonts w:eastAsia="Calibri" w:cs="Calibri"/>
                <w:noProof/>
              </w:rPr>
            </w:pPr>
            <w:r>
              <w:rPr>
                <w:noProof/>
              </w:rPr>
              <w:t>Pabeigt valsts centrālās publiskā iepirkuma sistēmas informācijas sistēmu modernizāciju un vienkāršošanu</w:t>
            </w:r>
          </w:p>
        </w:tc>
      </w:tr>
      <w:tr w:rsidR="00776A1F" w14:paraId="3B8303FF" w14:textId="77777777">
        <w:trPr>
          <w:trHeight w:val="440"/>
        </w:trPr>
        <w:tc>
          <w:tcPr>
            <w:tcW w:w="1200" w:type="dxa"/>
            <w:shd w:val="clear" w:color="auto" w:fill="C4EFCE"/>
            <w:vAlign w:val="center"/>
            <w:hideMark/>
          </w:tcPr>
          <w:p w14:paraId="374F435D" w14:textId="77777777" w:rsidR="00776A1F" w:rsidRDefault="00D8574B">
            <w:pPr>
              <w:pStyle w:val="P68B1DB1-Normal23"/>
              <w:spacing w:after="0"/>
              <w:jc w:val="center"/>
              <w:rPr>
                <w:rFonts w:eastAsia="Calibri" w:cs="Calibri"/>
                <w:noProof/>
              </w:rPr>
            </w:pPr>
            <w:r>
              <w:rPr>
                <w:noProof/>
              </w:rPr>
              <w:t>19.14</w:t>
            </w:r>
          </w:p>
        </w:tc>
        <w:tc>
          <w:tcPr>
            <w:tcW w:w="1760" w:type="dxa"/>
            <w:shd w:val="clear" w:color="auto" w:fill="C4EFCE"/>
            <w:vAlign w:val="center"/>
            <w:hideMark/>
          </w:tcPr>
          <w:p w14:paraId="76D82292" w14:textId="77777777" w:rsidR="00776A1F" w:rsidRDefault="00D8574B">
            <w:pPr>
              <w:pStyle w:val="P68B1DB1-Normal23"/>
              <w:spacing w:after="0"/>
              <w:jc w:val="center"/>
              <w:rPr>
                <w:rFonts w:eastAsia="Calibri" w:cs="Calibri"/>
                <w:noProof/>
              </w:rPr>
            </w:pPr>
            <w:r>
              <w:rPr>
                <w:noProof/>
              </w:rPr>
              <w:t>TD-C19-i04</w:t>
            </w:r>
          </w:p>
        </w:tc>
        <w:tc>
          <w:tcPr>
            <w:tcW w:w="1520" w:type="dxa"/>
            <w:shd w:val="clear" w:color="auto" w:fill="C4EFCE"/>
            <w:vAlign w:val="center"/>
            <w:hideMark/>
          </w:tcPr>
          <w:p w14:paraId="5CB3286F"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0230BA8" w14:textId="77777777" w:rsidR="00776A1F" w:rsidRDefault="00D8574B">
            <w:pPr>
              <w:pStyle w:val="P68B1DB1-Normal23"/>
              <w:spacing w:after="0"/>
              <w:jc w:val="both"/>
              <w:rPr>
                <w:rFonts w:eastAsia="Calibri" w:cs="Calibri"/>
                <w:noProof/>
              </w:rPr>
            </w:pPr>
            <w:r>
              <w:rPr>
                <w:noProof/>
              </w:rPr>
              <w:t>Drošības spēku un pakalpojumu IT sistēmas modernizācija</w:t>
            </w:r>
          </w:p>
        </w:tc>
      </w:tr>
      <w:tr w:rsidR="00776A1F" w14:paraId="388D9F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C3D30EB" w14:textId="77777777" w:rsidR="00776A1F" w:rsidRDefault="00D8574B">
            <w:pPr>
              <w:pStyle w:val="P68B1DB1-Normal23"/>
              <w:spacing w:after="0"/>
              <w:jc w:val="center"/>
              <w:rPr>
                <w:rFonts w:eastAsia="Calibri" w:cs="Calibri"/>
                <w:noProof/>
              </w:rPr>
            </w:pPr>
            <w:r>
              <w:rPr>
                <w:noProof/>
              </w:rPr>
              <w:t>19.25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28A74B2" w14:textId="77777777" w:rsidR="00776A1F" w:rsidRDefault="00D8574B">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4ABBBE3" w14:textId="77777777" w:rsidR="00776A1F" w:rsidRDefault="00D8574B">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B53CA88" w14:textId="79A90FE7" w:rsidR="00776A1F" w:rsidRDefault="00D8574B">
            <w:pPr>
              <w:pStyle w:val="P68B1DB1-Normal23"/>
              <w:spacing w:after="0"/>
              <w:jc w:val="both"/>
              <w:rPr>
                <w:rFonts w:eastAsia="Calibri" w:cs="Calibri"/>
                <w:noProof/>
              </w:rPr>
            </w:pPr>
            <w:r>
              <w:rPr>
                <w:noProof/>
              </w:rPr>
              <w:t>Prototipu parakstīšana jaunu iedzīvotāju veikalu un iedzīvotāju telpu izveidei</w:t>
            </w:r>
          </w:p>
        </w:tc>
      </w:tr>
      <w:tr w:rsidR="00776A1F" w14:paraId="355D6EE4" w14:textId="77777777">
        <w:trPr>
          <w:trHeight w:val="440"/>
        </w:trPr>
        <w:tc>
          <w:tcPr>
            <w:tcW w:w="1200" w:type="dxa"/>
            <w:shd w:val="clear" w:color="auto" w:fill="C4EFCE"/>
            <w:vAlign w:val="center"/>
            <w:hideMark/>
          </w:tcPr>
          <w:p w14:paraId="2C38072A" w14:textId="77777777" w:rsidR="00776A1F" w:rsidRDefault="00D8574B">
            <w:pPr>
              <w:pStyle w:val="P68B1DB1-Normal23"/>
              <w:spacing w:after="0"/>
              <w:jc w:val="center"/>
              <w:rPr>
                <w:rFonts w:eastAsia="Calibri" w:cs="Calibri"/>
                <w:noProof/>
              </w:rPr>
            </w:pPr>
            <w:r>
              <w:rPr>
                <w:noProof/>
              </w:rPr>
              <w:t>19.28</w:t>
            </w:r>
          </w:p>
        </w:tc>
        <w:tc>
          <w:tcPr>
            <w:tcW w:w="1760" w:type="dxa"/>
            <w:shd w:val="clear" w:color="auto" w:fill="C4EFCE"/>
            <w:vAlign w:val="center"/>
            <w:hideMark/>
          </w:tcPr>
          <w:p w14:paraId="7C77969E" w14:textId="77777777" w:rsidR="00776A1F" w:rsidRDefault="00D8574B">
            <w:pPr>
              <w:pStyle w:val="P68B1DB1-Normal23"/>
              <w:spacing w:after="0"/>
              <w:jc w:val="center"/>
              <w:rPr>
                <w:rFonts w:eastAsia="Calibri" w:cs="Calibri"/>
                <w:noProof/>
              </w:rPr>
            </w:pPr>
            <w:r>
              <w:rPr>
                <w:noProof/>
              </w:rPr>
              <w:t>TD-C19-i05-RAM</w:t>
            </w:r>
          </w:p>
        </w:tc>
        <w:tc>
          <w:tcPr>
            <w:tcW w:w="1520" w:type="dxa"/>
            <w:shd w:val="clear" w:color="auto" w:fill="C4EFCE"/>
            <w:vAlign w:val="center"/>
            <w:hideMark/>
          </w:tcPr>
          <w:p w14:paraId="12DA2CBA"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F2A2D3" w14:textId="77777777" w:rsidR="00776A1F" w:rsidRDefault="00D8574B">
            <w:pPr>
              <w:pStyle w:val="P68B1DB1-Normal23"/>
              <w:spacing w:after="0"/>
              <w:jc w:val="both"/>
              <w:rPr>
                <w:rFonts w:eastAsia="Calibri" w:cs="Calibri"/>
                <w:noProof/>
              </w:rPr>
            </w:pPr>
            <w:r>
              <w:rPr>
                <w:noProof/>
              </w:rPr>
              <w:t>Centralizētas datu pārvaldības risinājuma funkcionālais prototips</w:t>
            </w:r>
          </w:p>
        </w:tc>
      </w:tr>
      <w:tr w:rsidR="00776A1F" w14:paraId="0C5EE933" w14:textId="77777777">
        <w:trPr>
          <w:trHeight w:val="440"/>
        </w:trPr>
        <w:tc>
          <w:tcPr>
            <w:tcW w:w="1200" w:type="dxa"/>
            <w:shd w:val="clear" w:color="auto" w:fill="C4EFCE"/>
            <w:vAlign w:val="center"/>
            <w:hideMark/>
          </w:tcPr>
          <w:p w14:paraId="5C73EC6E" w14:textId="77777777" w:rsidR="00776A1F" w:rsidRDefault="00D8574B">
            <w:pPr>
              <w:pStyle w:val="P68B1DB1-Normal23"/>
              <w:spacing w:after="0"/>
              <w:jc w:val="center"/>
              <w:rPr>
                <w:rFonts w:eastAsia="Calibri" w:cs="Calibri"/>
                <w:noProof/>
              </w:rPr>
            </w:pPr>
            <w:r>
              <w:rPr>
                <w:noProof/>
              </w:rPr>
              <w:t>20.4</w:t>
            </w:r>
          </w:p>
        </w:tc>
        <w:tc>
          <w:tcPr>
            <w:tcW w:w="1760" w:type="dxa"/>
            <w:shd w:val="clear" w:color="auto" w:fill="C4EFCE"/>
            <w:vAlign w:val="center"/>
            <w:hideMark/>
          </w:tcPr>
          <w:p w14:paraId="66421C5D" w14:textId="77777777" w:rsidR="00776A1F" w:rsidRDefault="00D8574B">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114704E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943269" w14:textId="77777777" w:rsidR="00776A1F" w:rsidRDefault="00D8574B">
            <w:pPr>
              <w:pStyle w:val="P68B1DB1-Normal23"/>
              <w:spacing w:after="0"/>
              <w:jc w:val="both"/>
              <w:rPr>
                <w:rFonts w:eastAsia="Calibri" w:cs="Calibri"/>
                <w:noProof/>
              </w:rPr>
            </w:pPr>
            <w:r>
              <w:rPr>
                <w:noProof/>
              </w:rPr>
              <w:t>Pamatskolas un vidusskolu savienojamības uzlabošana</w:t>
            </w:r>
          </w:p>
        </w:tc>
      </w:tr>
      <w:tr w:rsidR="00776A1F" w14:paraId="71AD5736" w14:textId="77777777">
        <w:trPr>
          <w:trHeight w:val="440"/>
        </w:trPr>
        <w:tc>
          <w:tcPr>
            <w:tcW w:w="1200" w:type="dxa"/>
            <w:shd w:val="clear" w:color="auto" w:fill="C4EFCE"/>
            <w:vAlign w:val="center"/>
            <w:hideMark/>
          </w:tcPr>
          <w:p w14:paraId="3024F12A" w14:textId="77777777" w:rsidR="00776A1F" w:rsidRDefault="00D8574B">
            <w:pPr>
              <w:pStyle w:val="P68B1DB1-Normal23"/>
              <w:spacing w:after="0"/>
              <w:jc w:val="center"/>
              <w:rPr>
                <w:rFonts w:eastAsia="Calibri" w:cs="Calibri"/>
                <w:noProof/>
              </w:rPr>
            </w:pPr>
            <w:r>
              <w:rPr>
                <w:noProof/>
              </w:rPr>
              <w:t>20.5</w:t>
            </w:r>
          </w:p>
        </w:tc>
        <w:tc>
          <w:tcPr>
            <w:tcW w:w="1760" w:type="dxa"/>
            <w:shd w:val="clear" w:color="auto" w:fill="C4EFCE"/>
            <w:vAlign w:val="center"/>
            <w:hideMark/>
          </w:tcPr>
          <w:p w14:paraId="1444B579" w14:textId="77777777" w:rsidR="00776A1F" w:rsidRDefault="00D8574B">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2AF294F0"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7487495" w14:textId="77777777" w:rsidR="00776A1F" w:rsidRDefault="00D8574B">
            <w:pPr>
              <w:pStyle w:val="P68B1DB1-Normal23"/>
              <w:spacing w:after="0"/>
              <w:jc w:val="both"/>
              <w:rPr>
                <w:rFonts w:eastAsia="Calibri" w:cs="Calibri"/>
                <w:noProof/>
              </w:rPr>
            </w:pPr>
            <w:r>
              <w:rPr>
                <w:noProof/>
              </w:rPr>
              <w:t>Uzstādītas digitālās izglītības laboratorijas</w:t>
            </w:r>
          </w:p>
        </w:tc>
      </w:tr>
      <w:tr w:rsidR="00776A1F" w14:paraId="5D89430C" w14:textId="77777777">
        <w:trPr>
          <w:trHeight w:val="440"/>
        </w:trPr>
        <w:tc>
          <w:tcPr>
            <w:tcW w:w="1200" w:type="dxa"/>
            <w:shd w:val="clear" w:color="auto" w:fill="C4EFCE"/>
            <w:vAlign w:val="center"/>
            <w:hideMark/>
          </w:tcPr>
          <w:p w14:paraId="21F79FB7" w14:textId="77777777" w:rsidR="00776A1F" w:rsidRDefault="00D8574B">
            <w:pPr>
              <w:pStyle w:val="P68B1DB1-Normal23"/>
              <w:spacing w:after="0"/>
              <w:jc w:val="center"/>
              <w:rPr>
                <w:rFonts w:eastAsia="Calibri" w:cs="Calibri"/>
                <w:noProof/>
              </w:rPr>
            </w:pPr>
            <w:r>
              <w:rPr>
                <w:noProof/>
              </w:rPr>
              <w:t>20.7</w:t>
            </w:r>
          </w:p>
        </w:tc>
        <w:tc>
          <w:tcPr>
            <w:tcW w:w="1760" w:type="dxa"/>
            <w:shd w:val="clear" w:color="auto" w:fill="C4EFCE"/>
            <w:vAlign w:val="center"/>
            <w:hideMark/>
          </w:tcPr>
          <w:p w14:paraId="33B6F4F1" w14:textId="77777777" w:rsidR="00776A1F" w:rsidRDefault="00D8574B">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0CDF83A4"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C9E5FE" w14:textId="77777777" w:rsidR="00776A1F" w:rsidRDefault="00D8574B">
            <w:pPr>
              <w:pStyle w:val="P68B1DB1-Normal23"/>
              <w:spacing w:after="0"/>
              <w:jc w:val="both"/>
              <w:rPr>
                <w:rFonts w:eastAsia="Calibri" w:cs="Calibri"/>
                <w:noProof/>
              </w:rPr>
            </w:pPr>
            <w:r>
              <w:rPr>
                <w:noProof/>
              </w:rPr>
              <w:t>Skolu vadības iespēju palielināšana</w:t>
            </w:r>
          </w:p>
        </w:tc>
      </w:tr>
      <w:tr w:rsidR="00776A1F" w14:paraId="095F7BC5" w14:textId="77777777">
        <w:trPr>
          <w:trHeight w:val="440"/>
        </w:trPr>
        <w:tc>
          <w:tcPr>
            <w:tcW w:w="1200" w:type="dxa"/>
            <w:shd w:val="clear" w:color="auto" w:fill="C4EFCE"/>
            <w:vAlign w:val="center"/>
            <w:hideMark/>
          </w:tcPr>
          <w:p w14:paraId="75DE1446" w14:textId="77777777" w:rsidR="00776A1F" w:rsidRDefault="00D8574B">
            <w:pPr>
              <w:pStyle w:val="P68B1DB1-Normal23"/>
              <w:spacing w:after="0"/>
              <w:jc w:val="center"/>
              <w:rPr>
                <w:rFonts w:eastAsia="Calibri" w:cs="Calibri"/>
                <w:noProof/>
              </w:rPr>
            </w:pPr>
            <w:r>
              <w:rPr>
                <w:noProof/>
              </w:rPr>
              <w:t>20.15</w:t>
            </w:r>
          </w:p>
        </w:tc>
        <w:tc>
          <w:tcPr>
            <w:tcW w:w="1760" w:type="dxa"/>
            <w:shd w:val="clear" w:color="auto" w:fill="C4EFCE"/>
            <w:vAlign w:val="center"/>
            <w:hideMark/>
          </w:tcPr>
          <w:p w14:paraId="63BCB75D" w14:textId="77777777" w:rsidR="00776A1F" w:rsidRDefault="00D8574B">
            <w:pPr>
              <w:pStyle w:val="P68B1DB1-Normal23"/>
              <w:spacing w:after="0"/>
              <w:jc w:val="center"/>
              <w:rPr>
                <w:rFonts w:eastAsia="Calibri" w:cs="Calibri"/>
                <w:noProof/>
              </w:rPr>
            </w:pPr>
            <w:r>
              <w:rPr>
                <w:noProof/>
              </w:rPr>
              <w:t>TD-C20-i03-RAM</w:t>
            </w:r>
          </w:p>
        </w:tc>
        <w:tc>
          <w:tcPr>
            <w:tcW w:w="1520" w:type="dxa"/>
            <w:shd w:val="clear" w:color="auto" w:fill="C4EFCE"/>
            <w:vAlign w:val="center"/>
            <w:hideMark/>
          </w:tcPr>
          <w:p w14:paraId="59D36764"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E3243CB" w14:textId="77777777" w:rsidR="00776A1F" w:rsidRDefault="00D8574B">
            <w:pPr>
              <w:pStyle w:val="P68B1DB1-Normal23"/>
              <w:spacing w:after="0"/>
              <w:jc w:val="both"/>
              <w:rPr>
                <w:rFonts w:eastAsia="Calibri" w:cs="Calibri"/>
                <w:noProof/>
              </w:rPr>
            </w:pPr>
            <w:r>
              <w:rPr>
                <w:noProof/>
              </w:rPr>
              <w:t>Skolu pieslēgums AZS</w:t>
            </w:r>
          </w:p>
        </w:tc>
      </w:tr>
      <w:tr w:rsidR="00776A1F" w14:paraId="66DB9AD9" w14:textId="77777777">
        <w:trPr>
          <w:trHeight w:val="440"/>
        </w:trPr>
        <w:tc>
          <w:tcPr>
            <w:tcW w:w="1200" w:type="dxa"/>
            <w:shd w:val="clear" w:color="auto" w:fill="C4EFCE"/>
            <w:vAlign w:val="center"/>
            <w:hideMark/>
          </w:tcPr>
          <w:p w14:paraId="2F1BF0CF" w14:textId="77777777" w:rsidR="00776A1F" w:rsidRDefault="00D8574B">
            <w:pPr>
              <w:pStyle w:val="P68B1DB1-Normal23"/>
              <w:spacing w:after="0"/>
              <w:jc w:val="center"/>
              <w:rPr>
                <w:rFonts w:eastAsia="Calibri" w:cs="Calibri"/>
                <w:noProof/>
              </w:rPr>
            </w:pPr>
            <w:r>
              <w:rPr>
                <w:noProof/>
              </w:rPr>
              <w:t>21.10</w:t>
            </w:r>
          </w:p>
        </w:tc>
        <w:tc>
          <w:tcPr>
            <w:tcW w:w="1760" w:type="dxa"/>
            <w:shd w:val="clear" w:color="auto" w:fill="C4EFCE"/>
            <w:vAlign w:val="center"/>
            <w:hideMark/>
          </w:tcPr>
          <w:p w14:paraId="5DF21089" w14:textId="77777777" w:rsidR="00776A1F" w:rsidRDefault="00D8574B">
            <w:pPr>
              <w:pStyle w:val="P68B1DB1-Normal23"/>
              <w:spacing w:after="0"/>
              <w:jc w:val="center"/>
              <w:rPr>
                <w:rFonts w:eastAsia="Calibri" w:cs="Calibri"/>
                <w:noProof/>
              </w:rPr>
            </w:pPr>
            <w:r>
              <w:rPr>
                <w:noProof/>
              </w:rPr>
              <w:t>RP-C21-r44</w:t>
            </w:r>
          </w:p>
        </w:tc>
        <w:tc>
          <w:tcPr>
            <w:tcW w:w="1520" w:type="dxa"/>
            <w:shd w:val="clear" w:color="auto" w:fill="C4EFCE"/>
            <w:vAlign w:val="center"/>
            <w:hideMark/>
          </w:tcPr>
          <w:p w14:paraId="2A7141B8"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F3038A" w14:textId="77777777" w:rsidR="00776A1F" w:rsidRDefault="00D8574B">
            <w:pPr>
              <w:pStyle w:val="P68B1DB1-Normal23"/>
              <w:spacing w:after="0"/>
              <w:jc w:val="both"/>
              <w:rPr>
                <w:rFonts w:eastAsia="Calibri" w:cs="Calibri"/>
                <w:noProof/>
              </w:rPr>
            </w:pPr>
            <w:r>
              <w:rPr>
                <w:noProof/>
              </w:rPr>
              <w:t>Spēju veidošanas darbības</w:t>
            </w:r>
          </w:p>
        </w:tc>
      </w:tr>
      <w:tr w:rsidR="00776A1F" w14:paraId="17B29DAC" w14:textId="77777777">
        <w:trPr>
          <w:trHeight w:val="440"/>
        </w:trPr>
        <w:tc>
          <w:tcPr>
            <w:tcW w:w="1200" w:type="dxa"/>
            <w:shd w:val="clear" w:color="auto" w:fill="C4EFCE"/>
            <w:vAlign w:val="center"/>
            <w:hideMark/>
          </w:tcPr>
          <w:p w14:paraId="11D06F3F" w14:textId="77777777" w:rsidR="00776A1F" w:rsidRDefault="00D8574B">
            <w:pPr>
              <w:pStyle w:val="P68B1DB1-Normal23"/>
              <w:spacing w:after="0"/>
              <w:jc w:val="center"/>
              <w:rPr>
                <w:rFonts w:eastAsia="Calibri" w:cs="Calibri"/>
                <w:noProof/>
              </w:rPr>
            </w:pPr>
            <w:r>
              <w:rPr>
                <w:noProof/>
              </w:rPr>
              <w:t>21.14</w:t>
            </w:r>
          </w:p>
        </w:tc>
        <w:tc>
          <w:tcPr>
            <w:tcW w:w="1760" w:type="dxa"/>
            <w:shd w:val="clear" w:color="auto" w:fill="C4EFCE"/>
            <w:vAlign w:val="center"/>
            <w:hideMark/>
          </w:tcPr>
          <w:p w14:paraId="04487365" w14:textId="1CEA46B2" w:rsidR="00776A1F" w:rsidRDefault="00D8574B">
            <w:pPr>
              <w:pStyle w:val="P68B1DB1-Normal23"/>
              <w:spacing w:after="0"/>
              <w:jc w:val="center"/>
              <w:rPr>
                <w:rFonts w:eastAsia="Calibri" w:cs="Calibri"/>
                <w:noProof/>
              </w:rPr>
            </w:pPr>
            <w:r>
              <w:rPr>
                <w:noProof/>
              </w:rPr>
              <w:t>RP-C21–r45</w:t>
            </w:r>
          </w:p>
        </w:tc>
        <w:tc>
          <w:tcPr>
            <w:tcW w:w="1520" w:type="dxa"/>
            <w:shd w:val="clear" w:color="auto" w:fill="C4EFCE"/>
            <w:vAlign w:val="center"/>
            <w:hideMark/>
          </w:tcPr>
          <w:p w14:paraId="6A7FA34F"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DA901B0" w14:textId="77777777" w:rsidR="00776A1F" w:rsidRDefault="00D8574B">
            <w:pPr>
              <w:pStyle w:val="P68B1DB1-Normal23"/>
              <w:spacing w:after="0"/>
              <w:jc w:val="both"/>
              <w:rPr>
                <w:rFonts w:eastAsia="Calibri" w:cs="Calibri"/>
                <w:noProof/>
              </w:rPr>
            </w:pPr>
            <w:r>
              <w:rPr>
                <w:noProof/>
              </w:rPr>
              <w:t>Zaļo prasmju apmācības pasākumi</w:t>
            </w:r>
          </w:p>
        </w:tc>
      </w:tr>
      <w:tr w:rsidR="00776A1F" w14:paraId="7B6DBAA0" w14:textId="77777777">
        <w:trPr>
          <w:trHeight w:val="440"/>
        </w:trPr>
        <w:tc>
          <w:tcPr>
            <w:tcW w:w="1200" w:type="dxa"/>
            <w:shd w:val="clear" w:color="auto" w:fill="C4EFCE"/>
            <w:vAlign w:val="center"/>
            <w:hideMark/>
          </w:tcPr>
          <w:p w14:paraId="3A579611" w14:textId="77777777" w:rsidR="00776A1F" w:rsidRDefault="00D8574B">
            <w:pPr>
              <w:pStyle w:val="P68B1DB1-Normal23"/>
              <w:spacing w:after="0"/>
              <w:jc w:val="center"/>
              <w:rPr>
                <w:rFonts w:eastAsia="Calibri" w:cs="Calibri"/>
                <w:noProof/>
              </w:rPr>
            </w:pPr>
            <w:r>
              <w:rPr>
                <w:noProof/>
              </w:rPr>
              <w:t>21.30</w:t>
            </w:r>
          </w:p>
        </w:tc>
        <w:tc>
          <w:tcPr>
            <w:tcW w:w="1760" w:type="dxa"/>
            <w:shd w:val="clear" w:color="auto" w:fill="C4EFCE"/>
            <w:vAlign w:val="center"/>
            <w:hideMark/>
          </w:tcPr>
          <w:p w14:paraId="4D24E80F" w14:textId="66AD4A61" w:rsidR="00776A1F" w:rsidRDefault="00D8574B">
            <w:pPr>
              <w:pStyle w:val="P68B1DB1-Normal23"/>
              <w:spacing w:after="0"/>
              <w:jc w:val="center"/>
              <w:rPr>
                <w:rFonts w:eastAsia="Calibri" w:cs="Calibri"/>
                <w:noProof/>
              </w:rPr>
            </w:pPr>
            <w:r>
              <w:rPr>
                <w:noProof/>
              </w:rPr>
              <w:t>RP-C21-i9</w:t>
            </w:r>
          </w:p>
        </w:tc>
        <w:tc>
          <w:tcPr>
            <w:tcW w:w="1520" w:type="dxa"/>
            <w:shd w:val="clear" w:color="auto" w:fill="C4EFCE"/>
            <w:vAlign w:val="center"/>
            <w:hideMark/>
          </w:tcPr>
          <w:p w14:paraId="1BE77825"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9F8DE1D" w14:textId="77777777" w:rsidR="00776A1F" w:rsidRDefault="00D8574B">
            <w:pPr>
              <w:pStyle w:val="P68B1DB1-Normal23"/>
              <w:spacing w:after="0"/>
              <w:jc w:val="both"/>
              <w:rPr>
                <w:rFonts w:eastAsia="Calibri" w:cs="Calibri"/>
                <w:noProof/>
              </w:rPr>
            </w:pPr>
            <w:r>
              <w:rPr>
                <w:noProof/>
              </w:rPr>
              <w:t>Pirmā posma moduļu darbības uzsākšana atjaunīgās enerģijas projektu atļauju izsniegšanas un uzraudzības digitālajai platformai</w:t>
            </w:r>
          </w:p>
        </w:tc>
      </w:tr>
      <w:tr w:rsidR="00776A1F" w14:paraId="7AEA5439" w14:textId="77777777">
        <w:trPr>
          <w:trHeight w:val="440"/>
        </w:trPr>
        <w:tc>
          <w:tcPr>
            <w:tcW w:w="1200" w:type="dxa"/>
            <w:shd w:val="clear" w:color="auto" w:fill="C4EFCE"/>
            <w:vAlign w:val="center"/>
            <w:hideMark/>
          </w:tcPr>
          <w:p w14:paraId="3B9D7FE4" w14:textId="77777777" w:rsidR="00776A1F" w:rsidRDefault="00D8574B">
            <w:pPr>
              <w:pStyle w:val="P68B1DB1-Normal23"/>
              <w:spacing w:after="0"/>
              <w:jc w:val="center"/>
              <w:rPr>
                <w:rFonts w:eastAsia="Calibri" w:cs="Calibri"/>
                <w:noProof/>
              </w:rPr>
            </w:pPr>
            <w:r>
              <w:rPr>
                <w:noProof/>
              </w:rPr>
              <w:t>21.38</w:t>
            </w:r>
          </w:p>
        </w:tc>
        <w:tc>
          <w:tcPr>
            <w:tcW w:w="1760" w:type="dxa"/>
            <w:shd w:val="clear" w:color="auto" w:fill="C4EFCE"/>
            <w:vAlign w:val="center"/>
            <w:hideMark/>
          </w:tcPr>
          <w:p w14:paraId="244019BC" w14:textId="436D4207" w:rsidR="00776A1F" w:rsidRDefault="00D8574B">
            <w:pPr>
              <w:pStyle w:val="P68B1DB1-Normal23"/>
              <w:spacing w:after="0"/>
              <w:jc w:val="center"/>
              <w:rPr>
                <w:rFonts w:eastAsia="Calibri" w:cs="Calibri"/>
                <w:noProof/>
              </w:rPr>
            </w:pPr>
            <w:r>
              <w:rPr>
                <w:noProof/>
              </w:rPr>
              <w:t>RP-C21-i14</w:t>
            </w:r>
          </w:p>
        </w:tc>
        <w:tc>
          <w:tcPr>
            <w:tcW w:w="1520" w:type="dxa"/>
            <w:shd w:val="clear" w:color="auto" w:fill="C4EFCE"/>
            <w:vAlign w:val="center"/>
            <w:hideMark/>
          </w:tcPr>
          <w:p w14:paraId="4A27F4D9"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9E90178" w14:textId="77777777" w:rsidR="00776A1F" w:rsidRDefault="00D8574B">
            <w:pPr>
              <w:pStyle w:val="P68B1DB1-Normal23"/>
              <w:spacing w:after="0"/>
              <w:jc w:val="both"/>
              <w:rPr>
                <w:rFonts w:eastAsia="Calibri" w:cs="Calibri"/>
                <w:noProof/>
              </w:rPr>
            </w:pPr>
            <w:r>
              <w:rPr>
                <w:noProof/>
              </w:rPr>
              <w:t>Līguma parakstīšana par divu autobusu ātrā tranzīta līniju būvniecību Bragā</w:t>
            </w:r>
          </w:p>
        </w:tc>
      </w:tr>
      <w:tr w:rsidR="00776A1F" w14:paraId="385E0783" w14:textId="77777777">
        <w:trPr>
          <w:trHeight w:val="440"/>
        </w:trPr>
        <w:tc>
          <w:tcPr>
            <w:tcW w:w="1200" w:type="dxa"/>
            <w:shd w:val="clear" w:color="auto" w:fill="C4EFCE"/>
            <w:vAlign w:val="center"/>
            <w:hideMark/>
          </w:tcPr>
          <w:p w14:paraId="0AAE03D3" w14:textId="77777777" w:rsidR="00776A1F" w:rsidRDefault="00D8574B">
            <w:pPr>
              <w:pStyle w:val="P68B1DB1-Normal23"/>
              <w:spacing w:after="0"/>
              <w:jc w:val="center"/>
              <w:rPr>
                <w:rFonts w:eastAsia="Calibri" w:cs="Calibri"/>
                <w:noProof/>
              </w:rPr>
            </w:pPr>
            <w:r>
              <w:rPr>
                <w:noProof/>
              </w:rPr>
              <w:t>21.42</w:t>
            </w:r>
          </w:p>
        </w:tc>
        <w:tc>
          <w:tcPr>
            <w:tcW w:w="1760" w:type="dxa"/>
            <w:shd w:val="clear" w:color="auto" w:fill="C4EFCE"/>
            <w:vAlign w:val="center"/>
            <w:hideMark/>
          </w:tcPr>
          <w:p w14:paraId="50D56588" w14:textId="707B6BFA" w:rsidR="00776A1F" w:rsidRDefault="00D8574B">
            <w:pPr>
              <w:pStyle w:val="P68B1DB1-Normal23"/>
              <w:spacing w:after="0"/>
              <w:jc w:val="center"/>
              <w:rPr>
                <w:rFonts w:eastAsia="Calibri" w:cs="Calibri"/>
                <w:noProof/>
              </w:rPr>
            </w:pPr>
            <w:r>
              <w:rPr>
                <w:noProof/>
              </w:rPr>
              <w:t>RP-C21-i16</w:t>
            </w:r>
          </w:p>
        </w:tc>
        <w:tc>
          <w:tcPr>
            <w:tcW w:w="1520" w:type="dxa"/>
            <w:shd w:val="clear" w:color="auto" w:fill="C4EFCE"/>
            <w:vAlign w:val="center"/>
          </w:tcPr>
          <w:p w14:paraId="25A4EEDF" w14:textId="77777777" w:rsidR="00776A1F" w:rsidRDefault="00D8574B">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tcPr>
          <w:p w14:paraId="436C9A08" w14:textId="77777777" w:rsidR="00776A1F" w:rsidRDefault="00D8574B">
            <w:pPr>
              <w:pStyle w:val="P68B1DB1-Normal23"/>
              <w:spacing w:after="0" w:line="240" w:lineRule="auto"/>
              <w:rPr>
                <w:rFonts w:cs="Calibri"/>
                <w:i/>
                <w:noProof/>
              </w:rPr>
            </w:pPr>
            <w:r>
              <w:rPr>
                <w:noProof/>
              </w:rPr>
              <w:t>Projekta īstenošanas līguma parakstīšana</w:t>
            </w:r>
          </w:p>
        </w:tc>
      </w:tr>
      <w:tr w:rsidR="00776A1F" w14:paraId="4F03A3E2" w14:textId="77777777">
        <w:trPr>
          <w:trHeight w:val="440"/>
        </w:trPr>
        <w:tc>
          <w:tcPr>
            <w:tcW w:w="1200" w:type="dxa"/>
            <w:shd w:val="clear" w:color="auto" w:fill="C4EFCE"/>
            <w:vAlign w:val="center"/>
          </w:tcPr>
          <w:p w14:paraId="0A5307EE" w14:textId="77777777" w:rsidR="00776A1F" w:rsidRDefault="00776A1F">
            <w:pPr>
              <w:spacing w:after="0"/>
              <w:jc w:val="center"/>
              <w:rPr>
                <w:rFonts w:ascii="Calibri" w:eastAsia="Calibri" w:hAnsi="Calibri" w:cs="Calibri"/>
                <w:noProof/>
                <w:sz w:val="18"/>
              </w:rPr>
            </w:pPr>
          </w:p>
        </w:tc>
        <w:tc>
          <w:tcPr>
            <w:tcW w:w="1760" w:type="dxa"/>
            <w:shd w:val="clear" w:color="auto" w:fill="C4EFCE"/>
            <w:vAlign w:val="center"/>
          </w:tcPr>
          <w:p w14:paraId="2E63F90C" w14:textId="77777777" w:rsidR="00776A1F" w:rsidRDefault="00776A1F">
            <w:pPr>
              <w:spacing w:after="0"/>
              <w:jc w:val="center"/>
              <w:rPr>
                <w:rFonts w:ascii="Calibri" w:eastAsia="Calibri" w:hAnsi="Calibri" w:cs="Calibri"/>
                <w:noProof/>
                <w:sz w:val="18"/>
              </w:rPr>
            </w:pPr>
          </w:p>
        </w:tc>
        <w:tc>
          <w:tcPr>
            <w:tcW w:w="1520" w:type="dxa"/>
            <w:shd w:val="clear" w:color="auto" w:fill="C4EFCE"/>
            <w:vAlign w:val="center"/>
          </w:tcPr>
          <w:p w14:paraId="4C56150E" w14:textId="77777777" w:rsidR="00776A1F" w:rsidRDefault="00D8574B">
            <w:pPr>
              <w:pStyle w:val="P68B1DB1-Normal24"/>
              <w:spacing w:after="0"/>
              <w:jc w:val="center"/>
              <w:rPr>
                <w:rFonts w:eastAsia="Calibri" w:cs="Calibri"/>
                <w:noProof/>
                <w:sz w:val="18"/>
              </w:rPr>
            </w:pPr>
            <w:r>
              <w:rPr>
                <w:noProof/>
              </w:rPr>
              <w:t>Maksājuma summa</w:t>
            </w:r>
          </w:p>
        </w:tc>
        <w:tc>
          <w:tcPr>
            <w:tcW w:w="5060" w:type="dxa"/>
            <w:shd w:val="clear" w:color="auto" w:fill="C4EFCE"/>
            <w:vAlign w:val="center"/>
          </w:tcPr>
          <w:p w14:paraId="1D728FCE" w14:textId="4021B04F" w:rsidR="00776A1F" w:rsidRDefault="00D8574B">
            <w:pPr>
              <w:pStyle w:val="P68B1DB1-Normal25"/>
              <w:spacing w:after="0"/>
              <w:jc w:val="center"/>
              <w:rPr>
                <w:rFonts w:eastAsia="Calibri" w:cs="Calibri"/>
                <w:noProof/>
                <w:sz w:val="18"/>
              </w:rPr>
            </w:pPr>
            <w:r>
              <w:rPr>
                <w:noProof/>
              </w:rPr>
              <w:t xml:space="preserve">2 023 192 454 EUR </w:t>
            </w:r>
          </w:p>
        </w:tc>
      </w:tr>
    </w:tbl>
    <w:p w14:paraId="59B2EAF8" w14:textId="77777777" w:rsidR="00776A1F" w:rsidRDefault="00776A1F">
      <w:pPr>
        <w:keepNext/>
        <w:spacing w:before="40" w:after="160" w:line="259" w:lineRule="auto"/>
        <w:ind w:left="360"/>
        <w:contextualSpacing/>
        <w:jc w:val="both"/>
        <w:rPr>
          <w:rFonts w:ascii="Times New Roman" w:eastAsiaTheme="minorEastAsia" w:hAnsi="Times New Roman" w:cs="Times New Roman"/>
          <w:noProof/>
          <w:sz w:val="24"/>
        </w:rPr>
      </w:pPr>
    </w:p>
    <w:p w14:paraId="3FED0C14"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Astotais maksājuma pieprasījums (neatmaksājams atbalsts): </w:t>
      </w:r>
    </w:p>
    <w:p w14:paraId="03F528E5"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164"/>
        <w:gridCol w:w="1691"/>
        <w:gridCol w:w="1983"/>
        <w:gridCol w:w="4702"/>
      </w:tblGrid>
      <w:tr w:rsidR="00776A1F" w14:paraId="51282D2E" w14:textId="77777777">
        <w:trPr>
          <w:trHeight w:val="509"/>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2E938F"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DFC1E5"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1E4C39"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5F2557"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43E0E792"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D5A2EDB" w14:textId="77777777" w:rsidR="00776A1F" w:rsidRDefault="00776A1F">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57C445AC" w14:textId="77777777" w:rsidR="00776A1F" w:rsidRDefault="00776A1F">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FB1C794" w14:textId="77777777" w:rsidR="00776A1F" w:rsidRDefault="00776A1F">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0242486B" w14:textId="77777777" w:rsidR="00776A1F" w:rsidRDefault="00776A1F">
            <w:pPr>
              <w:spacing w:after="0" w:line="240" w:lineRule="auto"/>
              <w:rPr>
                <w:rFonts w:ascii="Times New Roman" w:eastAsia="Times New Roman" w:hAnsi="Times New Roman" w:cs="Times New Roman"/>
                <w:b/>
                <w:noProof/>
                <w:sz w:val="20"/>
              </w:rPr>
            </w:pPr>
          </w:p>
        </w:tc>
      </w:tr>
      <w:tr w:rsidR="00776A1F" w14:paraId="47702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6209672" w14:textId="77777777" w:rsidR="00776A1F" w:rsidRDefault="00D8574B">
            <w:pPr>
              <w:pStyle w:val="P68B1DB1-Normal23"/>
              <w:spacing w:after="0"/>
              <w:jc w:val="center"/>
              <w:rPr>
                <w:rFonts w:eastAsia="Calibri" w:cs="Calibri"/>
                <w:noProof/>
                <w:sz w:val="20"/>
              </w:rPr>
            </w:pPr>
            <w:r>
              <w:rPr>
                <w:noProof/>
              </w:rPr>
              <w:t>1.34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B386C0E" w14:textId="77777777" w:rsidR="00776A1F" w:rsidRDefault="00D8574B">
            <w:pPr>
              <w:pStyle w:val="P68B1DB1-Normal23"/>
              <w:spacing w:after="0"/>
              <w:jc w:val="center"/>
              <w:rPr>
                <w:rFonts w:eastAsia="Calibri" w:cs="Calibri"/>
                <w:noProof/>
                <w:sz w:val="20"/>
              </w:rPr>
            </w:pPr>
            <w:r>
              <w:rPr>
                <w:noProof/>
              </w:rPr>
              <w:t>Re-C01-i06</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E962A5B"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E3B3A8" w14:textId="77777777" w:rsidR="00776A1F" w:rsidRDefault="00D8574B">
            <w:pPr>
              <w:pStyle w:val="P68B1DB1-Normal23"/>
              <w:spacing w:after="0"/>
              <w:jc w:val="both"/>
              <w:rPr>
                <w:rFonts w:eastAsia="Calibri" w:cs="Calibri"/>
                <w:noProof/>
                <w:sz w:val="20"/>
              </w:rPr>
            </w:pPr>
            <w:r>
              <w:rPr>
                <w:noProof/>
              </w:rPr>
              <w:t>Informācijas tehnoloģiju administratīvo moduļu, pamata klīnisko moduļu un ārkārtas klīnisko moduļu ieviešana</w:t>
            </w:r>
          </w:p>
        </w:tc>
      </w:tr>
      <w:tr w:rsidR="00776A1F" w14:paraId="2D80F58A"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3ED31DD" w14:textId="77777777" w:rsidR="00776A1F" w:rsidRDefault="00D8574B">
            <w:pPr>
              <w:pStyle w:val="P68B1DB1-Normal23"/>
              <w:spacing w:after="0"/>
              <w:jc w:val="center"/>
              <w:rPr>
                <w:rFonts w:eastAsia="Calibri" w:cs="Calibri"/>
                <w:noProof/>
                <w:sz w:val="20"/>
              </w:rPr>
            </w:pPr>
            <w:r>
              <w:rPr>
                <w:noProof/>
              </w:rPr>
              <w:t>2.29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9EA7AE" w14:textId="77777777" w:rsidR="00776A1F" w:rsidRDefault="00D8574B">
            <w:pPr>
              <w:pStyle w:val="P68B1DB1-Normal23"/>
              <w:spacing w:after="0"/>
              <w:jc w:val="center"/>
              <w:rPr>
                <w:rFonts w:eastAsia="Calibri" w:cs="Calibri"/>
                <w:noProof/>
                <w:sz w:val="20"/>
              </w:rPr>
            </w:pPr>
            <w:r>
              <w:rPr>
                <w:noProof/>
              </w:rPr>
              <w:t>Re-C02-i01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A93811F"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47CD63F8" w14:textId="77777777" w:rsidR="00776A1F" w:rsidRDefault="00D8574B">
            <w:pPr>
              <w:pStyle w:val="P68B1DB1-Normal23"/>
              <w:spacing w:after="0"/>
              <w:jc w:val="both"/>
              <w:rPr>
                <w:rFonts w:eastAsia="Calibri" w:cs="Calibri"/>
                <w:noProof/>
                <w:sz w:val="20"/>
              </w:rPr>
            </w:pPr>
            <w:r>
              <w:rPr>
                <w:noProof/>
              </w:rPr>
              <w:t>Atbalsta programma piekļuvei mājokļiem — Mājsaimniecībām nodrošināti iepirkti, būvēti (augstas energoefektivitātes) vai rehabilitēti (ar uzlabotu energoefektivitāti) mājokļi</w:t>
            </w:r>
          </w:p>
        </w:tc>
      </w:tr>
      <w:tr w:rsidR="00776A1F" w14:paraId="16BAF70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7587DCF" w14:textId="77777777" w:rsidR="00776A1F" w:rsidRDefault="00D8574B">
            <w:pPr>
              <w:pStyle w:val="P68B1DB1-Normal23"/>
              <w:spacing w:after="0"/>
              <w:jc w:val="center"/>
              <w:rPr>
                <w:rFonts w:eastAsia="Calibri" w:cs="Calibri"/>
                <w:noProof/>
                <w:sz w:val="20"/>
              </w:rPr>
            </w:pPr>
            <w:r>
              <w:rPr>
                <w:noProof/>
              </w:rPr>
              <w:t>3.29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8DF3D66" w14:textId="77777777" w:rsidR="00776A1F" w:rsidRDefault="00D8574B">
            <w:pPr>
              <w:pStyle w:val="P68B1DB1-Normal23"/>
              <w:spacing w:after="0"/>
              <w:jc w:val="center"/>
              <w:rPr>
                <w:rFonts w:eastAsia="Calibri" w:cs="Calibri"/>
                <w:noProof/>
                <w:sz w:val="20"/>
              </w:rPr>
            </w:pPr>
            <w:r>
              <w:rPr>
                <w:noProof/>
              </w:rPr>
              <w:t>Re-C03-r38</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7434BAC" w14:textId="77777777" w:rsidR="00776A1F" w:rsidRDefault="00D8574B">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BBAC241" w14:textId="77777777" w:rsidR="00776A1F" w:rsidRDefault="00D8574B">
            <w:pPr>
              <w:pStyle w:val="P68B1DB1-Normal23"/>
              <w:spacing w:after="0"/>
              <w:jc w:val="both"/>
              <w:rPr>
                <w:rFonts w:eastAsia="Calibri" w:cs="Calibri"/>
                <w:noProof/>
                <w:sz w:val="20"/>
              </w:rPr>
            </w:pPr>
            <w:r>
              <w:rPr>
                <w:noProof/>
              </w:rPr>
              <w:t>Vienotā sociālā pabalsta darba grupas ziņojums</w:t>
            </w:r>
          </w:p>
        </w:tc>
      </w:tr>
      <w:tr w:rsidR="00776A1F" w14:paraId="45320B6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DA2AE78" w14:textId="77777777" w:rsidR="00776A1F" w:rsidRDefault="00D8574B">
            <w:pPr>
              <w:pStyle w:val="P68B1DB1-Normal23"/>
              <w:spacing w:after="0"/>
              <w:jc w:val="center"/>
              <w:rPr>
                <w:rFonts w:eastAsia="Calibri" w:cs="Calibri"/>
                <w:noProof/>
                <w:sz w:val="20"/>
              </w:rPr>
            </w:pPr>
            <w:r>
              <w:rPr>
                <w:noProof/>
              </w:rPr>
              <w:t>6.1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50BE18D" w14:textId="77777777" w:rsidR="00776A1F" w:rsidRDefault="00D8574B">
            <w:pPr>
              <w:pStyle w:val="P68B1DB1-Normal23"/>
              <w:spacing w:after="0"/>
              <w:jc w:val="center"/>
              <w:rPr>
                <w:rFonts w:eastAsia="Calibri" w:cs="Calibri"/>
                <w:noProof/>
                <w:sz w:val="20"/>
              </w:rPr>
            </w:pPr>
            <w:r>
              <w:rPr>
                <w:noProof/>
              </w:rPr>
              <w:t>Re-C06-i01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3D89B4A"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7CA4126" w14:textId="77777777" w:rsidR="00776A1F" w:rsidRDefault="00D8574B">
            <w:pPr>
              <w:pStyle w:val="P68B1DB1-Normal23"/>
              <w:spacing w:after="0"/>
              <w:jc w:val="both"/>
              <w:rPr>
                <w:rFonts w:eastAsia="Calibri" w:cs="Calibri"/>
                <w:noProof/>
                <w:sz w:val="20"/>
              </w:rPr>
            </w:pPr>
            <w:r>
              <w:rPr>
                <w:noProof/>
              </w:rPr>
              <w:t>Atjaunoti vai būvēti specializēti tehnoloģiju centri</w:t>
            </w:r>
          </w:p>
        </w:tc>
      </w:tr>
      <w:tr w:rsidR="00776A1F" w14:paraId="7C00D43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BED060D" w14:textId="77777777" w:rsidR="00776A1F" w:rsidRDefault="00D8574B">
            <w:pPr>
              <w:pStyle w:val="P68B1DB1-Normal23"/>
              <w:spacing w:after="0"/>
              <w:jc w:val="center"/>
              <w:rPr>
                <w:rFonts w:eastAsia="Calibri" w:cs="Calibri"/>
                <w:noProof/>
                <w:sz w:val="20"/>
              </w:rPr>
            </w:pPr>
            <w:r>
              <w:rPr>
                <w:noProof/>
              </w:rPr>
              <w:t>6.8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F0DF611" w14:textId="77777777" w:rsidR="00776A1F" w:rsidRDefault="00D8574B">
            <w:pPr>
              <w:pStyle w:val="P68B1DB1-Normal23"/>
              <w:spacing w:after="0"/>
              <w:jc w:val="center"/>
              <w:rPr>
                <w:rFonts w:eastAsia="Calibri" w:cs="Calibri"/>
                <w:noProof/>
                <w:sz w:val="20"/>
              </w:rPr>
            </w:pPr>
            <w:r>
              <w:rPr>
                <w:noProof/>
              </w:rPr>
              <w:t>Re-C06-i04</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A5BFBF"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B9C680" w14:textId="77777777" w:rsidR="00776A1F" w:rsidRDefault="00D8574B">
            <w:pPr>
              <w:pStyle w:val="P68B1DB1-Normal23"/>
              <w:spacing w:after="0"/>
              <w:jc w:val="both"/>
              <w:rPr>
                <w:rFonts w:eastAsia="Calibri" w:cs="Calibri"/>
                <w:noProof/>
                <w:sz w:val="20"/>
              </w:rPr>
            </w:pPr>
            <w:r>
              <w:rPr>
                <w:noProof/>
              </w:rPr>
              <w:t>Papildu studentu skaits, kas absolvējuši terciārās izglītības kursus STEAM jomās</w:t>
            </w:r>
          </w:p>
        </w:tc>
      </w:tr>
      <w:tr w:rsidR="00776A1F" w14:paraId="3AD54D52"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6DB541F" w14:textId="77777777" w:rsidR="00776A1F" w:rsidRDefault="00D8574B">
            <w:pPr>
              <w:pStyle w:val="P68B1DB1-Normal23"/>
              <w:spacing w:after="0"/>
              <w:jc w:val="center"/>
              <w:rPr>
                <w:rFonts w:eastAsia="Calibri" w:cs="Calibri"/>
                <w:noProof/>
                <w:sz w:val="20"/>
              </w:rPr>
            </w:pPr>
            <w:r>
              <w:rPr>
                <w:noProof/>
              </w:rPr>
              <w:t>8.6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736FE01" w14:textId="77777777" w:rsidR="00776A1F" w:rsidRDefault="00D8574B">
            <w:pPr>
              <w:pStyle w:val="P68B1DB1-Normal23"/>
              <w:spacing w:after="0"/>
              <w:jc w:val="center"/>
              <w:rPr>
                <w:rFonts w:eastAsia="Calibri" w:cs="Calibri"/>
                <w:noProof/>
                <w:sz w:val="20"/>
              </w:rPr>
            </w:pPr>
            <w:r>
              <w:rPr>
                <w:noProof/>
              </w:rPr>
              <w:t>Re-C08-i02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3BB56E9" w14:textId="77777777" w:rsidR="00776A1F" w:rsidRDefault="00D8574B">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5020DBA" w14:textId="77777777" w:rsidR="00776A1F" w:rsidRDefault="00D8574B">
            <w:pPr>
              <w:pStyle w:val="P68B1DB1-Normal23"/>
              <w:spacing w:after="0"/>
              <w:jc w:val="both"/>
              <w:rPr>
                <w:rFonts w:eastAsia="Calibri" w:cs="Calibri"/>
                <w:noProof/>
                <w:sz w:val="20"/>
              </w:rPr>
            </w:pPr>
            <w:r>
              <w:rPr>
                <w:noProof/>
              </w:rPr>
              <w:t>Zemes seguma monitoringa sistēmas (SMOS) references kartēšana</w:t>
            </w:r>
          </w:p>
        </w:tc>
      </w:tr>
      <w:tr w:rsidR="00776A1F" w14:paraId="039E9D87"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0417D6" w14:textId="77777777" w:rsidR="00776A1F" w:rsidRDefault="00D8574B">
            <w:pPr>
              <w:pStyle w:val="P68B1DB1-Normal23"/>
              <w:spacing w:after="0"/>
              <w:jc w:val="center"/>
              <w:rPr>
                <w:rFonts w:eastAsia="Calibri" w:cs="Calibri"/>
                <w:noProof/>
                <w:sz w:val="20"/>
              </w:rPr>
            </w:pPr>
            <w:r>
              <w:rPr>
                <w:noProof/>
              </w:rPr>
              <w:t>9.12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C132670" w14:textId="77777777" w:rsidR="00776A1F" w:rsidRDefault="00D8574B">
            <w:pPr>
              <w:pStyle w:val="P68B1DB1-Normal23"/>
              <w:spacing w:after="0"/>
              <w:jc w:val="center"/>
              <w:rPr>
                <w:rFonts w:eastAsia="Calibri" w:cs="Calibri"/>
                <w:noProof/>
                <w:sz w:val="20"/>
              </w:rPr>
            </w:pPr>
            <w:r>
              <w:rPr>
                <w:noProof/>
              </w:rPr>
              <w:t>Re-C09-i03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B66B49"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3E85C5" w14:textId="77777777" w:rsidR="00776A1F" w:rsidRDefault="00D8574B">
            <w:pPr>
              <w:pStyle w:val="P68B1DB1-Normal23"/>
              <w:spacing w:after="0"/>
              <w:jc w:val="both"/>
              <w:rPr>
                <w:rFonts w:eastAsia="Calibri" w:cs="Calibri"/>
                <w:noProof/>
                <w:sz w:val="20"/>
              </w:rPr>
            </w:pPr>
            <w:r>
              <w:rPr>
                <w:noProof/>
              </w:rPr>
              <w:t>Atjaunoto vai atjaunoto cauruļvadu papildu km</w:t>
            </w:r>
          </w:p>
        </w:tc>
      </w:tr>
      <w:tr w:rsidR="00776A1F" w14:paraId="39211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70DF80A" w14:textId="77777777" w:rsidR="00776A1F" w:rsidRDefault="00D8574B">
            <w:pPr>
              <w:pStyle w:val="P68B1DB1-Normal23"/>
              <w:spacing w:after="0"/>
              <w:jc w:val="center"/>
              <w:rPr>
                <w:rFonts w:eastAsia="Calibri" w:cs="Calibri"/>
                <w:noProof/>
                <w:sz w:val="20"/>
              </w:rPr>
            </w:pPr>
            <w:r>
              <w:rPr>
                <w:noProof/>
              </w:rPr>
              <w:t>13.2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DF19A15" w14:textId="77777777" w:rsidR="00776A1F" w:rsidRDefault="00D8574B">
            <w:pPr>
              <w:pStyle w:val="P68B1DB1-Normal23"/>
              <w:spacing w:after="0"/>
              <w:jc w:val="center"/>
              <w:rPr>
                <w:rFonts w:eastAsia="Calibri" w:cs="Calibri"/>
                <w:noProof/>
                <w:sz w:val="20"/>
              </w:rPr>
            </w:pPr>
            <w:r>
              <w:rPr>
                <w:noProof/>
              </w:rPr>
              <w:t>TC-C13-i01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68B0FA9B"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688B0A90" w14:textId="77777777" w:rsidR="00776A1F" w:rsidRDefault="00D8574B">
            <w:pPr>
              <w:pStyle w:val="P68B1DB1-Normal23"/>
              <w:spacing w:after="0"/>
              <w:jc w:val="both"/>
              <w:rPr>
                <w:rFonts w:eastAsia="Calibri" w:cs="Calibri"/>
                <w:noProof/>
                <w:sz w:val="20"/>
              </w:rPr>
            </w:pPr>
            <w:r>
              <w:rPr>
                <w:noProof/>
              </w:rPr>
              <w:t>Privāto dzīvojamo ēku energoefektivitātes renovācija</w:t>
            </w:r>
          </w:p>
        </w:tc>
      </w:tr>
      <w:tr w:rsidR="00776A1F" w14:paraId="3F852D0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4D45592" w14:textId="77777777" w:rsidR="00776A1F" w:rsidRDefault="00D8574B">
            <w:pPr>
              <w:pStyle w:val="P68B1DB1-Normal23"/>
              <w:spacing w:after="0"/>
              <w:jc w:val="center"/>
              <w:rPr>
                <w:rFonts w:eastAsia="Calibri" w:cs="Calibri"/>
                <w:noProof/>
                <w:sz w:val="20"/>
              </w:rPr>
            </w:pPr>
            <w:r>
              <w:rPr>
                <w:noProof/>
              </w:rPr>
              <w:t>13.5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0E3ACE4" w14:textId="77777777" w:rsidR="00776A1F" w:rsidRDefault="00D8574B">
            <w:pPr>
              <w:pStyle w:val="P68B1DB1-Normal23"/>
              <w:spacing w:after="0"/>
              <w:jc w:val="center"/>
              <w:rPr>
                <w:rFonts w:eastAsia="Calibri" w:cs="Calibri"/>
                <w:noProof/>
                <w:sz w:val="20"/>
              </w:rPr>
            </w:pPr>
            <w:r>
              <w:rPr>
                <w:noProof/>
              </w:rPr>
              <w:t>TC-C13-i02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96C5B0D"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CEDF2B7" w14:textId="77777777" w:rsidR="00776A1F" w:rsidRDefault="00D8574B">
            <w:pPr>
              <w:pStyle w:val="P68B1DB1-Normal23"/>
              <w:spacing w:after="0"/>
              <w:jc w:val="both"/>
              <w:rPr>
                <w:rFonts w:eastAsia="Calibri" w:cs="Calibri"/>
                <w:noProof/>
                <w:sz w:val="20"/>
              </w:rPr>
            </w:pPr>
            <w:r>
              <w:rPr>
                <w:noProof/>
              </w:rPr>
              <w:t>Centrālās valdības ēku energoefektivitātes renovācija</w:t>
            </w:r>
          </w:p>
        </w:tc>
      </w:tr>
      <w:tr w:rsidR="00776A1F" w14:paraId="2194D2E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1D1126" w14:textId="77777777" w:rsidR="00776A1F" w:rsidRDefault="00D8574B">
            <w:pPr>
              <w:pStyle w:val="P68B1DB1-Normal23"/>
              <w:spacing w:after="0"/>
              <w:jc w:val="center"/>
              <w:rPr>
                <w:rFonts w:eastAsia="Calibri" w:cs="Calibri"/>
                <w:noProof/>
                <w:sz w:val="20"/>
              </w:rPr>
            </w:pPr>
            <w:r>
              <w:rPr>
                <w:noProof/>
              </w:rPr>
              <w:t>13.8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D27D411" w14:textId="77777777" w:rsidR="00776A1F" w:rsidRDefault="00D8574B">
            <w:pPr>
              <w:pStyle w:val="P68B1DB1-Normal23"/>
              <w:spacing w:after="0"/>
              <w:jc w:val="center"/>
              <w:rPr>
                <w:rFonts w:eastAsia="Calibri" w:cs="Calibri"/>
                <w:noProof/>
                <w:sz w:val="20"/>
              </w:rPr>
            </w:pPr>
            <w:r>
              <w:rPr>
                <w:noProof/>
              </w:rPr>
              <w:t>TC-C13-i03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BFF745B"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21F9B47" w14:textId="77777777" w:rsidR="00776A1F" w:rsidRDefault="00D8574B">
            <w:pPr>
              <w:pStyle w:val="P68B1DB1-Normal23"/>
              <w:spacing w:after="0"/>
              <w:jc w:val="both"/>
              <w:rPr>
                <w:rFonts w:eastAsia="Calibri" w:cs="Calibri"/>
                <w:noProof/>
                <w:sz w:val="20"/>
              </w:rPr>
            </w:pPr>
            <w:r>
              <w:rPr>
                <w:noProof/>
              </w:rPr>
              <w:t>Privāto pakalpojumu ēku energoefektivitātes renovācija</w:t>
            </w:r>
          </w:p>
        </w:tc>
      </w:tr>
      <w:tr w:rsidR="00776A1F" w14:paraId="340E532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6CA9A8" w14:textId="77777777" w:rsidR="00776A1F" w:rsidRDefault="00D8574B">
            <w:pPr>
              <w:pStyle w:val="P68B1DB1-Normal23"/>
              <w:spacing w:after="0"/>
              <w:jc w:val="center"/>
              <w:rPr>
                <w:rFonts w:eastAsia="Calibri" w:cs="Calibri"/>
                <w:noProof/>
                <w:sz w:val="20"/>
              </w:rPr>
            </w:pPr>
            <w:r>
              <w:rPr>
                <w:noProof/>
              </w:rPr>
              <w:t>14.8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4B590E3" w14:textId="77777777" w:rsidR="00776A1F" w:rsidRDefault="00D8574B">
            <w:pPr>
              <w:pStyle w:val="P68B1DB1-Normal23"/>
              <w:spacing w:after="0"/>
              <w:jc w:val="center"/>
              <w:rPr>
                <w:rFonts w:eastAsia="Calibri" w:cs="Calibri"/>
                <w:noProof/>
                <w:sz w:val="20"/>
              </w:rPr>
            </w:pPr>
            <w:r>
              <w:rPr>
                <w:noProof/>
              </w:rPr>
              <w:t>TC-C14-i02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4841BCD"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B2B37F4" w14:textId="77777777" w:rsidR="00776A1F" w:rsidRDefault="00D8574B">
            <w:pPr>
              <w:pStyle w:val="P68B1DB1-Normal23"/>
              <w:spacing w:after="0"/>
              <w:jc w:val="both"/>
              <w:rPr>
                <w:rFonts w:eastAsia="Calibri" w:cs="Calibri"/>
                <w:noProof/>
                <w:sz w:val="20"/>
              </w:rPr>
            </w:pPr>
            <w:r>
              <w:rPr>
                <w:noProof/>
              </w:rPr>
              <w:t>Papildu jauda jaunas uzstādītās jaudas integrēšanai elektroenerģijas sistēmā</w:t>
            </w:r>
          </w:p>
        </w:tc>
      </w:tr>
      <w:tr w:rsidR="00776A1F" w14:paraId="0BF233C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97B10B" w14:textId="77777777" w:rsidR="00776A1F" w:rsidRDefault="00D8574B">
            <w:pPr>
              <w:pStyle w:val="P68B1DB1-Normal23"/>
              <w:spacing w:after="0"/>
              <w:jc w:val="center"/>
              <w:rPr>
                <w:rFonts w:eastAsia="Calibri" w:cs="Calibri"/>
                <w:noProof/>
                <w:sz w:val="20"/>
              </w:rPr>
            </w:pPr>
            <w:r>
              <w:rPr>
                <w:noProof/>
              </w:rPr>
              <w:t>17.24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A6FB23C" w14:textId="52A4CD72" w:rsidR="00776A1F" w:rsidRDefault="00D8574B">
            <w:pPr>
              <w:pStyle w:val="P68B1DB1-Normal23"/>
              <w:spacing w:after="0"/>
              <w:jc w:val="center"/>
              <w:rPr>
                <w:rFonts w:eastAsia="Calibri" w:cs="Calibri"/>
                <w:noProof/>
                <w:sz w:val="20"/>
              </w:rPr>
            </w:pPr>
            <w:r>
              <w:rPr>
                <w:noProof/>
              </w:rPr>
              <w:t>TD-C17-r40</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A158D53" w14:textId="77777777" w:rsidR="00776A1F" w:rsidRDefault="00D8574B">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7DB87B7" w14:textId="77777777" w:rsidR="00776A1F" w:rsidRDefault="00D8574B">
            <w:pPr>
              <w:pStyle w:val="P68B1DB1-Normal23"/>
              <w:spacing w:after="0"/>
              <w:jc w:val="both"/>
              <w:rPr>
                <w:rFonts w:eastAsia="Calibri" w:cs="Calibri"/>
                <w:noProof/>
                <w:sz w:val="20"/>
              </w:rPr>
            </w:pPr>
            <w:r>
              <w:rPr>
                <w:noProof/>
              </w:rPr>
              <w:t>U-TAX novērtējuma ziņojuma par esošajiem nodokļu atvieglojumiem publicēšana</w:t>
            </w:r>
          </w:p>
        </w:tc>
      </w:tr>
      <w:tr w:rsidR="00776A1F" w14:paraId="0AC27CC9"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B9FB6A" w14:textId="77777777" w:rsidR="00776A1F" w:rsidRDefault="00D8574B">
            <w:pPr>
              <w:pStyle w:val="P68B1DB1-Normal23"/>
              <w:spacing w:after="0"/>
              <w:jc w:val="center"/>
              <w:rPr>
                <w:rFonts w:eastAsia="Calibri" w:cs="Calibri"/>
                <w:noProof/>
                <w:sz w:val="20"/>
              </w:rPr>
            </w:pPr>
            <w:r>
              <w:rPr>
                <w:noProof/>
              </w:rPr>
              <w:t>19.16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AEEF756" w14:textId="77777777" w:rsidR="00776A1F" w:rsidRDefault="00D8574B">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C937250"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F953943" w14:textId="77777777" w:rsidR="00776A1F" w:rsidRDefault="00D8574B">
            <w:pPr>
              <w:pStyle w:val="P68B1DB1-Normal23"/>
              <w:spacing w:after="0"/>
              <w:jc w:val="both"/>
              <w:rPr>
                <w:rFonts w:eastAsia="Calibri" w:cs="Calibri"/>
                <w:noProof/>
                <w:sz w:val="20"/>
              </w:rPr>
            </w:pPr>
            <w:r>
              <w:rPr>
                <w:noProof/>
              </w:rPr>
              <w:t>Publiskie pakalpojumi iedzīvotājiem, apmeklētājiem un uzņēmumiem AZS</w:t>
            </w:r>
          </w:p>
        </w:tc>
      </w:tr>
      <w:tr w:rsidR="00776A1F" w14:paraId="57E07F0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9DC65" w14:textId="77777777" w:rsidR="00776A1F" w:rsidRDefault="00D8574B">
            <w:pPr>
              <w:pStyle w:val="P68B1DB1-Normal23"/>
              <w:spacing w:after="0"/>
              <w:jc w:val="center"/>
              <w:rPr>
                <w:rFonts w:eastAsia="Calibri" w:cs="Calibri"/>
                <w:noProof/>
                <w:sz w:val="20"/>
              </w:rPr>
            </w:pPr>
            <w:r>
              <w:rPr>
                <w:noProof/>
              </w:rPr>
              <w:t>19.17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0C9036E" w14:textId="77777777" w:rsidR="00776A1F" w:rsidRDefault="00D8574B">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A956CA7" w14:textId="77777777" w:rsidR="00776A1F" w:rsidRDefault="00D8574B">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760667" w14:textId="77777777" w:rsidR="00776A1F" w:rsidRDefault="00D8574B">
            <w:pPr>
              <w:pStyle w:val="P68B1DB1-Normal23"/>
              <w:spacing w:after="0"/>
              <w:jc w:val="both"/>
              <w:rPr>
                <w:rFonts w:eastAsia="Calibri" w:cs="Calibri"/>
                <w:noProof/>
                <w:sz w:val="20"/>
              </w:rPr>
            </w:pPr>
            <w:r>
              <w:rPr>
                <w:noProof/>
              </w:rPr>
              <w:t>AZS kritiskās infrastruktūras un publisko pakalpojumu datorarhitektūras modernizācija</w:t>
            </w:r>
          </w:p>
        </w:tc>
      </w:tr>
      <w:tr w:rsidR="00776A1F" w14:paraId="50C6DABF"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A76E346" w14:textId="77777777" w:rsidR="00776A1F" w:rsidRDefault="00D8574B">
            <w:pPr>
              <w:pStyle w:val="P68B1DB1-Normal23"/>
              <w:spacing w:after="0"/>
              <w:jc w:val="center"/>
              <w:rPr>
                <w:rFonts w:eastAsia="Calibri" w:cs="Calibri"/>
                <w:noProof/>
              </w:rPr>
            </w:pPr>
            <w:r>
              <w:rPr>
                <w:noProof/>
              </w:rPr>
              <w:t>19.27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DF9CE32" w14:textId="77777777" w:rsidR="00776A1F" w:rsidRDefault="00D8574B">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3681EDF"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C750829" w14:textId="5FBBDF08" w:rsidR="00776A1F" w:rsidRDefault="00D8574B">
            <w:pPr>
              <w:pStyle w:val="P68B1DB1-Normal23"/>
              <w:spacing w:after="0"/>
              <w:jc w:val="both"/>
              <w:rPr>
                <w:rFonts w:eastAsia="Calibri" w:cs="Calibri"/>
                <w:noProof/>
              </w:rPr>
            </w:pPr>
            <w:r>
              <w:rPr>
                <w:noProof/>
              </w:rPr>
              <w:t>Pilsoņu pieteikums</w:t>
            </w:r>
          </w:p>
        </w:tc>
      </w:tr>
      <w:tr w:rsidR="00776A1F" w14:paraId="308524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70544E" w14:textId="77777777" w:rsidR="00776A1F" w:rsidRDefault="00D8574B">
            <w:pPr>
              <w:pStyle w:val="P68B1DB1-Normal23"/>
              <w:spacing w:after="0"/>
              <w:jc w:val="center"/>
              <w:rPr>
                <w:rFonts w:eastAsia="Calibri" w:cs="Calibri"/>
                <w:noProof/>
                <w:sz w:val="20"/>
              </w:rPr>
            </w:pPr>
            <w:r>
              <w:rPr>
                <w:noProof/>
              </w:rPr>
              <w:t>19.34</w:t>
            </w:r>
          </w:p>
        </w:tc>
        <w:tc>
          <w:tcPr>
            <w:tcW w:w="1760" w:type="dxa"/>
            <w:tcBorders>
              <w:top w:val="nil"/>
              <w:left w:val="nil"/>
              <w:bottom w:val="single" w:sz="4" w:space="0" w:color="auto"/>
              <w:right w:val="single" w:sz="4" w:space="0" w:color="auto"/>
            </w:tcBorders>
            <w:shd w:val="clear" w:color="auto" w:fill="C4EFCE"/>
            <w:vAlign w:val="center"/>
            <w:hideMark/>
          </w:tcPr>
          <w:p w14:paraId="5A5F2BD8" w14:textId="77777777" w:rsidR="00776A1F" w:rsidRDefault="00D8574B">
            <w:pPr>
              <w:pStyle w:val="P68B1DB1-Normal23"/>
              <w:spacing w:after="0"/>
              <w:jc w:val="center"/>
              <w:rPr>
                <w:rFonts w:eastAsia="Calibri" w:cs="Calibri"/>
                <w:noProof/>
                <w:sz w:val="20"/>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1021F2E2" w14:textId="77777777" w:rsidR="00776A1F" w:rsidRDefault="00D8574B">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16F93C9" w14:textId="77777777" w:rsidR="00776A1F" w:rsidRDefault="00D8574B">
            <w:pPr>
              <w:pStyle w:val="P68B1DB1-Normal23"/>
              <w:spacing w:after="0"/>
              <w:jc w:val="both"/>
              <w:rPr>
                <w:rFonts w:eastAsia="Calibri" w:cs="Calibri"/>
                <w:noProof/>
                <w:sz w:val="20"/>
              </w:rPr>
            </w:pPr>
            <w:r>
              <w:rPr>
                <w:noProof/>
              </w:rPr>
              <w:t>Viedo teritoriju portāla atklāšana</w:t>
            </w:r>
          </w:p>
        </w:tc>
      </w:tr>
      <w:tr w:rsidR="00776A1F" w14:paraId="32DC818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DC72C2" w14:textId="77777777" w:rsidR="00776A1F" w:rsidRDefault="00D8574B">
            <w:pPr>
              <w:pStyle w:val="P68B1DB1-Normal23"/>
              <w:spacing w:after="0"/>
              <w:jc w:val="center"/>
              <w:rPr>
                <w:rFonts w:eastAsia="Calibri" w:cs="Calibri"/>
                <w:noProof/>
                <w:sz w:val="20"/>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6A2B827C" w14:textId="77777777" w:rsidR="00776A1F" w:rsidRDefault="00D8574B">
            <w:pPr>
              <w:pStyle w:val="P68B1DB1-Normal23"/>
              <w:spacing w:after="0"/>
              <w:jc w:val="center"/>
              <w:rPr>
                <w:rFonts w:eastAsia="Calibri" w:cs="Calibri"/>
                <w:noProof/>
                <w:sz w:val="20"/>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2239B6F9" w14:textId="77777777" w:rsidR="00776A1F" w:rsidRDefault="00D8574B">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B2D45D3" w14:textId="77777777" w:rsidR="00776A1F" w:rsidRDefault="00D8574B">
            <w:pPr>
              <w:pStyle w:val="P68B1DB1-Normal23"/>
              <w:spacing w:after="0"/>
              <w:jc w:val="both"/>
              <w:rPr>
                <w:rFonts w:eastAsia="Calibri" w:cs="Calibri"/>
                <w:noProof/>
                <w:sz w:val="20"/>
              </w:rPr>
            </w:pPr>
            <w:r>
              <w:rPr>
                <w:noProof/>
              </w:rPr>
              <w:t>Finanšu instrumenta izveide enerģētiskās nabadzības novēršanai</w:t>
            </w:r>
          </w:p>
        </w:tc>
      </w:tr>
      <w:tr w:rsidR="00776A1F" w14:paraId="5FD1D2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62C627" w14:textId="77777777" w:rsidR="00776A1F" w:rsidRDefault="00D8574B">
            <w:pPr>
              <w:pStyle w:val="P68B1DB1-Normal23"/>
              <w:spacing w:after="0"/>
              <w:jc w:val="center"/>
              <w:rPr>
                <w:rFonts w:eastAsia="Calibri" w:cs="Calibri"/>
                <w:noProof/>
                <w:sz w:val="20"/>
              </w:rPr>
            </w:pPr>
            <w:r>
              <w:rPr>
                <w:noProof/>
              </w:rPr>
              <w:t>21.11</w:t>
            </w:r>
          </w:p>
        </w:tc>
        <w:tc>
          <w:tcPr>
            <w:tcW w:w="1760" w:type="dxa"/>
            <w:tcBorders>
              <w:top w:val="nil"/>
              <w:left w:val="nil"/>
              <w:bottom w:val="single" w:sz="4" w:space="0" w:color="auto"/>
              <w:right w:val="single" w:sz="4" w:space="0" w:color="auto"/>
            </w:tcBorders>
            <w:shd w:val="clear" w:color="auto" w:fill="C4EFCE"/>
            <w:vAlign w:val="center"/>
            <w:hideMark/>
          </w:tcPr>
          <w:p w14:paraId="7858AE64" w14:textId="77777777" w:rsidR="00776A1F" w:rsidRDefault="00D8574B">
            <w:pPr>
              <w:pStyle w:val="P68B1DB1-Normal23"/>
              <w:spacing w:after="0"/>
              <w:jc w:val="center"/>
              <w:rPr>
                <w:rFonts w:eastAsia="Calibri" w:cs="Calibri"/>
                <w:noProof/>
                <w:sz w:val="20"/>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7D272590" w14:textId="77777777" w:rsidR="00776A1F" w:rsidRDefault="00D8574B">
            <w:pPr>
              <w:pStyle w:val="P68B1DB1-Normal23"/>
              <w:spacing w:after="0"/>
              <w:jc w:val="center"/>
              <w:rPr>
                <w:rFonts w:eastAsia="Calibri" w:cs="Calibri"/>
                <w:noProof/>
                <w:sz w:val="20"/>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1D91399" w14:textId="77777777" w:rsidR="00776A1F" w:rsidRDefault="00D8574B">
            <w:pPr>
              <w:pStyle w:val="P68B1DB1-Normal23"/>
              <w:spacing w:after="0"/>
              <w:jc w:val="both"/>
              <w:rPr>
                <w:rFonts w:eastAsia="Calibri" w:cs="Calibri"/>
                <w:noProof/>
                <w:sz w:val="20"/>
              </w:rPr>
            </w:pPr>
            <w:r>
              <w:rPr>
                <w:noProof/>
              </w:rPr>
              <w:t>Espaços Cidadão Energia darbības uzsākšana</w:t>
            </w:r>
          </w:p>
        </w:tc>
      </w:tr>
      <w:tr w:rsidR="00776A1F" w14:paraId="47B732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80F8D5" w14:textId="77777777" w:rsidR="00776A1F" w:rsidRDefault="00D8574B">
            <w:pPr>
              <w:pStyle w:val="P68B1DB1-Normal23"/>
              <w:spacing w:after="0"/>
              <w:jc w:val="center"/>
              <w:rPr>
                <w:rFonts w:eastAsia="Calibri" w:cs="Calibri"/>
                <w:noProof/>
              </w:rPr>
            </w:pPr>
            <w:r>
              <w:rPr>
                <w:noProof/>
              </w:rPr>
              <w:t>21.31</w:t>
            </w:r>
          </w:p>
        </w:tc>
        <w:tc>
          <w:tcPr>
            <w:tcW w:w="1760" w:type="dxa"/>
            <w:tcBorders>
              <w:top w:val="nil"/>
              <w:left w:val="nil"/>
              <w:bottom w:val="single" w:sz="4" w:space="0" w:color="auto"/>
              <w:right w:val="single" w:sz="4" w:space="0" w:color="auto"/>
            </w:tcBorders>
            <w:shd w:val="clear" w:color="auto" w:fill="C4EFCE"/>
            <w:vAlign w:val="center"/>
            <w:hideMark/>
          </w:tcPr>
          <w:p w14:paraId="61D6C730" w14:textId="5CCAB5AE" w:rsidR="00776A1F" w:rsidRDefault="00D8574B">
            <w:pPr>
              <w:pStyle w:val="P68B1DB1-Normal23"/>
              <w:spacing w:after="0"/>
              <w:jc w:val="center"/>
              <w:rPr>
                <w:rFonts w:eastAsia="Calibri" w:cs="Calibri"/>
                <w:noProof/>
              </w:rPr>
            </w:pPr>
            <w:r>
              <w:rPr>
                <w:noProof/>
              </w:rPr>
              <w:t>RP-C21-i9</w:t>
            </w:r>
          </w:p>
        </w:tc>
        <w:tc>
          <w:tcPr>
            <w:tcW w:w="1520" w:type="dxa"/>
            <w:tcBorders>
              <w:top w:val="nil"/>
              <w:left w:val="nil"/>
              <w:bottom w:val="single" w:sz="4" w:space="0" w:color="auto"/>
              <w:right w:val="single" w:sz="4" w:space="0" w:color="auto"/>
            </w:tcBorders>
            <w:shd w:val="clear" w:color="auto" w:fill="C4EFCE"/>
            <w:vAlign w:val="center"/>
            <w:hideMark/>
          </w:tcPr>
          <w:p w14:paraId="07A4650B"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8C4F9FD" w14:textId="77777777" w:rsidR="00776A1F" w:rsidRDefault="00D8574B">
            <w:pPr>
              <w:pStyle w:val="P68B1DB1-Normal23"/>
              <w:spacing w:after="0"/>
              <w:jc w:val="both"/>
              <w:rPr>
                <w:rFonts w:eastAsia="Calibri" w:cs="Calibri"/>
                <w:noProof/>
              </w:rPr>
            </w:pPr>
            <w:r>
              <w:rPr>
                <w:noProof/>
              </w:rPr>
              <w:t>Sāks darboties digitālās platformas One — Stop -Shop otrās fāzes moduļi atjaunīgās enerģijas projektu atļauju izsniegšanai un uzraudzībai un esošo atļauju izsniegšanas dokumentu dematerializācijas procesa pabeigšana.</w:t>
            </w:r>
          </w:p>
        </w:tc>
      </w:tr>
      <w:tr w:rsidR="00776A1F" w14:paraId="769B3C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091AEE"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2A5B0B5B" w14:textId="77777777" w:rsidR="00776A1F" w:rsidRDefault="00D8574B">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01CF754F"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tcBorders>
              <w:top w:val="nil"/>
              <w:left w:val="nil"/>
              <w:bottom w:val="single" w:sz="4" w:space="0" w:color="auto"/>
              <w:right w:val="single" w:sz="4" w:space="0" w:color="auto"/>
            </w:tcBorders>
            <w:shd w:val="clear" w:color="auto" w:fill="C4EFCE"/>
            <w:vAlign w:val="center"/>
            <w:hideMark/>
          </w:tcPr>
          <w:p w14:paraId="0ED4039C" w14:textId="7BBDA010" w:rsidR="00776A1F" w:rsidRDefault="00D8574B">
            <w:pPr>
              <w:pStyle w:val="P68B1DB1-Normal25"/>
              <w:spacing w:after="0" w:line="240" w:lineRule="auto"/>
              <w:jc w:val="center"/>
              <w:rPr>
                <w:rFonts w:cs="Calibri"/>
                <w:noProof/>
              </w:rPr>
            </w:pPr>
            <w:r>
              <w:rPr>
                <w:noProof/>
              </w:rPr>
              <w:t xml:space="preserve">1 056 518 233 EUR </w:t>
            </w:r>
          </w:p>
        </w:tc>
      </w:tr>
    </w:tbl>
    <w:p w14:paraId="3C5CDC41"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517A6F5F"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Devītais maksājuma pieprasījums (neatmaksājams atbalsts): </w:t>
      </w:r>
    </w:p>
    <w:p w14:paraId="610F6D78"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042"/>
        <w:gridCol w:w="1455"/>
        <w:gridCol w:w="1983"/>
        <w:gridCol w:w="5060"/>
      </w:tblGrid>
      <w:tr w:rsidR="00776A1F" w14:paraId="0D25D50E" w14:textId="77777777">
        <w:trPr>
          <w:trHeight w:val="509"/>
          <w:tblHeader/>
        </w:trPr>
        <w:tc>
          <w:tcPr>
            <w:tcW w:w="1200" w:type="dxa"/>
            <w:vMerge w:val="restart"/>
            <w:tcBorders>
              <w:top w:val="single" w:sz="4" w:space="0" w:color="auto"/>
              <w:left w:val="single" w:sz="4" w:space="0" w:color="auto"/>
              <w:right w:val="single" w:sz="4" w:space="0" w:color="auto"/>
            </w:tcBorders>
            <w:shd w:val="clear" w:color="auto" w:fill="BDD7EE"/>
            <w:vAlign w:val="center"/>
            <w:hideMark/>
          </w:tcPr>
          <w:p w14:paraId="27E78C42"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tcBorders>
              <w:top w:val="single" w:sz="4" w:space="0" w:color="auto"/>
              <w:left w:val="single" w:sz="4" w:space="0" w:color="auto"/>
              <w:right w:val="single" w:sz="4" w:space="0" w:color="auto"/>
            </w:tcBorders>
            <w:shd w:val="clear" w:color="auto" w:fill="BDD7EE"/>
            <w:vAlign w:val="center"/>
            <w:hideMark/>
          </w:tcPr>
          <w:p w14:paraId="78FC7685"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tcBorders>
              <w:top w:val="single" w:sz="4" w:space="0" w:color="auto"/>
              <w:left w:val="single" w:sz="4" w:space="0" w:color="auto"/>
              <w:right w:val="single" w:sz="4" w:space="0" w:color="auto"/>
            </w:tcBorders>
            <w:shd w:val="clear" w:color="auto" w:fill="BDD7EE"/>
            <w:vAlign w:val="center"/>
            <w:hideMark/>
          </w:tcPr>
          <w:p w14:paraId="085BD584"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1ACC8B"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1782CE3F"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F6B246B" w14:textId="77777777" w:rsidR="00776A1F" w:rsidRDefault="00776A1F">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C610EC3" w14:textId="77777777" w:rsidR="00776A1F" w:rsidRDefault="00776A1F">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2802C47" w14:textId="77777777" w:rsidR="00776A1F" w:rsidRDefault="00776A1F">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4A2F66AD" w14:textId="77777777" w:rsidR="00776A1F" w:rsidRDefault="00776A1F">
            <w:pPr>
              <w:spacing w:after="0" w:line="240" w:lineRule="auto"/>
              <w:rPr>
                <w:rFonts w:ascii="Times New Roman" w:eastAsia="Times New Roman" w:hAnsi="Times New Roman" w:cs="Times New Roman"/>
                <w:b/>
                <w:noProof/>
                <w:sz w:val="20"/>
              </w:rPr>
            </w:pPr>
          </w:p>
        </w:tc>
      </w:tr>
      <w:tr w:rsidR="00776A1F" w14:paraId="22F761C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02F00BC" w14:textId="77777777" w:rsidR="00776A1F" w:rsidRDefault="00D8574B">
            <w:pPr>
              <w:pStyle w:val="P68B1DB1-Normal23"/>
              <w:spacing w:after="0"/>
              <w:jc w:val="center"/>
              <w:rPr>
                <w:rFonts w:eastAsia="Calibri" w:cs="Calibri"/>
                <w:noProof/>
              </w:rPr>
            </w:pPr>
            <w:r>
              <w:rPr>
                <w:noProof/>
              </w:rPr>
              <w:t>1.9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763BE876" w14:textId="77777777" w:rsidR="00776A1F" w:rsidRDefault="00D8574B">
            <w:pPr>
              <w:pStyle w:val="P68B1DB1-Normal23"/>
              <w:spacing w:after="0"/>
              <w:jc w:val="center"/>
              <w:rPr>
                <w:rFonts w:eastAsia="Calibri" w:cs="Calibri"/>
                <w:noProof/>
              </w:rPr>
            </w:pPr>
            <w:r>
              <w:rPr>
                <w:noProof/>
              </w:rPr>
              <w:t>Re-C01-r03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351F199"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9AE68CE" w14:textId="77777777" w:rsidR="00776A1F" w:rsidRDefault="00D8574B">
            <w:pPr>
              <w:pStyle w:val="P68B1DB1-Normal23"/>
              <w:spacing w:after="0"/>
              <w:jc w:val="both"/>
              <w:rPr>
                <w:rFonts w:eastAsia="Calibri" w:cs="Calibri"/>
                <w:noProof/>
              </w:rPr>
            </w:pPr>
            <w:r>
              <w:rPr>
                <w:noProof/>
              </w:rPr>
              <w:t>Jaunu integrētu atbildības centru izveide Valsts veselības dienesta slimnīcās</w:t>
            </w:r>
          </w:p>
        </w:tc>
      </w:tr>
      <w:tr w:rsidR="00776A1F" w14:paraId="5CFF73B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076FF3CE" w14:textId="77777777" w:rsidR="00776A1F" w:rsidRDefault="00D8574B">
            <w:pPr>
              <w:pStyle w:val="P68B1DB1-Normal23"/>
              <w:spacing w:after="0"/>
              <w:jc w:val="center"/>
              <w:rPr>
                <w:rFonts w:eastAsia="Calibri" w:cs="Calibri"/>
                <w:noProof/>
              </w:rPr>
            </w:pPr>
            <w:r>
              <w:rPr>
                <w:noProof/>
              </w:rPr>
              <w:t>1.21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CE8E2C0" w14:textId="77777777" w:rsidR="00776A1F" w:rsidRDefault="00D8574B">
            <w:pPr>
              <w:pStyle w:val="P68B1DB1-Normal23"/>
              <w:spacing w:after="0"/>
              <w:jc w:val="center"/>
              <w:rPr>
                <w:rFonts w:eastAsia="Calibri" w:cs="Calibri"/>
                <w:noProof/>
              </w:rPr>
            </w:pPr>
            <w:r>
              <w:rPr>
                <w:noProof/>
              </w:rPr>
              <w:t>Re-C01-i02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4FD371"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3A6F5AE9" w14:textId="77777777" w:rsidR="00776A1F" w:rsidRDefault="00D8574B">
            <w:pPr>
              <w:pStyle w:val="P68B1DB1-Normal23"/>
              <w:spacing w:after="0"/>
              <w:jc w:val="both"/>
              <w:rPr>
                <w:rFonts w:eastAsia="Calibri" w:cs="Calibri"/>
                <w:noProof/>
              </w:rPr>
            </w:pPr>
            <w:r>
              <w:rPr>
                <w:noProof/>
              </w:rPr>
              <w:t>Stiprināt valsts integrēto nepārtrauktas aprūpes un paliatīvās aprūpes pakalpojumu tīklu reaģēšanas spējas stacionāro un ambulatoro aprūpi</w:t>
            </w:r>
          </w:p>
        </w:tc>
      </w:tr>
      <w:tr w:rsidR="00776A1F" w14:paraId="1E600A4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06E981" w14:textId="77777777" w:rsidR="00776A1F" w:rsidRDefault="00D8574B">
            <w:pPr>
              <w:pStyle w:val="P68B1DB1-Normal23"/>
              <w:spacing w:after="0"/>
              <w:jc w:val="center"/>
              <w:rPr>
                <w:rFonts w:eastAsia="Calibri" w:cs="Calibri"/>
                <w:noProof/>
              </w:rPr>
            </w:pPr>
            <w:r>
              <w:rPr>
                <w:noProof/>
              </w:rPr>
              <w:t>1.23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738D247" w14:textId="77777777" w:rsidR="00776A1F" w:rsidRDefault="00D8574B">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9E7D485"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DD0CD48" w14:textId="77777777" w:rsidR="00776A1F" w:rsidRDefault="00D8574B">
            <w:pPr>
              <w:pStyle w:val="P68B1DB1-Normal23"/>
              <w:spacing w:after="0"/>
              <w:jc w:val="both"/>
              <w:rPr>
                <w:rFonts w:eastAsia="Calibri" w:cs="Calibri"/>
                <w:noProof/>
              </w:rPr>
            </w:pPr>
            <w:r>
              <w:rPr>
                <w:noProof/>
              </w:rPr>
              <w:t>Tiesu ekspertīzes psihiatrijas vienību un aprīkojuma atjaunošana</w:t>
            </w:r>
          </w:p>
        </w:tc>
      </w:tr>
      <w:tr w:rsidR="00776A1F" w14:paraId="5216BA78"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7694A3" w14:textId="77777777" w:rsidR="00776A1F" w:rsidRDefault="00D8574B">
            <w:pPr>
              <w:pStyle w:val="P68B1DB1-Normal23"/>
              <w:spacing w:after="0"/>
              <w:jc w:val="center"/>
              <w:rPr>
                <w:rFonts w:eastAsia="Calibri" w:cs="Calibri"/>
                <w:noProof/>
              </w:rPr>
            </w:pPr>
            <w:r>
              <w:rPr>
                <w:noProof/>
              </w:rPr>
              <w:t>1.25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1312B6D" w14:textId="77777777" w:rsidR="00776A1F" w:rsidRDefault="00D8574B">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65BB1E4" w14:textId="77777777" w:rsidR="00776A1F" w:rsidRDefault="00D8574B">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6C441A2" w14:textId="77777777" w:rsidR="00776A1F" w:rsidRDefault="00D8574B">
            <w:pPr>
              <w:pStyle w:val="P68B1DB1-Normal23"/>
              <w:spacing w:after="0"/>
              <w:jc w:val="both"/>
              <w:rPr>
                <w:rFonts w:eastAsia="Calibri" w:cs="Calibri"/>
                <w:noProof/>
              </w:rPr>
            </w:pPr>
            <w:r>
              <w:rPr>
                <w:noProof/>
              </w:rPr>
              <w:t>Garīgās veselības aprūpes tīkla stiprināšanas pabeigšana</w:t>
            </w:r>
          </w:p>
        </w:tc>
      </w:tr>
      <w:tr w:rsidR="00776A1F" w14:paraId="45D850E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FC6688" w14:textId="77777777" w:rsidR="00776A1F" w:rsidRDefault="00D8574B">
            <w:pPr>
              <w:pStyle w:val="P68B1DB1-Normal23"/>
              <w:spacing w:after="0"/>
              <w:jc w:val="center"/>
              <w:rPr>
                <w:rFonts w:eastAsia="Calibri" w:cs="Calibri"/>
                <w:noProof/>
              </w:rPr>
            </w:pPr>
            <w:r>
              <w:rPr>
                <w:noProof/>
              </w:rPr>
              <w:t>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9F6608D" w14:textId="77777777" w:rsidR="00776A1F" w:rsidRDefault="00D8574B">
            <w:pPr>
              <w:pStyle w:val="P68B1DB1-Normal23"/>
              <w:spacing w:after="0"/>
              <w:jc w:val="center"/>
              <w:rPr>
                <w:rFonts w:eastAsia="Calibri" w:cs="Calibri"/>
                <w:noProof/>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BE2BF56"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4D33655" w14:textId="77777777" w:rsidR="00776A1F" w:rsidRDefault="00D8574B">
            <w:pPr>
              <w:pStyle w:val="P68B1DB1-Normal23"/>
              <w:spacing w:after="0"/>
              <w:jc w:val="both"/>
              <w:rPr>
                <w:rFonts w:eastAsia="Calibri" w:cs="Calibri"/>
                <w:noProof/>
              </w:rPr>
            </w:pPr>
            <w:r>
              <w:rPr>
                <w:noProof/>
              </w:rPr>
              <w:t>Vietu skaita pieaugums integrētās nepārtrauktās aprūpes pakalpojumos Madeiras reģionālajā veselības aprūpes dienestā</w:t>
            </w:r>
          </w:p>
        </w:tc>
      </w:tr>
      <w:tr w:rsidR="00776A1F" w14:paraId="307E282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tcPr>
          <w:p w14:paraId="16A417E4" w14:textId="77777777" w:rsidR="00776A1F" w:rsidRDefault="00D8574B">
            <w:pPr>
              <w:pStyle w:val="P68B1DB1-Normal23"/>
              <w:spacing w:after="0"/>
              <w:jc w:val="center"/>
              <w:rPr>
                <w:rFonts w:eastAsia="Calibri" w:cs="Calibri"/>
                <w:noProof/>
              </w:rPr>
            </w:pPr>
            <w:r>
              <w:rPr>
                <w:noProof/>
              </w:rPr>
              <w:t>1.30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3035503C" w14:textId="77777777" w:rsidR="00776A1F" w:rsidRDefault="00D8574B">
            <w:pPr>
              <w:pStyle w:val="P68B1DB1-Normal8"/>
              <w:spacing w:after="0"/>
              <w:jc w:val="center"/>
              <w:rPr>
                <w:rFonts w:eastAsia="Calibri" w:cs="Calibri"/>
                <w:noProof/>
                <w:sz w:val="18"/>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0853CF70"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1249B3A9" w14:textId="77777777" w:rsidR="00776A1F" w:rsidRDefault="00D8574B">
            <w:pPr>
              <w:pStyle w:val="P68B1DB1-Normal8"/>
              <w:spacing w:after="0"/>
              <w:jc w:val="both"/>
              <w:rPr>
                <w:rFonts w:eastAsia="Calibri" w:cs="Calibri"/>
                <w:noProof/>
                <w:sz w:val="18"/>
              </w:rPr>
            </w:pPr>
            <w:r>
              <w:rPr>
                <w:noProof/>
              </w:rPr>
              <w:t>Vietu skaita pieaugums integrētās nepārtrauktās aprūpes pakalpojumos Madeiras reģionālajā veselības aprūpes dienestā</w:t>
            </w:r>
          </w:p>
        </w:tc>
      </w:tr>
      <w:tr w:rsidR="00776A1F" w14:paraId="25064C9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2D7E84A" w14:textId="77777777" w:rsidR="00776A1F" w:rsidRDefault="00D8574B">
            <w:pPr>
              <w:pStyle w:val="P68B1DB1-Normal23"/>
              <w:spacing w:after="0"/>
              <w:jc w:val="center"/>
              <w:rPr>
                <w:rFonts w:eastAsia="Calibri" w:cs="Calibri"/>
                <w:noProof/>
              </w:rPr>
            </w:pPr>
            <w:r>
              <w:rPr>
                <w:noProof/>
              </w:rPr>
              <w:t>1.36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FF74396" w14:textId="77777777" w:rsidR="00776A1F" w:rsidRDefault="00D8574B">
            <w:pPr>
              <w:pStyle w:val="P68B1DB1-Normal23"/>
              <w:spacing w:after="0"/>
              <w:jc w:val="center"/>
              <w:rPr>
                <w:rFonts w:eastAsia="Calibri" w:cs="Calibri"/>
                <w:noProof/>
              </w:rPr>
            </w:pPr>
            <w:r>
              <w:rPr>
                <w:noProof/>
              </w:rPr>
              <w:t>Re-C01-i08-RAA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BE8B021"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8B9A547" w14:textId="77777777" w:rsidR="00776A1F" w:rsidRDefault="00D8574B">
            <w:pPr>
              <w:pStyle w:val="P68B1DB1-Normal23"/>
              <w:spacing w:after="0"/>
              <w:jc w:val="both"/>
              <w:rPr>
                <w:rFonts w:eastAsia="Calibri" w:cs="Calibri"/>
                <w:noProof/>
              </w:rPr>
            </w:pPr>
            <w:r>
              <w:rPr>
                <w:noProof/>
              </w:rPr>
              <w:t>Uzlabota piekļuve Azoru salu reģionālā veselības dienesta lietotāju portālam</w:t>
            </w:r>
          </w:p>
        </w:tc>
      </w:tr>
      <w:tr w:rsidR="00776A1F" w14:paraId="3A971B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B6093C" w14:textId="77777777" w:rsidR="00776A1F" w:rsidRDefault="00D8574B">
            <w:pPr>
              <w:pStyle w:val="P68B1DB1-Normal23"/>
              <w:spacing w:after="0"/>
              <w:jc w:val="center"/>
              <w:rPr>
                <w:rFonts w:eastAsia="Calibri" w:cs="Calibri"/>
                <w:noProof/>
              </w:rPr>
            </w:pPr>
            <w:r>
              <w:rPr>
                <w:noProof/>
              </w:rPr>
              <w:t>1.38</w:t>
            </w:r>
          </w:p>
        </w:tc>
        <w:tc>
          <w:tcPr>
            <w:tcW w:w="1760" w:type="dxa"/>
            <w:tcBorders>
              <w:top w:val="nil"/>
              <w:left w:val="nil"/>
              <w:bottom w:val="single" w:sz="4" w:space="0" w:color="auto"/>
              <w:right w:val="single" w:sz="4" w:space="0" w:color="auto"/>
            </w:tcBorders>
            <w:shd w:val="clear" w:color="auto" w:fill="C4EFCE"/>
            <w:vAlign w:val="center"/>
            <w:hideMark/>
          </w:tcPr>
          <w:p w14:paraId="4B8D39B5" w14:textId="77777777" w:rsidR="00776A1F" w:rsidRDefault="00D8574B">
            <w:pPr>
              <w:pStyle w:val="P68B1DB1-Normal23"/>
              <w:spacing w:after="0"/>
              <w:jc w:val="center"/>
              <w:rPr>
                <w:rFonts w:eastAsia="Calibri" w:cs="Calibri"/>
                <w:noProof/>
              </w:rPr>
            </w:pPr>
            <w:r>
              <w:rPr>
                <w:noProof/>
              </w:rPr>
              <w:t>Re-C01-i09</w:t>
            </w:r>
          </w:p>
        </w:tc>
        <w:tc>
          <w:tcPr>
            <w:tcW w:w="1520" w:type="dxa"/>
            <w:tcBorders>
              <w:top w:val="nil"/>
              <w:left w:val="nil"/>
              <w:bottom w:val="single" w:sz="4" w:space="0" w:color="auto"/>
              <w:right w:val="single" w:sz="4" w:space="0" w:color="auto"/>
            </w:tcBorders>
            <w:shd w:val="clear" w:color="auto" w:fill="C4EFCE"/>
            <w:vAlign w:val="center"/>
            <w:hideMark/>
          </w:tcPr>
          <w:p w14:paraId="03EBB8C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1CBD4E" w14:textId="77777777" w:rsidR="00776A1F" w:rsidRDefault="00D8574B">
            <w:pPr>
              <w:pStyle w:val="P68B1DB1-Normal23"/>
              <w:spacing w:after="0"/>
              <w:jc w:val="both"/>
              <w:rPr>
                <w:rFonts w:eastAsia="Calibri" w:cs="Calibri"/>
                <w:noProof/>
              </w:rPr>
            </w:pPr>
            <w:r>
              <w:rPr>
                <w:noProof/>
              </w:rPr>
              <w:t>Programmu “Skolu sporta kopiena” un “Skolu sports uz riteņiem” īstenošanas pabeigšana skolās</w:t>
            </w:r>
          </w:p>
        </w:tc>
      </w:tr>
      <w:tr w:rsidR="00776A1F" w14:paraId="6B7A456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010025" w14:textId="77777777" w:rsidR="00776A1F" w:rsidRDefault="00D8574B">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0B6F6AFA" w14:textId="77777777" w:rsidR="00776A1F" w:rsidRDefault="00D8574B">
            <w:pPr>
              <w:pStyle w:val="P68B1DB1-Normal23"/>
              <w:spacing w:after="0"/>
              <w:jc w:val="center"/>
              <w:rPr>
                <w:rFonts w:eastAsia="Calibri" w:cs="Calibri"/>
                <w:noProof/>
              </w:rPr>
            </w:pPr>
            <w:r>
              <w:rPr>
                <w:noProof/>
              </w:rPr>
              <w:t>Re-C01-i09</w:t>
            </w:r>
          </w:p>
        </w:tc>
        <w:tc>
          <w:tcPr>
            <w:tcW w:w="1520" w:type="dxa"/>
            <w:tcBorders>
              <w:top w:val="nil"/>
              <w:left w:val="nil"/>
              <w:bottom w:val="single" w:sz="4" w:space="0" w:color="auto"/>
              <w:right w:val="single" w:sz="4" w:space="0" w:color="auto"/>
            </w:tcBorders>
            <w:shd w:val="clear" w:color="auto" w:fill="C4EFCE"/>
            <w:vAlign w:val="center"/>
            <w:hideMark/>
          </w:tcPr>
          <w:p w14:paraId="4C67C300"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3B0AA18" w14:textId="77777777" w:rsidR="00776A1F" w:rsidRDefault="00D8574B">
            <w:pPr>
              <w:pStyle w:val="P68B1DB1-Normal23"/>
              <w:spacing w:after="0"/>
              <w:jc w:val="both"/>
              <w:rPr>
                <w:rFonts w:eastAsia="Calibri" w:cs="Calibri"/>
                <w:noProof/>
              </w:rPr>
            </w:pPr>
            <w:r>
              <w:rPr>
                <w:noProof/>
              </w:rPr>
              <w:t>Sākt valsts kampaņu par Universālo aktīvu dzīves atbalsta sistēmu un ar to saistīto tehnoloģisko platformu</w:t>
            </w:r>
          </w:p>
        </w:tc>
      </w:tr>
      <w:tr w:rsidR="00776A1F" w14:paraId="4976BF8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C5E686" w14:textId="77777777" w:rsidR="00776A1F" w:rsidRDefault="00D8574B">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5F2975A0" w14:textId="77777777" w:rsidR="00776A1F" w:rsidRDefault="00D8574B">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549257E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D42745D" w14:textId="77777777" w:rsidR="00776A1F" w:rsidRDefault="00D8574B">
            <w:pPr>
              <w:pStyle w:val="P68B1DB1-Normal23"/>
              <w:spacing w:after="0"/>
              <w:jc w:val="both"/>
              <w:rPr>
                <w:rFonts w:eastAsia="Calibri" w:cs="Calibri"/>
                <w:noProof/>
              </w:rPr>
            </w:pPr>
            <w:r>
              <w:rPr>
                <w:noProof/>
              </w:rPr>
              <w:t>Intervences pasākumi Azoru salu autonomā reģiona valsts mājokļu fondā — ēku būvniecība</w:t>
            </w:r>
          </w:p>
        </w:tc>
      </w:tr>
      <w:tr w:rsidR="00776A1F" w14:paraId="48998A7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9F1454" w14:textId="77777777" w:rsidR="00776A1F" w:rsidRDefault="00D8574B">
            <w:pPr>
              <w:pStyle w:val="P68B1DB1-Normal23"/>
              <w:spacing w:after="0"/>
              <w:jc w:val="center"/>
              <w:rPr>
                <w:rFonts w:eastAsia="Calibri" w:cs="Calibri"/>
                <w:noProof/>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50DBDCBE" w14:textId="77777777" w:rsidR="00776A1F" w:rsidRDefault="00D8574B">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1DB0332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A80A23" w14:textId="77777777" w:rsidR="00776A1F" w:rsidRDefault="00D8574B">
            <w:pPr>
              <w:pStyle w:val="P68B1DB1-Normal23"/>
              <w:spacing w:after="0"/>
              <w:jc w:val="both"/>
              <w:rPr>
                <w:rFonts w:eastAsia="Calibri" w:cs="Calibri"/>
                <w:noProof/>
              </w:rPr>
            </w:pPr>
            <w:r>
              <w:rPr>
                <w:noProof/>
              </w:rPr>
              <w:t>Intervences pasākumi Azoru salu autonomā reģiona publisko mājokļu fondā — renovācija</w:t>
            </w:r>
          </w:p>
        </w:tc>
      </w:tr>
      <w:tr w:rsidR="00776A1F" w14:paraId="42BE288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613E49" w14:textId="77777777" w:rsidR="00776A1F" w:rsidRDefault="00D8574B">
            <w:pPr>
              <w:pStyle w:val="P68B1DB1-Normal23"/>
              <w:spacing w:after="0"/>
              <w:jc w:val="center"/>
              <w:rPr>
                <w:rFonts w:eastAsia="Calibri" w:cs="Calibri"/>
                <w:noProof/>
              </w:rPr>
            </w:pPr>
            <w:r>
              <w:rPr>
                <w:noProof/>
              </w:rPr>
              <w:t>2.31</w:t>
            </w:r>
          </w:p>
        </w:tc>
        <w:tc>
          <w:tcPr>
            <w:tcW w:w="1760" w:type="dxa"/>
            <w:tcBorders>
              <w:top w:val="nil"/>
              <w:left w:val="nil"/>
              <w:bottom w:val="single" w:sz="4" w:space="0" w:color="auto"/>
              <w:right w:val="single" w:sz="4" w:space="0" w:color="auto"/>
            </w:tcBorders>
            <w:shd w:val="clear" w:color="auto" w:fill="C4EFCE"/>
            <w:vAlign w:val="center"/>
            <w:hideMark/>
          </w:tcPr>
          <w:p w14:paraId="3E9F4E90" w14:textId="77777777" w:rsidR="00776A1F" w:rsidRDefault="00D8574B">
            <w:pPr>
              <w:pStyle w:val="P68B1DB1-Normal23"/>
              <w:spacing w:after="0"/>
              <w:jc w:val="center"/>
              <w:rPr>
                <w:rFonts w:eastAsia="Calibri" w:cs="Calibri"/>
                <w:noProof/>
              </w:rPr>
            </w:pPr>
            <w:r>
              <w:rPr>
                <w:noProof/>
              </w:rPr>
              <w:t>Re-C02-i08-RAA</w:t>
            </w:r>
          </w:p>
        </w:tc>
        <w:tc>
          <w:tcPr>
            <w:tcW w:w="1520" w:type="dxa"/>
            <w:tcBorders>
              <w:top w:val="nil"/>
              <w:left w:val="nil"/>
              <w:bottom w:val="single" w:sz="4" w:space="0" w:color="auto"/>
              <w:right w:val="single" w:sz="4" w:space="0" w:color="auto"/>
            </w:tcBorders>
            <w:shd w:val="clear" w:color="auto" w:fill="C4EFCE"/>
            <w:vAlign w:val="center"/>
            <w:hideMark/>
          </w:tcPr>
          <w:p w14:paraId="0095AE3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48A3BC" w14:textId="77777777" w:rsidR="00776A1F" w:rsidRDefault="00D8574B">
            <w:pPr>
              <w:pStyle w:val="P68B1DB1-Normal23"/>
              <w:spacing w:after="0"/>
              <w:jc w:val="both"/>
              <w:rPr>
                <w:rFonts w:eastAsia="Calibri" w:cs="Calibri"/>
                <w:noProof/>
              </w:rPr>
            </w:pPr>
            <w:r>
              <w:rPr>
                <w:noProof/>
              </w:rPr>
              <w:t>Azoru salu autonomā reģiona sociālo mājokļu fonda nostiprināšana — uzbūvētie mājokļi</w:t>
            </w:r>
          </w:p>
        </w:tc>
      </w:tr>
      <w:tr w:rsidR="00776A1F" w14:paraId="4267AE6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425C875" w14:textId="77777777" w:rsidR="00776A1F" w:rsidRDefault="00D8574B">
            <w:pPr>
              <w:pStyle w:val="P68B1DB1-Normal23"/>
              <w:spacing w:after="0"/>
              <w:jc w:val="center"/>
              <w:rPr>
                <w:rFonts w:eastAsia="Calibri" w:cs="Calibri"/>
                <w:noProof/>
              </w:rPr>
            </w:pPr>
            <w:r>
              <w:rPr>
                <w:noProof/>
              </w:rPr>
              <w:t>3.7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887E09D" w14:textId="77777777" w:rsidR="00776A1F" w:rsidRDefault="00D8574B">
            <w:pPr>
              <w:pStyle w:val="P68B1DB1-Normal23"/>
              <w:spacing w:after="0"/>
              <w:jc w:val="center"/>
              <w:rPr>
                <w:rFonts w:eastAsia="Calibri" w:cs="Calibri"/>
                <w:noProof/>
              </w:rPr>
            </w:pPr>
            <w:r>
              <w:rPr>
                <w:noProof/>
              </w:rPr>
              <w:t>Re-C03-i02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FC08BAC"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BB3EDD" w14:textId="77777777" w:rsidR="00776A1F" w:rsidRDefault="00D8574B">
            <w:pPr>
              <w:pStyle w:val="P68B1DB1-Normal23"/>
              <w:spacing w:after="0"/>
              <w:jc w:val="both"/>
              <w:rPr>
                <w:rFonts w:eastAsia="Calibri" w:cs="Calibri"/>
                <w:noProof/>
              </w:rPr>
            </w:pPr>
            <w:r>
              <w:rPr>
                <w:noProof/>
              </w:rPr>
              <w:t>Mājokļi ar uzlabotu pieejamību cilvēkiem ar ierobežotām pārvietošanās spējām</w:t>
            </w:r>
          </w:p>
        </w:tc>
      </w:tr>
      <w:tr w:rsidR="00776A1F" w14:paraId="596C5F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E999017" w14:textId="77777777" w:rsidR="00776A1F" w:rsidRDefault="00D8574B">
            <w:pPr>
              <w:pStyle w:val="P68B1DB1-Normal23"/>
              <w:spacing w:after="0"/>
              <w:jc w:val="center"/>
              <w:rPr>
                <w:rFonts w:eastAsia="Calibri" w:cs="Calibri"/>
                <w:noProof/>
              </w:rPr>
            </w:pPr>
            <w:r>
              <w:rPr>
                <w:noProof/>
              </w:rPr>
              <w:t>3.8</w:t>
            </w:r>
          </w:p>
        </w:tc>
        <w:tc>
          <w:tcPr>
            <w:tcW w:w="1760" w:type="dxa"/>
            <w:tcBorders>
              <w:top w:val="nil"/>
              <w:left w:val="nil"/>
              <w:bottom w:val="single" w:sz="4" w:space="0" w:color="auto"/>
              <w:right w:val="single" w:sz="4" w:space="0" w:color="auto"/>
            </w:tcBorders>
            <w:shd w:val="clear" w:color="auto" w:fill="C4EFCE"/>
            <w:vAlign w:val="center"/>
            <w:hideMark/>
          </w:tcPr>
          <w:p w14:paraId="04397576" w14:textId="77777777" w:rsidR="00776A1F" w:rsidRDefault="00D8574B">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2B5BDEB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7B40A8" w14:textId="77777777" w:rsidR="00776A1F" w:rsidRDefault="00D8574B">
            <w:pPr>
              <w:pStyle w:val="P68B1DB1-Normal23"/>
              <w:spacing w:after="0"/>
              <w:jc w:val="both"/>
              <w:rPr>
                <w:rFonts w:eastAsia="Calibri" w:cs="Calibri"/>
                <w:noProof/>
              </w:rPr>
            </w:pPr>
            <w:r>
              <w:rPr>
                <w:noProof/>
              </w:rPr>
              <w:t>Sabiedriskā telpa ar uzlabotu pieejamību cilvēkiem ar ierobežotām pārvietošanās spējām</w:t>
            </w:r>
          </w:p>
        </w:tc>
      </w:tr>
      <w:tr w:rsidR="00776A1F" w14:paraId="6076F1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A1FFD3" w14:textId="77777777" w:rsidR="00776A1F" w:rsidRDefault="00D8574B">
            <w:pPr>
              <w:pStyle w:val="P68B1DB1-Normal23"/>
              <w:spacing w:after="0"/>
              <w:jc w:val="center"/>
              <w:rPr>
                <w:rFonts w:eastAsia="Calibri" w:cs="Calibri"/>
                <w:noProof/>
              </w:rPr>
            </w:pPr>
            <w:r>
              <w:rPr>
                <w:noProof/>
              </w:rPr>
              <w:t>3.9</w:t>
            </w:r>
          </w:p>
        </w:tc>
        <w:tc>
          <w:tcPr>
            <w:tcW w:w="1760" w:type="dxa"/>
            <w:tcBorders>
              <w:top w:val="nil"/>
              <w:left w:val="nil"/>
              <w:bottom w:val="single" w:sz="4" w:space="0" w:color="auto"/>
              <w:right w:val="single" w:sz="4" w:space="0" w:color="auto"/>
            </w:tcBorders>
            <w:shd w:val="clear" w:color="auto" w:fill="C4EFCE"/>
            <w:vAlign w:val="center"/>
            <w:hideMark/>
          </w:tcPr>
          <w:p w14:paraId="3AE00889" w14:textId="77777777" w:rsidR="00776A1F" w:rsidRDefault="00D8574B">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3FB4432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818278" w14:textId="77777777" w:rsidR="00776A1F" w:rsidRDefault="00D8574B">
            <w:pPr>
              <w:pStyle w:val="P68B1DB1-Normal23"/>
              <w:spacing w:after="0"/>
              <w:jc w:val="both"/>
              <w:rPr>
                <w:rFonts w:eastAsia="Calibri" w:cs="Calibri"/>
                <w:noProof/>
              </w:rPr>
            </w:pPr>
            <w:r>
              <w:rPr>
                <w:noProof/>
              </w:rPr>
              <w:t>Sabiedriskie pakalpojumi ar uzlabotu pieejamību cilvēkiem ar ierobežotām pārvietošanās spējām</w:t>
            </w:r>
          </w:p>
        </w:tc>
      </w:tr>
      <w:tr w:rsidR="00776A1F" w14:paraId="41C932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259A36" w14:textId="77777777" w:rsidR="00776A1F" w:rsidRDefault="00D8574B">
            <w:pPr>
              <w:pStyle w:val="P68B1DB1-Normal23"/>
              <w:spacing w:after="0"/>
              <w:jc w:val="center"/>
              <w:rPr>
                <w:rFonts w:eastAsia="Calibri" w:cs="Calibri"/>
                <w:noProof/>
              </w:rPr>
            </w:pPr>
            <w:r>
              <w:rPr>
                <w:noProof/>
              </w:rPr>
              <w:t>3.10</w:t>
            </w:r>
          </w:p>
        </w:tc>
        <w:tc>
          <w:tcPr>
            <w:tcW w:w="1760" w:type="dxa"/>
            <w:tcBorders>
              <w:top w:val="nil"/>
              <w:left w:val="nil"/>
              <w:bottom w:val="single" w:sz="4" w:space="0" w:color="auto"/>
              <w:right w:val="single" w:sz="4" w:space="0" w:color="auto"/>
            </w:tcBorders>
            <w:shd w:val="clear" w:color="auto" w:fill="C4EFCE"/>
            <w:vAlign w:val="center"/>
            <w:hideMark/>
          </w:tcPr>
          <w:p w14:paraId="1399DCCA" w14:textId="77777777" w:rsidR="00776A1F" w:rsidRDefault="00D8574B">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10B7FCB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65B477" w14:textId="77777777" w:rsidR="00776A1F" w:rsidRDefault="00D8574B">
            <w:pPr>
              <w:pStyle w:val="P68B1DB1-Normal23"/>
              <w:spacing w:after="0"/>
              <w:jc w:val="both"/>
              <w:rPr>
                <w:rFonts w:eastAsia="Calibri" w:cs="Calibri"/>
                <w:noProof/>
              </w:rPr>
            </w:pPr>
            <w:r>
              <w:rPr>
                <w:noProof/>
              </w:rPr>
              <w:t xml:space="preserve">Jaunas un rehabilitētas vietas dzīvojamās un nedzīvojamās aprūpes iestādēs </w:t>
            </w:r>
          </w:p>
        </w:tc>
      </w:tr>
      <w:tr w:rsidR="00776A1F" w14:paraId="66BF7C5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EB03473" w14:textId="77777777" w:rsidR="00776A1F" w:rsidRDefault="00D8574B">
            <w:pPr>
              <w:pStyle w:val="P68B1DB1-Normal23"/>
              <w:spacing w:after="0"/>
              <w:jc w:val="center"/>
              <w:rPr>
                <w:rFonts w:eastAsia="Calibri" w:cs="Calibri"/>
                <w:noProof/>
              </w:rPr>
            </w:pPr>
            <w:r>
              <w:rPr>
                <w:noProof/>
              </w:rPr>
              <w:t>3.12</w:t>
            </w:r>
          </w:p>
        </w:tc>
        <w:tc>
          <w:tcPr>
            <w:tcW w:w="1760" w:type="dxa"/>
            <w:tcBorders>
              <w:top w:val="nil"/>
              <w:left w:val="nil"/>
              <w:bottom w:val="single" w:sz="4" w:space="0" w:color="auto"/>
              <w:right w:val="single" w:sz="4" w:space="0" w:color="auto"/>
            </w:tcBorders>
            <w:shd w:val="clear" w:color="auto" w:fill="C4EFCE"/>
            <w:vAlign w:val="center"/>
            <w:hideMark/>
          </w:tcPr>
          <w:p w14:paraId="28D91185" w14:textId="77777777" w:rsidR="00776A1F" w:rsidRDefault="00D8574B">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A81EAD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1A230D" w14:textId="77777777" w:rsidR="00776A1F" w:rsidRDefault="00D8574B">
            <w:pPr>
              <w:pStyle w:val="P68B1DB1-Normal23"/>
              <w:spacing w:after="0"/>
              <w:jc w:val="both"/>
              <w:rPr>
                <w:rFonts w:eastAsia="Calibri" w:cs="Calibri"/>
                <w:noProof/>
              </w:rPr>
            </w:pPr>
            <w:r>
              <w:rPr>
                <w:noProof/>
              </w:rPr>
              <w:t>To ģimeņu apmācība, uz kurām attiecas sociālās iekļaušanas ienākumi</w:t>
            </w:r>
          </w:p>
        </w:tc>
      </w:tr>
      <w:tr w:rsidR="00776A1F" w14:paraId="76CD6A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130966" w14:textId="77777777" w:rsidR="00776A1F" w:rsidRDefault="00D8574B">
            <w:pPr>
              <w:pStyle w:val="P68B1DB1-Normal23"/>
              <w:spacing w:after="0"/>
              <w:jc w:val="center"/>
              <w:rPr>
                <w:rFonts w:eastAsia="Calibri" w:cs="Calibri"/>
                <w:noProof/>
              </w:rPr>
            </w:pPr>
            <w:r>
              <w:rPr>
                <w:noProof/>
              </w:rPr>
              <w:t>3.14</w:t>
            </w:r>
          </w:p>
        </w:tc>
        <w:tc>
          <w:tcPr>
            <w:tcW w:w="1760" w:type="dxa"/>
            <w:tcBorders>
              <w:top w:val="nil"/>
              <w:left w:val="nil"/>
              <w:bottom w:val="single" w:sz="4" w:space="0" w:color="auto"/>
              <w:right w:val="single" w:sz="4" w:space="0" w:color="auto"/>
            </w:tcBorders>
            <w:shd w:val="clear" w:color="auto" w:fill="C4EFCE"/>
            <w:vAlign w:val="center"/>
            <w:hideMark/>
          </w:tcPr>
          <w:p w14:paraId="045C7370" w14:textId="77777777" w:rsidR="00776A1F" w:rsidRDefault="00D8574B">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9C539F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E4CE3D6" w14:textId="77777777" w:rsidR="00776A1F" w:rsidRDefault="00D8574B">
            <w:pPr>
              <w:pStyle w:val="P68B1DB1-Normal23"/>
              <w:spacing w:after="0"/>
              <w:jc w:val="both"/>
              <w:rPr>
                <w:rFonts w:eastAsia="Calibri" w:cs="Calibri"/>
                <w:noProof/>
              </w:rPr>
            </w:pPr>
            <w:r>
              <w:rPr>
                <w:noProof/>
              </w:rPr>
              <w:t>Instituições Particulares de Solidariedade Social vajadzībām iegādāti transportlīdzekļi</w:t>
            </w:r>
          </w:p>
        </w:tc>
      </w:tr>
      <w:tr w:rsidR="00776A1F" w14:paraId="289CE0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73D27B" w14:textId="77777777" w:rsidR="00776A1F" w:rsidRDefault="00D8574B">
            <w:pPr>
              <w:pStyle w:val="P68B1DB1-Normal23"/>
              <w:spacing w:after="0"/>
              <w:jc w:val="center"/>
              <w:rPr>
                <w:rFonts w:eastAsia="Calibri" w:cs="Calibri"/>
                <w:noProof/>
              </w:rPr>
            </w:pPr>
            <w:r>
              <w:rPr>
                <w:noProof/>
              </w:rPr>
              <w:t>3.15</w:t>
            </w:r>
          </w:p>
        </w:tc>
        <w:tc>
          <w:tcPr>
            <w:tcW w:w="1760" w:type="dxa"/>
            <w:tcBorders>
              <w:top w:val="nil"/>
              <w:left w:val="nil"/>
              <w:bottom w:val="single" w:sz="4" w:space="0" w:color="auto"/>
              <w:right w:val="single" w:sz="4" w:space="0" w:color="auto"/>
            </w:tcBorders>
            <w:shd w:val="clear" w:color="auto" w:fill="C4EFCE"/>
            <w:vAlign w:val="center"/>
            <w:hideMark/>
          </w:tcPr>
          <w:p w14:paraId="135E8FAE" w14:textId="77777777" w:rsidR="00776A1F" w:rsidRDefault="00D8574B">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DBAB54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EC8CE3D" w14:textId="77777777" w:rsidR="00776A1F" w:rsidRDefault="00D8574B">
            <w:pPr>
              <w:pStyle w:val="P68B1DB1-Normal23"/>
              <w:spacing w:after="0"/>
              <w:jc w:val="both"/>
              <w:rPr>
                <w:rFonts w:eastAsia="Calibri" w:cs="Calibri"/>
                <w:noProof/>
              </w:rPr>
            </w:pPr>
            <w:r>
              <w:rPr>
                <w:noProof/>
              </w:rPr>
              <w:t>Novecošanas projekts</w:t>
            </w:r>
          </w:p>
        </w:tc>
      </w:tr>
      <w:tr w:rsidR="00776A1F" w14:paraId="02338D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5DE03A" w14:textId="77777777" w:rsidR="00776A1F" w:rsidRDefault="00D8574B">
            <w:pPr>
              <w:pStyle w:val="P68B1DB1-Normal23"/>
              <w:spacing w:after="0"/>
              <w:jc w:val="center"/>
              <w:rPr>
                <w:rFonts w:eastAsia="Calibri" w:cs="Calibri"/>
                <w:noProof/>
              </w:rPr>
            </w:pPr>
            <w:r>
              <w:rPr>
                <w:noProof/>
              </w:rPr>
              <w:t>3.16</w:t>
            </w:r>
          </w:p>
        </w:tc>
        <w:tc>
          <w:tcPr>
            <w:tcW w:w="1760" w:type="dxa"/>
            <w:tcBorders>
              <w:top w:val="nil"/>
              <w:left w:val="nil"/>
              <w:bottom w:val="single" w:sz="4" w:space="0" w:color="auto"/>
              <w:right w:val="single" w:sz="4" w:space="0" w:color="auto"/>
            </w:tcBorders>
            <w:shd w:val="clear" w:color="auto" w:fill="C4EFCE"/>
            <w:vAlign w:val="center"/>
            <w:hideMark/>
          </w:tcPr>
          <w:p w14:paraId="1D6FD45C" w14:textId="77777777" w:rsidR="00776A1F" w:rsidRDefault="00D8574B">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632853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B2E81BA" w14:textId="77777777" w:rsidR="00776A1F" w:rsidRDefault="00D8574B">
            <w:pPr>
              <w:pStyle w:val="P68B1DB1-Normal23"/>
              <w:spacing w:after="0"/>
              <w:jc w:val="both"/>
              <w:rPr>
                <w:rFonts w:eastAsia="Calibri" w:cs="Calibri"/>
                <w:noProof/>
              </w:rPr>
            </w:pPr>
            <w:r>
              <w:rPr>
                <w:noProof/>
              </w:rPr>
              <w:t>Pasākumi bērnu un jauniešu priekšlaicīgas mācību pārtraukšanas apkarošanai.</w:t>
            </w:r>
          </w:p>
        </w:tc>
      </w:tr>
      <w:tr w:rsidR="00776A1F" w14:paraId="5AD9EF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B99BDB" w14:textId="77777777" w:rsidR="00776A1F" w:rsidRDefault="00D8574B">
            <w:pPr>
              <w:pStyle w:val="P68B1DB1-Normal23"/>
              <w:spacing w:after="0"/>
              <w:jc w:val="center"/>
              <w:rPr>
                <w:rFonts w:eastAsia="Calibri" w:cs="Calibri"/>
                <w:noProof/>
              </w:rPr>
            </w:pPr>
            <w:r>
              <w:rPr>
                <w:noProof/>
              </w:rPr>
              <w:t>3.19</w:t>
            </w:r>
          </w:p>
        </w:tc>
        <w:tc>
          <w:tcPr>
            <w:tcW w:w="1760" w:type="dxa"/>
            <w:tcBorders>
              <w:top w:val="nil"/>
              <w:left w:val="nil"/>
              <w:bottom w:val="single" w:sz="4" w:space="0" w:color="auto"/>
              <w:right w:val="single" w:sz="4" w:space="0" w:color="auto"/>
            </w:tcBorders>
            <w:shd w:val="clear" w:color="auto" w:fill="C4EFCE"/>
            <w:vAlign w:val="center"/>
            <w:hideMark/>
          </w:tcPr>
          <w:p w14:paraId="019CDFE1" w14:textId="77777777" w:rsidR="00776A1F" w:rsidRDefault="00D8574B">
            <w:pPr>
              <w:pStyle w:val="P68B1DB1-Normal23"/>
              <w:spacing w:after="0"/>
              <w:jc w:val="center"/>
              <w:rPr>
                <w:rFonts w:eastAsia="Calibri" w:cs="Calibri"/>
                <w:noProof/>
              </w:rPr>
            </w:pPr>
            <w:r>
              <w:rPr>
                <w:noProof/>
              </w:rPr>
              <w:t>Re-C03-i05</w:t>
            </w:r>
          </w:p>
        </w:tc>
        <w:tc>
          <w:tcPr>
            <w:tcW w:w="1520" w:type="dxa"/>
            <w:tcBorders>
              <w:top w:val="nil"/>
              <w:left w:val="nil"/>
              <w:bottom w:val="single" w:sz="4" w:space="0" w:color="auto"/>
              <w:right w:val="single" w:sz="4" w:space="0" w:color="auto"/>
            </w:tcBorders>
            <w:shd w:val="clear" w:color="auto" w:fill="C4EFCE"/>
            <w:vAlign w:val="center"/>
            <w:hideMark/>
          </w:tcPr>
          <w:p w14:paraId="7A45718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5207FF6" w14:textId="77777777" w:rsidR="00776A1F" w:rsidRDefault="00D8574B">
            <w:pPr>
              <w:pStyle w:val="P68B1DB1-Normal23"/>
              <w:spacing w:after="0"/>
              <w:jc w:val="both"/>
              <w:rPr>
                <w:rFonts w:eastAsia="Calibri" w:cs="Calibri"/>
                <w:noProof/>
              </w:rPr>
            </w:pPr>
            <w:r>
              <w:rPr>
                <w:noProof/>
              </w:rPr>
              <w:t>Portugāļu zīmju valodas zvanu centrs</w:t>
            </w:r>
          </w:p>
        </w:tc>
      </w:tr>
      <w:tr w:rsidR="00776A1F" w14:paraId="1BA193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5D0CFAD" w14:textId="77777777" w:rsidR="00776A1F" w:rsidRDefault="00D8574B">
            <w:pPr>
              <w:pStyle w:val="P68B1DB1-Normal23"/>
              <w:spacing w:after="0"/>
              <w:jc w:val="center"/>
              <w:rPr>
                <w:rFonts w:eastAsia="Calibri" w:cs="Calibri"/>
                <w:noProof/>
              </w:rPr>
            </w:pPr>
            <w:r>
              <w:rPr>
                <w:noProof/>
              </w:rPr>
              <w:t>3.26</w:t>
            </w:r>
          </w:p>
        </w:tc>
        <w:tc>
          <w:tcPr>
            <w:tcW w:w="1760" w:type="dxa"/>
            <w:tcBorders>
              <w:top w:val="nil"/>
              <w:left w:val="nil"/>
              <w:bottom w:val="single" w:sz="4" w:space="0" w:color="auto"/>
              <w:right w:val="single" w:sz="4" w:space="0" w:color="auto"/>
            </w:tcBorders>
            <w:shd w:val="clear" w:color="auto" w:fill="C4EFCE"/>
            <w:vAlign w:val="center"/>
            <w:hideMark/>
          </w:tcPr>
          <w:p w14:paraId="66BC21FF" w14:textId="77777777" w:rsidR="00776A1F" w:rsidRDefault="00D8574B">
            <w:pPr>
              <w:pStyle w:val="P68B1DB1-Normal23"/>
              <w:spacing w:after="0"/>
              <w:jc w:val="center"/>
              <w:rPr>
                <w:rFonts w:eastAsia="Calibri" w:cs="Calibri"/>
                <w:noProof/>
              </w:rPr>
            </w:pPr>
            <w:r>
              <w:rPr>
                <w:noProof/>
              </w:rPr>
              <w:t>Re-C03-i06</w:t>
            </w:r>
          </w:p>
        </w:tc>
        <w:tc>
          <w:tcPr>
            <w:tcW w:w="1520" w:type="dxa"/>
            <w:tcBorders>
              <w:top w:val="nil"/>
              <w:left w:val="nil"/>
              <w:bottom w:val="single" w:sz="4" w:space="0" w:color="auto"/>
              <w:right w:val="single" w:sz="4" w:space="0" w:color="auto"/>
            </w:tcBorders>
            <w:shd w:val="clear" w:color="auto" w:fill="C4EFCE"/>
            <w:vAlign w:val="center"/>
            <w:hideMark/>
          </w:tcPr>
          <w:p w14:paraId="5A71211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0FF11C" w14:textId="77777777" w:rsidR="00776A1F" w:rsidRDefault="00D8574B">
            <w:pPr>
              <w:pStyle w:val="P68B1DB1-Normal23"/>
              <w:spacing w:after="0"/>
              <w:jc w:val="both"/>
              <w:rPr>
                <w:rFonts w:eastAsia="Calibri" w:cs="Calibri"/>
                <w:noProof/>
              </w:rPr>
            </w:pPr>
            <w:r>
              <w:rPr>
                <w:noProof/>
              </w:rPr>
              <w:t>Vismaz 90 % pasākumu pilnīga īstenošana</w:t>
            </w:r>
          </w:p>
        </w:tc>
      </w:tr>
      <w:tr w:rsidR="00776A1F" w14:paraId="4169E8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091E41C" w14:textId="77777777" w:rsidR="00776A1F" w:rsidRDefault="00D8574B">
            <w:pPr>
              <w:pStyle w:val="P68B1DB1-Normal23"/>
              <w:spacing w:after="0"/>
              <w:jc w:val="center"/>
              <w:rPr>
                <w:rFonts w:eastAsia="Calibri" w:cs="Calibri"/>
                <w:noProof/>
              </w:rPr>
            </w:pPr>
            <w:r>
              <w:rPr>
                <w:noProof/>
              </w:rPr>
              <w:t>3.27</w:t>
            </w:r>
          </w:p>
        </w:tc>
        <w:tc>
          <w:tcPr>
            <w:tcW w:w="1760" w:type="dxa"/>
            <w:tcBorders>
              <w:top w:val="nil"/>
              <w:left w:val="nil"/>
              <w:bottom w:val="single" w:sz="4" w:space="0" w:color="auto"/>
              <w:right w:val="single" w:sz="4" w:space="0" w:color="auto"/>
            </w:tcBorders>
            <w:shd w:val="clear" w:color="auto" w:fill="C4EFCE"/>
            <w:vAlign w:val="center"/>
            <w:hideMark/>
          </w:tcPr>
          <w:p w14:paraId="17E8CFFB" w14:textId="77777777" w:rsidR="00776A1F" w:rsidRDefault="00D8574B">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597F807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6F21A2" w14:textId="77777777" w:rsidR="00776A1F" w:rsidRDefault="00D8574B">
            <w:pPr>
              <w:pStyle w:val="P68B1DB1-Normal23"/>
              <w:spacing w:after="0"/>
              <w:jc w:val="both"/>
              <w:rPr>
                <w:rFonts w:eastAsia="Calibri" w:cs="Calibri"/>
                <w:noProof/>
              </w:rPr>
            </w:pPr>
            <w:r>
              <w:rPr>
                <w:noProof/>
              </w:rPr>
              <w:t>Vietu skaits aprūpes namos, kas atbalsta bezpajumtniekus</w:t>
            </w:r>
          </w:p>
        </w:tc>
      </w:tr>
      <w:tr w:rsidR="00776A1F" w14:paraId="54E515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7005D2F" w14:textId="77777777" w:rsidR="00776A1F" w:rsidRDefault="00D8574B">
            <w:pPr>
              <w:pStyle w:val="P68B1DB1-Normal23"/>
              <w:spacing w:after="0"/>
              <w:jc w:val="center"/>
              <w:rPr>
                <w:rFonts w:eastAsia="Calibri" w:cs="Calibri"/>
                <w:noProof/>
              </w:rPr>
            </w:pPr>
            <w:r>
              <w:rPr>
                <w:noProof/>
              </w:rPr>
              <w:t>4.2</w:t>
            </w:r>
          </w:p>
        </w:tc>
        <w:tc>
          <w:tcPr>
            <w:tcW w:w="1760" w:type="dxa"/>
            <w:tcBorders>
              <w:top w:val="nil"/>
              <w:left w:val="nil"/>
              <w:bottom w:val="single" w:sz="4" w:space="0" w:color="auto"/>
              <w:right w:val="single" w:sz="4" w:space="0" w:color="auto"/>
            </w:tcBorders>
            <w:shd w:val="clear" w:color="auto" w:fill="C4EFCE"/>
            <w:vAlign w:val="center"/>
            <w:hideMark/>
          </w:tcPr>
          <w:p w14:paraId="04039DCF" w14:textId="77777777" w:rsidR="00776A1F" w:rsidRDefault="00D8574B">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19C9B77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90ED1B" w14:textId="77777777" w:rsidR="00776A1F" w:rsidRDefault="00D8574B">
            <w:pPr>
              <w:pStyle w:val="P68B1DB1-Normal23"/>
              <w:spacing w:after="0"/>
              <w:jc w:val="both"/>
              <w:rPr>
                <w:rFonts w:eastAsia="Calibri" w:cs="Calibri"/>
                <w:noProof/>
              </w:rPr>
            </w:pPr>
            <w:r>
              <w:rPr>
                <w:noProof/>
              </w:rPr>
              <w:t>Finansiāls atbalsts grāmatnīcu digitālajai pārejai</w:t>
            </w:r>
          </w:p>
        </w:tc>
      </w:tr>
      <w:tr w:rsidR="00776A1F" w14:paraId="53B3FF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799066" w14:textId="77777777" w:rsidR="00776A1F" w:rsidRDefault="00D8574B">
            <w:pPr>
              <w:pStyle w:val="P68B1DB1-Normal23"/>
              <w:spacing w:after="0"/>
              <w:jc w:val="center"/>
              <w:rPr>
                <w:rFonts w:eastAsia="Calibri" w:cs="Calibri"/>
                <w:noProof/>
              </w:rPr>
            </w:pPr>
            <w:r>
              <w:rPr>
                <w:noProof/>
              </w:rPr>
              <w:t>4.3</w:t>
            </w:r>
          </w:p>
        </w:tc>
        <w:tc>
          <w:tcPr>
            <w:tcW w:w="1760" w:type="dxa"/>
            <w:tcBorders>
              <w:top w:val="nil"/>
              <w:left w:val="nil"/>
              <w:bottom w:val="single" w:sz="4" w:space="0" w:color="auto"/>
              <w:right w:val="single" w:sz="4" w:space="0" w:color="auto"/>
            </w:tcBorders>
            <w:shd w:val="clear" w:color="auto" w:fill="C4EFCE"/>
            <w:vAlign w:val="center"/>
            <w:hideMark/>
          </w:tcPr>
          <w:p w14:paraId="19A59DC1" w14:textId="77777777" w:rsidR="00776A1F" w:rsidRDefault="00D8574B">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01A1C2F8"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C14D01" w14:textId="77777777" w:rsidR="00776A1F" w:rsidRDefault="00D8574B">
            <w:pPr>
              <w:pStyle w:val="P68B1DB1-Normal23"/>
              <w:spacing w:after="0"/>
              <w:jc w:val="both"/>
              <w:rPr>
                <w:rFonts w:eastAsia="Calibri" w:cs="Calibri"/>
                <w:noProof/>
              </w:rPr>
            </w:pPr>
            <w:r>
              <w:rPr>
                <w:noProof/>
              </w:rPr>
              <w:t>Publisko kolekciju digitalizācija un virtualizācija</w:t>
            </w:r>
          </w:p>
        </w:tc>
      </w:tr>
      <w:tr w:rsidR="00776A1F" w14:paraId="056817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6ED163" w14:textId="77777777" w:rsidR="00776A1F" w:rsidRDefault="00D8574B">
            <w:pPr>
              <w:pStyle w:val="P68B1DB1-Normal23"/>
              <w:spacing w:after="0"/>
              <w:jc w:val="center"/>
              <w:rPr>
                <w:rFonts w:eastAsia="Calibri" w:cs="Calibri"/>
                <w:noProof/>
              </w:rPr>
            </w:pPr>
            <w:r>
              <w:rPr>
                <w:noProof/>
              </w:rPr>
              <w:t>4.5</w:t>
            </w:r>
          </w:p>
        </w:tc>
        <w:tc>
          <w:tcPr>
            <w:tcW w:w="1760" w:type="dxa"/>
            <w:tcBorders>
              <w:top w:val="nil"/>
              <w:left w:val="nil"/>
              <w:bottom w:val="single" w:sz="4" w:space="0" w:color="auto"/>
              <w:right w:val="single" w:sz="4" w:space="0" w:color="auto"/>
            </w:tcBorders>
            <w:shd w:val="clear" w:color="auto" w:fill="C4EFCE"/>
            <w:vAlign w:val="center"/>
            <w:hideMark/>
          </w:tcPr>
          <w:p w14:paraId="2563A114" w14:textId="77777777" w:rsidR="00776A1F" w:rsidRDefault="00D8574B">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7A27352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2E5462" w14:textId="77777777" w:rsidR="00776A1F" w:rsidRDefault="00D8574B">
            <w:pPr>
              <w:pStyle w:val="P68B1DB1-Normal23"/>
              <w:spacing w:after="0"/>
              <w:jc w:val="both"/>
              <w:rPr>
                <w:rFonts w:eastAsia="Calibri" w:cs="Calibri"/>
                <w:noProof/>
              </w:rPr>
            </w:pPr>
            <w:r>
              <w:rPr>
                <w:noProof/>
              </w:rPr>
              <w:t>Finansiāls atbalsts literāro darbu tulkošanai un izdevniecībai</w:t>
            </w:r>
          </w:p>
        </w:tc>
      </w:tr>
      <w:tr w:rsidR="00776A1F" w14:paraId="7117E2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53E8A8" w14:textId="77777777" w:rsidR="00776A1F" w:rsidRDefault="00D8574B">
            <w:pPr>
              <w:pStyle w:val="P68B1DB1-Normal23"/>
              <w:spacing w:after="0"/>
              <w:jc w:val="center"/>
              <w:rPr>
                <w:rFonts w:eastAsia="Calibri" w:cs="Calibri"/>
                <w:noProof/>
              </w:rPr>
            </w:pPr>
            <w:r>
              <w:rPr>
                <w:noProof/>
              </w:rPr>
              <w:t>4.11</w:t>
            </w:r>
          </w:p>
        </w:tc>
        <w:tc>
          <w:tcPr>
            <w:tcW w:w="1760" w:type="dxa"/>
            <w:tcBorders>
              <w:top w:val="nil"/>
              <w:left w:val="nil"/>
              <w:bottom w:val="single" w:sz="4" w:space="0" w:color="auto"/>
              <w:right w:val="single" w:sz="4" w:space="0" w:color="auto"/>
            </w:tcBorders>
            <w:shd w:val="clear" w:color="auto" w:fill="C4EFCE"/>
            <w:vAlign w:val="center"/>
            <w:hideMark/>
          </w:tcPr>
          <w:p w14:paraId="7F112129" w14:textId="77777777" w:rsidR="00776A1F" w:rsidRDefault="00D8574B">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4F32219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13ECBA9" w14:textId="77777777" w:rsidR="00776A1F" w:rsidRDefault="00D8574B">
            <w:pPr>
              <w:pStyle w:val="P68B1DB1-Normal23"/>
              <w:spacing w:after="0"/>
              <w:jc w:val="both"/>
              <w:rPr>
                <w:rFonts w:eastAsia="Calibri" w:cs="Calibri"/>
                <w:noProof/>
              </w:rPr>
            </w:pPr>
            <w:r>
              <w:rPr>
                <w:noProof/>
              </w:rPr>
              <w:t>“Saber Fazer” tehnoloģiju centra iniciatīvas laboratoriju un maršrutu uzstādīšana un pedagoģisku un informatīvu pasākumu izveide par tradicionālajām metodēm.</w:t>
            </w:r>
          </w:p>
        </w:tc>
      </w:tr>
      <w:tr w:rsidR="00776A1F" w14:paraId="54F146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503CAB" w14:textId="77777777" w:rsidR="00776A1F" w:rsidRDefault="00D8574B">
            <w:pPr>
              <w:pStyle w:val="P68B1DB1-Normal23"/>
              <w:spacing w:after="0"/>
              <w:jc w:val="center"/>
              <w:rPr>
                <w:rFonts w:eastAsia="Calibri" w:cs="Calibri"/>
                <w:noProof/>
              </w:rPr>
            </w:pPr>
            <w:r>
              <w:rPr>
                <w:noProof/>
              </w:rPr>
              <w:t>5.6</w:t>
            </w:r>
          </w:p>
        </w:tc>
        <w:tc>
          <w:tcPr>
            <w:tcW w:w="1760" w:type="dxa"/>
            <w:tcBorders>
              <w:top w:val="nil"/>
              <w:left w:val="nil"/>
              <w:bottom w:val="single" w:sz="4" w:space="0" w:color="auto"/>
              <w:right w:val="single" w:sz="4" w:space="0" w:color="auto"/>
            </w:tcBorders>
            <w:shd w:val="clear" w:color="auto" w:fill="C4EFCE"/>
            <w:vAlign w:val="center"/>
            <w:hideMark/>
          </w:tcPr>
          <w:p w14:paraId="6D345099" w14:textId="77777777" w:rsidR="00776A1F" w:rsidRDefault="00D8574B">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0B04EDA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1ED57F" w14:textId="77777777" w:rsidR="00776A1F" w:rsidRDefault="00D8574B">
            <w:pPr>
              <w:pStyle w:val="P68B1DB1-Normal23"/>
              <w:spacing w:after="0"/>
              <w:jc w:val="both"/>
              <w:rPr>
                <w:rFonts w:eastAsia="Calibri" w:cs="Calibri"/>
                <w:noProof/>
              </w:rPr>
            </w:pPr>
            <w:r>
              <w:rPr>
                <w:noProof/>
              </w:rPr>
              <w:t>Sešu līgumu (inovācijas pakti vai mobilizācijas projekti) īstenošanas pabeigšana</w:t>
            </w:r>
          </w:p>
        </w:tc>
      </w:tr>
      <w:tr w:rsidR="00776A1F" w14:paraId="56FFCB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1EDCEE" w14:textId="77777777" w:rsidR="00776A1F" w:rsidRDefault="00D8574B">
            <w:pPr>
              <w:pStyle w:val="P68B1DB1-Normal23"/>
              <w:spacing w:after="0"/>
              <w:jc w:val="center"/>
              <w:rPr>
                <w:rFonts w:eastAsia="Calibri" w:cs="Calibri"/>
                <w:noProof/>
              </w:rPr>
            </w:pPr>
            <w:r>
              <w:rPr>
                <w:noProof/>
              </w:rPr>
              <w:t>5.8</w:t>
            </w:r>
          </w:p>
        </w:tc>
        <w:tc>
          <w:tcPr>
            <w:tcW w:w="1760" w:type="dxa"/>
            <w:tcBorders>
              <w:top w:val="nil"/>
              <w:left w:val="nil"/>
              <w:bottom w:val="single" w:sz="4" w:space="0" w:color="auto"/>
              <w:right w:val="single" w:sz="4" w:space="0" w:color="auto"/>
            </w:tcBorders>
            <w:shd w:val="clear" w:color="auto" w:fill="C4EFCE"/>
            <w:vAlign w:val="center"/>
            <w:hideMark/>
          </w:tcPr>
          <w:p w14:paraId="060E7E77" w14:textId="77777777" w:rsidR="00776A1F" w:rsidRDefault="00D8574B">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7516533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82BFAA" w14:textId="77777777" w:rsidR="00776A1F" w:rsidRDefault="00D8574B">
            <w:pPr>
              <w:pStyle w:val="P68B1DB1-Normal23"/>
              <w:spacing w:after="0"/>
              <w:jc w:val="both"/>
              <w:rPr>
                <w:rFonts w:eastAsia="Calibri" w:cs="Calibri"/>
                <w:noProof/>
              </w:rPr>
            </w:pPr>
            <w:r>
              <w:rPr>
                <w:noProof/>
              </w:rPr>
              <w:t>Pabeigti produkti, procesi vai pakalpojumi, kas saistīti ar mazoglekļa ekonomiku, noturību un pielāgošanos klimata pārmaiņām</w:t>
            </w:r>
          </w:p>
        </w:tc>
      </w:tr>
      <w:tr w:rsidR="00776A1F" w14:paraId="5DA861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E31B91E" w14:textId="77777777" w:rsidR="00776A1F" w:rsidRDefault="00D8574B">
            <w:pPr>
              <w:pStyle w:val="P68B1DB1-Normal23"/>
              <w:spacing w:after="0"/>
              <w:jc w:val="center"/>
              <w:rPr>
                <w:rFonts w:eastAsia="Calibri" w:cs="Calibri"/>
                <w:noProof/>
              </w:rPr>
            </w:pPr>
            <w:r>
              <w:rPr>
                <w:noProof/>
              </w:rPr>
              <w:t>5.10</w:t>
            </w:r>
          </w:p>
        </w:tc>
        <w:tc>
          <w:tcPr>
            <w:tcW w:w="1760" w:type="dxa"/>
            <w:tcBorders>
              <w:top w:val="nil"/>
              <w:left w:val="nil"/>
              <w:bottom w:val="single" w:sz="4" w:space="0" w:color="auto"/>
              <w:right w:val="single" w:sz="4" w:space="0" w:color="auto"/>
            </w:tcBorders>
            <w:shd w:val="clear" w:color="auto" w:fill="C4EFCE"/>
            <w:vAlign w:val="center"/>
            <w:hideMark/>
          </w:tcPr>
          <w:p w14:paraId="44979142" w14:textId="77777777" w:rsidR="00776A1F" w:rsidRDefault="00D8574B">
            <w:pPr>
              <w:pStyle w:val="P68B1DB1-Normal23"/>
              <w:spacing w:after="0"/>
              <w:jc w:val="center"/>
              <w:rPr>
                <w:rFonts w:eastAsia="Calibri" w:cs="Calibri"/>
                <w:noProof/>
              </w:rPr>
            </w:pPr>
            <w:r>
              <w:rPr>
                <w:noProof/>
              </w:rPr>
              <w:t>Re-C05-i02</w:t>
            </w:r>
          </w:p>
        </w:tc>
        <w:tc>
          <w:tcPr>
            <w:tcW w:w="1520" w:type="dxa"/>
            <w:tcBorders>
              <w:top w:val="nil"/>
              <w:left w:val="nil"/>
              <w:bottom w:val="single" w:sz="4" w:space="0" w:color="auto"/>
              <w:right w:val="single" w:sz="4" w:space="0" w:color="auto"/>
            </w:tcBorders>
            <w:shd w:val="clear" w:color="auto" w:fill="C4EFCE"/>
            <w:vAlign w:val="center"/>
            <w:hideMark/>
          </w:tcPr>
          <w:p w14:paraId="05AC774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467D021" w14:textId="77777777" w:rsidR="00776A1F" w:rsidRDefault="00D8574B">
            <w:pPr>
              <w:pStyle w:val="P68B1DB1-Normal23"/>
              <w:spacing w:after="0"/>
              <w:jc w:val="both"/>
              <w:rPr>
                <w:rFonts w:eastAsia="Calibri" w:cs="Calibri"/>
                <w:noProof/>
              </w:rPr>
            </w:pPr>
            <w:r>
              <w:rPr>
                <w:noProof/>
              </w:rPr>
              <w:t>Uzņēmumi, kas gūst labumu no pakalpojumiem, ko sniedz saskarnes struktūras, tostarp sadarbīgās laboratorijas — Colabs</w:t>
            </w:r>
          </w:p>
        </w:tc>
      </w:tr>
      <w:tr w:rsidR="00776A1F" w14:paraId="13B590C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BD9B58" w14:textId="77777777" w:rsidR="00776A1F" w:rsidRDefault="00D8574B">
            <w:pPr>
              <w:pStyle w:val="P68B1DB1-Normal23"/>
              <w:spacing w:after="0"/>
              <w:jc w:val="center"/>
              <w:rPr>
                <w:rFonts w:eastAsia="Calibri" w:cs="Calibri"/>
                <w:noProof/>
              </w:rPr>
            </w:pPr>
            <w:r>
              <w:rPr>
                <w:noProof/>
              </w:rPr>
              <w:t>5.12</w:t>
            </w:r>
          </w:p>
        </w:tc>
        <w:tc>
          <w:tcPr>
            <w:tcW w:w="1760" w:type="dxa"/>
            <w:tcBorders>
              <w:top w:val="nil"/>
              <w:left w:val="nil"/>
              <w:bottom w:val="single" w:sz="4" w:space="0" w:color="auto"/>
              <w:right w:val="single" w:sz="4" w:space="0" w:color="auto"/>
            </w:tcBorders>
            <w:shd w:val="clear" w:color="auto" w:fill="C4EFCE"/>
            <w:vAlign w:val="center"/>
            <w:hideMark/>
          </w:tcPr>
          <w:p w14:paraId="47FD4194" w14:textId="77777777" w:rsidR="00776A1F" w:rsidRDefault="00D8574B">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59C9B6F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7CE04C" w14:textId="77777777" w:rsidR="00776A1F" w:rsidRDefault="00D8574B">
            <w:pPr>
              <w:pStyle w:val="P68B1DB1-Normal23"/>
              <w:spacing w:after="0"/>
              <w:jc w:val="both"/>
              <w:rPr>
                <w:rFonts w:eastAsia="Calibri" w:cs="Calibri"/>
                <w:noProof/>
              </w:rPr>
            </w:pPr>
            <w:r>
              <w:rPr>
                <w:noProof/>
              </w:rPr>
              <w:t>Tādu inovācijas un pētniecības projektu pabeigšana, kuros galvenā uzmanība pievērsta lauksaimniecības inovācijas programmas 2030. gadam zaļajiem aspektiem</w:t>
            </w:r>
          </w:p>
        </w:tc>
      </w:tr>
      <w:tr w:rsidR="00776A1F" w14:paraId="67C701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7804C4E" w14:textId="77777777" w:rsidR="00776A1F" w:rsidRDefault="00D8574B">
            <w:pPr>
              <w:pStyle w:val="P68B1DB1-Normal23"/>
              <w:spacing w:after="0"/>
              <w:jc w:val="center"/>
              <w:rPr>
                <w:rFonts w:eastAsia="Calibri" w:cs="Calibri"/>
                <w:noProof/>
              </w:rPr>
            </w:pPr>
            <w:r>
              <w:rPr>
                <w:noProof/>
              </w:rPr>
              <w:t>5.13</w:t>
            </w:r>
          </w:p>
        </w:tc>
        <w:tc>
          <w:tcPr>
            <w:tcW w:w="1760" w:type="dxa"/>
            <w:tcBorders>
              <w:top w:val="nil"/>
              <w:left w:val="nil"/>
              <w:bottom w:val="single" w:sz="4" w:space="0" w:color="auto"/>
              <w:right w:val="single" w:sz="4" w:space="0" w:color="auto"/>
            </w:tcBorders>
            <w:shd w:val="clear" w:color="auto" w:fill="C4EFCE"/>
            <w:vAlign w:val="center"/>
            <w:hideMark/>
          </w:tcPr>
          <w:p w14:paraId="4FFC2BA5" w14:textId="77777777" w:rsidR="00776A1F" w:rsidRDefault="00D8574B">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1823349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A4F13A" w14:textId="2A433732" w:rsidR="00776A1F" w:rsidRDefault="00D8574B">
            <w:pPr>
              <w:pStyle w:val="P68B1DB1-Normal23"/>
              <w:spacing w:after="0"/>
              <w:jc w:val="both"/>
              <w:rPr>
                <w:rFonts w:eastAsia="Calibri" w:cs="Calibri"/>
                <w:noProof/>
              </w:rPr>
            </w:pPr>
            <w:r>
              <w:rPr>
                <w:noProof/>
              </w:rPr>
              <w:t>Piecu strukturējošu projektu pabeigšana, galveno uzmanību pievēršot Lauksaimniecības inovācijas programmas 2030. gadam digitālajiem aspektiem</w:t>
            </w:r>
          </w:p>
        </w:tc>
      </w:tr>
      <w:tr w:rsidR="00776A1F" w14:paraId="26F745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88FE5F" w14:textId="77777777" w:rsidR="00776A1F" w:rsidRDefault="00D8574B">
            <w:pPr>
              <w:pStyle w:val="P68B1DB1-Normal23"/>
              <w:spacing w:after="0"/>
              <w:jc w:val="center"/>
              <w:rPr>
                <w:rFonts w:eastAsia="Calibri" w:cs="Calibri"/>
                <w:noProof/>
              </w:rPr>
            </w:pPr>
            <w:r>
              <w:rPr>
                <w:noProof/>
              </w:rPr>
              <w:t>5.14</w:t>
            </w:r>
          </w:p>
        </w:tc>
        <w:tc>
          <w:tcPr>
            <w:tcW w:w="1760" w:type="dxa"/>
            <w:tcBorders>
              <w:top w:val="nil"/>
              <w:left w:val="nil"/>
              <w:bottom w:val="single" w:sz="4" w:space="0" w:color="auto"/>
              <w:right w:val="single" w:sz="4" w:space="0" w:color="auto"/>
            </w:tcBorders>
            <w:shd w:val="clear" w:color="auto" w:fill="C4EFCE"/>
            <w:vAlign w:val="center"/>
            <w:hideMark/>
          </w:tcPr>
          <w:p w14:paraId="1A936CD6" w14:textId="77777777" w:rsidR="00776A1F" w:rsidRDefault="00D8574B">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24C31DE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C5F817B" w14:textId="77777777" w:rsidR="00776A1F" w:rsidRDefault="00D8574B">
            <w:pPr>
              <w:pStyle w:val="P68B1DB1-Normal23"/>
              <w:spacing w:after="0"/>
              <w:jc w:val="both"/>
              <w:rPr>
                <w:rFonts w:eastAsia="Calibri" w:cs="Calibri"/>
                <w:noProof/>
              </w:rPr>
            </w:pPr>
            <w:r>
              <w:rPr>
                <w:noProof/>
              </w:rPr>
              <w:t>Lauksaimniecības inovācijas centru atjaunošana/modernizācija</w:t>
            </w:r>
          </w:p>
        </w:tc>
      </w:tr>
      <w:tr w:rsidR="00776A1F" w14:paraId="485018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43FF5A" w14:textId="77777777" w:rsidR="00776A1F" w:rsidRDefault="00D8574B">
            <w:pPr>
              <w:pStyle w:val="P68B1DB1-Normal23"/>
              <w:spacing w:after="0"/>
              <w:jc w:val="center"/>
              <w:rPr>
                <w:rFonts w:eastAsia="Calibri" w:cs="Calibri"/>
                <w:noProof/>
              </w:rPr>
            </w:pPr>
            <w:r>
              <w:rPr>
                <w:noProof/>
              </w:rPr>
              <w:t>5.17</w:t>
            </w:r>
          </w:p>
        </w:tc>
        <w:tc>
          <w:tcPr>
            <w:tcW w:w="1760" w:type="dxa"/>
            <w:tcBorders>
              <w:top w:val="nil"/>
              <w:left w:val="nil"/>
              <w:bottom w:val="single" w:sz="4" w:space="0" w:color="auto"/>
              <w:right w:val="single" w:sz="4" w:space="0" w:color="auto"/>
            </w:tcBorders>
            <w:shd w:val="clear" w:color="auto" w:fill="C4EFCE"/>
            <w:vAlign w:val="center"/>
            <w:hideMark/>
          </w:tcPr>
          <w:p w14:paraId="06A80BBF" w14:textId="77777777" w:rsidR="00776A1F" w:rsidRDefault="00D8574B">
            <w:pPr>
              <w:pStyle w:val="P68B1DB1-Normal23"/>
              <w:spacing w:after="0"/>
              <w:jc w:val="center"/>
              <w:rPr>
                <w:rFonts w:eastAsia="Calibri" w:cs="Calibri"/>
                <w:noProof/>
              </w:rPr>
            </w:pPr>
            <w:r>
              <w:rPr>
                <w:noProof/>
              </w:rPr>
              <w:t>Re-C05-i04-RAA</w:t>
            </w:r>
          </w:p>
        </w:tc>
        <w:tc>
          <w:tcPr>
            <w:tcW w:w="1520" w:type="dxa"/>
            <w:tcBorders>
              <w:top w:val="nil"/>
              <w:left w:val="nil"/>
              <w:bottom w:val="single" w:sz="4" w:space="0" w:color="auto"/>
              <w:right w:val="single" w:sz="4" w:space="0" w:color="auto"/>
            </w:tcBorders>
            <w:shd w:val="clear" w:color="auto" w:fill="C4EFCE"/>
            <w:vAlign w:val="center"/>
            <w:hideMark/>
          </w:tcPr>
          <w:p w14:paraId="77D74F2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04E19E" w14:textId="77777777" w:rsidR="00776A1F" w:rsidRDefault="00D8574B">
            <w:pPr>
              <w:pStyle w:val="P68B1DB1-Normal23"/>
              <w:spacing w:after="0"/>
              <w:jc w:val="both"/>
              <w:rPr>
                <w:rFonts w:eastAsia="Calibri" w:cs="Calibri"/>
                <w:noProof/>
              </w:rPr>
            </w:pPr>
            <w:r>
              <w:rPr>
                <w:noProof/>
              </w:rPr>
              <w:t>Kopumā 125 000 000 EUR piegāde reģiona nefinanšu sabiedrībām kā pašu kapitāla un kvazikapitāla atbalsts saskaņā ar instrumenta ieguldījumu politiku. Orientējoši tiek lēsts, ka, pabeidzot plānu, tiks atbalstīti vismaz 300 uzņēmumi.</w:t>
            </w:r>
          </w:p>
        </w:tc>
      </w:tr>
      <w:tr w:rsidR="00776A1F" w14:paraId="76F54C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C7F55C" w14:textId="77777777" w:rsidR="00776A1F" w:rsidRDefault="00D8574B">
            <w:pPr>
              <w:pStyle w:val="P68B1DB1-Normal23"/>
              <w:spacing w:after="0"/>
              <w:jc w:val="center"/>
              <w:rPr>
                <w:rFonts w:eastAsia="Calibri" w:cs="Calibri"/>
                <w:noProof/>
              </w:rPr>
            </w:pPr>
            <w:r>
              <w:rPr>
                <w:noProof/>
              </w:rPr>
              <w:t>5.19</w:t>
            </w:r>
          </w:p>
        </w:tc>
        <w:tc>
          <w:tcPr>
            <w:tcW w:w="1760" w:type="dxa"/>
            <w:tcBorders>
              <w:top w:val="nil"/>
              <w:left w:val="nil"/>
              <w:bottom w:val="single" w:sz="4" w:space="0" w:color="auto"/>
              <w:right w:val="single" w:sz="4" w:space="0" w:color="auto"/>
            </w:tcBorders>
            <w:shd w:val="clear" w:color="auto" w:fill="C4EFCE"/>
            <w:vAlign w:val="center"/>
            <w:hideMark/>
          </w:tcPr>
          <w:p w14:paraId="691C999E" w14:textId="77777777" w:rsidR="00776A1F" w:rsidRDefault="00D8574B">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093E426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4854002" w14:textId="77777777" w:rsidR="00776A1F" w:rsidRDefault="00D8574B">
            <w:pPr>
              <w:pStyle w:val="P68B1DB1-Normal23"/>
              <w:spacing w:after="0"/>
              <w:jc w:val="both"/>
              <w:rPr>
                <w:rFonts w:eastAsia="Calibri" w:cs="Calibri"/>
                <w:noProof/>
              </w:rPr>
            </w:pPr>
            <w:r>
              <w:rPr>
                <w:noProof/>
              </w:rPr>
              <w:t>Jaunas (aizstāj novecojušas struktūras) vai pārkvalificētas struktūras, kas atbild par dzīvnieku kaušanu un piena kvalitātes un pārtikas nekaitīguma sertifikāciju</w:t>
            </w:r>
          </w:p>
        </w:tc>
      </w:tr>
      <w:tr w:rsidR="00776A1F" w14:paraId="6BB673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75E800" w14:textId="77777777" w:rsidR="00776A1F" w:rsidRDefault="00D8574B">
            <w:pPr>
              <w:pStyle w:val="P68B1DB1-Normal23"/>
              <w:spacing w:after="0"/>
              <w:jc w:val="center"/>
              <w:rPr>
                <w:rFonts w:eastAsia="Calibri" w:cs="Calibri"/>
                <w:noProof/>
              </w:rPr>
            </w:pPr>
            <w:r>
              <w:rPr>
                <w:noProof/>
              </w:rPr>
              <w:t>5.20</w:t>
            </w:r>
          </w:p>
        </w:tc>
        <w:tc>
          <w:tcPr>
            <w:tcW w:w="1760" w:type="dxa"/>
            <w:tcBorders>
              <w:top w:val="nil"/>
              <w:left w:val="nil"/>
              <w:bottom w:val="single" w:sz="4" w:space="0" w:color="auto"/>
              <w:right w:val="single" w:sz="4" w:space="0" w:color="auto"/>
            </w:tcBorders>
            <w:shd w:val="clear" w:color="auto" w:fill="C4EFCE"/>
            <w:vAlign w:val="center"/>
            <w:hideMark/>
          </w:tcPr>
          <w:p w14:paraId="35521E65" w14:textId="77777777" w:rsidR="00776A1F" w:rsidRDefault="00D8574B">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2A64CCB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0ED2B5" w14:textId="77777777" w:rsidR="00776A1F" w:rsidRDefault="00D8574B">
            <w:pPr>
              <w:pStyle w:val="P68B1DB1-Normal23"/>
              <w:spacing w:after="0"/>
              <w:jc w:val="both"/>
              <w:rPr>
                <w:rFonts w:eastAsia="Calibri" w:cs="Calibri"/>
                <w:noProof/>
              </w:rPr>
            </w:pPr>
            <w:r>
              <w:rPr>
                <w:noProof/>
              </w:rPr>
              <w:t>Projekti, ko atbalsta saskaņā ar pārstrādes un tirdzniecības nozares uzņēmumu pārstrukturēšanas atbalsta shēmām</w:t>
            </w:r>
          </w:p>
        </w:tc>
      </w:tr>
      <w:tr w:rsidR="00776A1F" w14:paraId="3FDB28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78BD67" w14:textId="77777777" w:rsidR="00776A1F" w:rsidRDefault="00D8574B">
            <w:pPr>
              <w:pStyle w:val="P68B1DB1-Normal23"/>
              <w:spacing w:after="0"/>
              <w:jc w:val="center"/>
              <w:rPr>
                <w:rFonts w:eastAsia="Calibri" w:cs="Calibri"/>
                <w:noProof/>
              </w:rPr>
            </w:pPr>
            <w:r>
              <w:rPr>
                <w:noProof/>
              </w:rPr>
              <w:t>5.21</w:t>
            </w:r>
          </w:p>
        </w:tc>
        <w:tc>
          <w:tcPr>
            <w:tcW w:w="1760" w:type="dxa"/>
            <w:tcBorders>
              <w:top w:val="nil"/>
              <w:left w:val="nil"/>
              <w:bottom w:val="single" w:sz="4" w:space="0" w:color="auto"/>
              <w:right w:val="single" w:sz="4" w:space="0" w:color="auto"/>
            </w:tcBorders>
            <w:shd w:val="clear" w:color="auto" w:fill="C4EFCE"/>
            <w:vAlign w:val="center"/>
            <w:hideMark/>
          </w:tcPr>
          <w:p w14:paraId="2006E72B" w14:textId="77777777" w:rsidR="00776A1F" w:rsidRDefault="00D8574B">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43DF32C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AC44E0" w14:textId="77777777" w:rsidR="00776A1F" w:rsidRDefault="00D8574B">
            <w:pPr>
              <w:pStyle w:val="P68B1DB1-Normal23"/>
              <w:spacing w:after="0"/>
              <w:jc w:val="both"/>
              <w:rPr>
                <w:rFonts w:eastAsia="Calibri" w:cs="Calibri"/>
                <w:noProof/>
              </w:rPr>
            </w:pPr>
            <w:r>
              <w:rPr>
                <w:noProof/>
              </w:rPr>
              <w:t>Projekti, ko atbalsta saskaņā ar lauku saimniecību pārstrukturēšanas atbalsta shēmām</w:t>
            </w:r>
          </w:p>
        </w:tc>
      </w:tr>
      <w:tr w:rsidR="00776A1F" w14:paraId="100DF5DB"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5BC21F8" w14:textId="77777777" w:rsidR="00776A1F" w:rsidRDefault="00D8574B">
            <w:pPr>
              <w:pStyle w:val="P68B1DB1-Normal23"/>
              <w:spacing w:after="0"/>
              <w:jc w:val="center"/>
              <w:rPr>
                <w:rFonts w:eastAsia="Calibri" w:cs="Calibri"/>
                <w:noProof/>
              </w:rPr>
            </w:pPr>
            <w:r>
              <w:rPr>
                <w:noProof/>
              </w:rPr>
              <w:t>5.22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7005F4" w14:textId="77777777" w:rsidR="00776A1F" w:rsidRDefault="00D8574B">
            <w:pPr>
              <w:pStyle w:val="P68B1DB1-Normal23"/>
              <w:spacing w:after="0"/>
              <w:jc w:val="center"/>
              <w:rPr>
                <w:rFonts w:eastAsia="Calibri" w:cs="Calibri"/>
                <w:noProof/>
              </w:rPr>
            </w:pPr>
            <w:r>
              <w:rPr>
                <w:noProof/>
              </w:rPr>
              <w:t>Re-C05-i05-RAA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A139D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D347233" w14:textId="77777777" w:rsidR="00776A1F" w:rsidRDefault="00D8574B">
            <w:pPr>
              <w:pStyle w:val="P68B1DB1-Normal23"/>
              <w:spacing w:after="0"/>
              <w:jc w:val="both"/>
              <w:rPr>
                <w:rFonts w:eastAsia="Calibri" w:cs="Calibri"/>
                <w:noProof/>
              </w:rPr>
            </w:pPr>
            <w:r>
              <w:rPr>
                <w:noProof/>
              </w:rPr>
              <w:t>Lauku saimniecības, kas saņem specializētu tehnisko atbalstu saskaņā ar lauksaimnieku iespēju nodrošināšanas programmu</w:t>
            </w:r>
          </w:p>
        </w:tc>
      </w:tr>
      <w:tr w:rsidR="00776A1F" w14:paraId="30BF76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9D989F" w14:textId="77777777" w:rsidR="00776A1F" w:rsidRDefault="00D8574B">
            <w:pPr>
              <w:pStyle w:val="P68B1DB1-Normal23"/>
              <w:spacing w:after="0"/>
              <w:jc w:val="center"/>
              <w:rPr>
                <w:rFonts w:eastAsia="Calibri" w:cs="Calibri"/>
                <w:noProof/>
              </w:rPr>
            </w:pPr>
            <w:r>
              <w:rPr>
                <w:noProof/>
              </w:rPr>
              <w:t>5.34</w:t>
            </w:r>
          </w:p>
        </w:tc>
        <w:tc>
          <w:tcPr>
            <w:tcW w:w="1760" w:type="dxa"/>
            <w:tcBorders>
              <w:top w:val="nil"/>
              <w:left w:val="nil"/>
              <w:bottom w:val="single" w:sz="4" w:space="0" w:color="auto"/>
              <w:right w:val="single" w:sz="4" w:space="0" w:color="auto"/>
            </w:tcBorders>
            <w:shd w:val="clear" w:color="auto" w:fill="C4EFCE"/>
            <w:vAlign w:val="center"/>
            <w:hideMark/>
          </w:tcPr>
          <w:p w14:paraId="72F4B8DE" w14:textId="1915F13C" w:rsidR="00776A1F" w:rsidRDefault="00D8574B">
            <w:pPr>
              <w:pStyle w:val="P68B1DB1-Normal23"/>
              <w:spacing w:after="0"/>
              <w:jc w:val="center"/>
              <w:rPr>
                <w:rFonts w:eastAsia="Calibri" w:cs="Calibri"/>
                <w:noProof/>
              </w:rPr>
            </w:pPr>
            <w:r>
              <w:rPr>
                <w:noProof/>
              </w:rPr>
              <w:t>Re-C05-i07-RAM</w:t>
            </w:r>
          </w:p>
        </w:tc>
        <w:tc>
          <w:tcPr>
            <w:tcW w:w="1520" w:type="dxa"/>
            <w:tcBorders>
              <w:top w:val="nil"/>
              <w:left w:val="nil"/>
              <w:bottom w:val="single" w:sz="4" w:space="0" w:color="auto"/>
              <w:right w:val="single" w:sz="4" w:space="0" w:color="auto"/>
            </w:tcBorders>
            <w:shd w:val="clear" w:color="auto" w:fill="C4EFCE"/>
            <w:vAlign w:val="center"/>
            <w:hideMark/>
          </w:tcPr>
          <w:p w14:paraId="316503D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50AB12" w14:textId="77777777" w:rsidR="00776A1F" w:rsidRDefault="00D8574B">
            <w:pPr>
              <w:pStyle w:val="P68B1DB1-Normal23"/>
              <w:spacing w:after="0"/>
              <w:jc w:val="both"/>
              <w:rPr>
                <w:rFonts w:eastAsia="Calibri" w:cs="Calibri"/>
                <w:noProof/>
              </w:rPr>
            </w:pPr>
            <w:r>
              <w:rPr>
                <w:noProof/>
              </w:rPr>
              <w:t>Aizdevumu garantijas reģionālo uzņēmumu projektu atbalstam.</w:t>
            </w:r>
          </w:p>
        </w:tc>
      </w:tr>
      <w:tr w:rsidR="00776A1F" w14:paraId="1D91A46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3F7491" w14:textId="77777777" w:rsidR="00776A1F" w:rsidRDefault="00D8574B">
            <w:pPr>
              <w:pStyle w:val="P68B1DB1-Normal23"/>
              <w:spacing w:after="0"/>
              <w:jc w:val="center"/>
              <w:rPr>
                <w:rFonts w:eastAsia="Calibri" w:cs="Calibri"/>
                <w:noProof/>
              </w:rPr>
            </w:pPr>
            <w:r>
              <w:rPr>
                <w:noProof/>
              </w:rPr>
              <w:t>5.35</w:t>
            </w:r>
          </w:p>
        </w:tc>
        <w:tc>
          <w:tcPr>
            <w:tcW w:w="1760" w:type="dxa"/>
            <w:tcBorders>
              <w:top w:val="nil"/>
              <w:left w:val="nil"/>
              <w:bottom w:val="single" w:sz="4" w:space="0" w:color="auto"/>
              <w:right w:val="single" w:sz="4" w:space="0" w:color="auto"/>
            </w:tcBorders>
            <w:shd w:val="clear" w:color="auto" w:fill="C4EFCE"/>
            <w:vAlign w:val="center"/>
            <w:hideMark/>
          </w:tcPr>
          <w:p w14:paraId="6967C3AD" w14:textId="77777777" w:rsidR="00776A1F" w:rsidRDefault="00D8574B">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4CCABE5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F5823A" w14:textId="1C28B1CC" w:rsidR="00776A1F" w:rsidRDefault="00D8574B">
            <w:pPr>
              <w:pStyle w:val="P68B1DB1-Normal23"/>
              <w:spacing w:after="0"/>
              <w:jc w:val="both"/>
              <w:rPr>
                <w:rFonts w:eastAsia="Calibri" w:cs="Calibri"/>
                <w:noProof/>
              </w:rPr>
            </w:pPr>
            <w:r>
              <w:rPr>
                <w:noProof/>
              </w:rPr>
              <w:t>“Zinātnes XXI pilsētiņas” un “Zinātnes dienesta” pabeigšana un pakalpojumu sniegšana, izmantojot Valsts atvērtās zinātnes un atvērto pētniecības datu programmu (PNCADAI)</w:t>
            </w:r>
          </w:p>
        </w:tc>
      </w:tr>
      <w:tr w:rsidR="00776A1F" w14:paraId="7A31595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C6871" w14:textId="77777777" w:rsidR="00776A1F" w:rsidRDefault="00D8574B">
            <w:pPr>
              <w:pStyle w:val="P68B1DB1-Normal23"/>
              <w:spacing w:after="0"/>
              <w:jc w:val="center"/>
              <w:rPr>
                <w:rFonts w:eastAsia="Calibri" w:cs="Calibri"/>
                <w:noProof/>
              </w:rPr>
            </w:pPr>
            <w:r>
              <w:rPr>
                <w:noProof/>
              </w:rPr>
              <w:t>5.40</w:t>
            </w:r>
          </w:p>
        </w:tc>
        <w:tc>
          <w:tcPr>
            <w:tcW w:w="1760" w:type="dxa"/>
            <w:tcBorders>
              <w:top w:val="nil"/>
              <w:left w:val="nil"/>
              <w:bottom w:val="single" w:sz="4" w:space="0" w:color="auto"/>
              <w:right w:val="single" w:sz="4" w:space="0" w:color="auto"/>
            </w:tcBorders>
            <w:shd w:val="clear" w:color="auto" w:fill="C4EFCE"/>
            <w:vAlign w:val="center"/>
            <w:hideMark/>
          </w:tcPr>
          <w:p w14:paraId="2F1FA845" w14:textId="77777777" w:rsidR="00776A1F" w:rsidRDefault="00D8574B">
            <w:pPr>
              <w:pStyle w:val="P68B1DB1-Normal23"/>
              <w:spacing w:after="0"/>
              <w:jc w:val="center"/>
              <w:rPr>
                <w:rFonts w:eastAsia="Calibri" w:cs="Calibri"/>
                <w:noProof/>
              </w:rPr>
            </w:pPr>
            <w:r>
              <w:rPr>
                <w:noProof/>
              </w:rPr>
              <w:t>Re-C05-i09</w:t>
            </w:r>
          </w:p>
        </w:tc>
        <w:tc>
          <w:tcPr>
            <w:tcW w:w="1520" w:type="dxa"/>
            <w:tcBorders>
              <w:top w:val="nil"/>
              <w:left w:val="nil"/>
              <w:bottom w:val="single" w:sz="4" w:space="0" w:color="auto"/>
              <w:right w:val="single" w:sz="4" w:space="0" w:color="auto"/>
            </w:tcBorders>
            <w:shd w:val="clear" w:color="auto" w:fill="C4EFCE"/>
            <w:vAlign w:val="center"/>
            <w:hideMark/>
          </w:tcPr>
          <w:p w14:paraId="6C87243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8591A6" w14:textId="77777777" w:rsidR="00776A1F" w:rsidRDefault="00D8574B">
            <w:pPr>
              <w:pStyle w:val="P68B1DB1-Normal23"/>
              <w:spacing w:after="0"/>
              <w:jc w:val="both"/>
              <w:rPr>
                <w:rFonts w:eastAsia="Calibri" w:cs="Calibri"/>
                <w:noProof/>
              </w:rPr>
            </w:pPr>
            <w:r>
              <w:rPr>
                <w:noProof/>
              </w:rPr>
              <w:t>168 produktu, procesu vai pakalpojumu pabeigšana.</w:t>
            </w:r>
          </w:p>
        </w:tc>
      </w:tr>
      <w:tr w:rsidR="00776A1F" w14:paraId="421627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3DDFE9" w14:textId="77777777" w:rsidR="00776A1F" w:rsidRDefault="00D8574B">
            <w:pPr>
              <w:pStyle w:val="P68B1DB1-Normal23"/>
              <w:spacing w:after="0"/>
              <w:jc w:val="center"/>
              <w:rPr>
                <w:rFonts w:eastAsia="Calibri" w:cs="Calibri"/>
                <w:noProof/>
              </w:rPr>
            </w:pPr>
            <w:r>
              <w:rPr>
                <w:noProof/>
              </w:rPr>
              <w:t>5.42</w:t>
            </w:r>
          </w:p>
        </w:tc>
        <w:tc>
          <w:tcPr>
            <w:tcW w:w="1760" w:type="dxa"/>
            <w:tcBorders>
              <w:top w:val="nil"/>
              <w:left w:val="nil"/>
              <w:bottom w:val="single" w:sz="4" w:space="0" w:color="auto"/>
              <w:right w:val="single" w:sz="4" w:space="0" w:color="auto"/>
            </w:tcBorders>
            <w:shd w:val="clear" w:color="auto" w:fill="C4EFCE"/>
            <w:vAlign w:val="center"/>
            <w:hideMark/>
          </w:tcPr>
          <w:p w14:paraId="2AC3BE32" w14:textId="77777777" w:rsidR="00776A1F" w:rsidRDefault="00D8574B">
            <w:pPr>
              <w:pStyle w:val="P68B1DB1-Normal23"/>
              <w:spacing w:after="0"/>
              <w:jc w:val="center"/>
              <w:rPr>
                <w:rFonts w:eastAsia="Calibri" w:cs="Calibri"/>
                <w:noProof/>
              </w:rPr>
            </w:pPr>
            <w:r>
              <w:rPr>
                <w:noProof/>
              </w:rPr>
              <w:t>Re-C05-i10</w:t>
            </w:r>
          </w:p>
        </w:tc>
        <w:tc>
          <w:tcPr>
            <w:tcW w:w="1520" w:type="dxa"/>
            <w:tcBorders>
              <w:top w:val="nil"/>
              <w:left w:val="nil"/>
              <w:bottom w:val="single" w:sz="4" w:space="0" w:color="auto"/>
              <w:right w:val="single" w:sz="4" w:space="0" w:color="auto"/>
            </w:tcBorders>
            <w:shd w:val="clear" w:color="auto" w:fill="C4EFCE"/>
            <w:vAlign w:val="center"/>
            <w:hideMark/>
          </w:tcPr>
          <w:p w14:paraId="326441C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B3B6ECA" w14:textId="77777777" w:rsidR="00776A1F" w:rsidRDefault="00D8574B">
            <w:pPr>
              <w:pStyle w:val="P68B1DB1-Normal23"/>
              <w:spacing w:after="0"/>
              <w:jc w:val="both"/>
              <w:rPr>
                <w:rFonts w:eastAsia="Calibri" w:cs="Calibri"/>
                <w:noProof/>
              </w:rPr>
            </w:pPr>
            <w:r>
              <w:rPr>
                <w:noProof/>
              </w:rPr>
              <w:t>Tādu produktu, procesu vai pakalpojumu (PSL) pabeigšana, kas attiecas uz ekonomiku ar zemu oglekļa dioksīda emisiju līmeni, noturību un pielāgošanos klimata pārmaiņām.</w:t>
            </w:r>
          </w:p>
        </w:tc>
      </w:tr>
      <w:tr w:rsidR="00776A1F" w14:paraId="14988A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04BD2D" w14:textId="77777777" w:rsidR="00776A1F" w:rsidRDefault="00D8574B">
            <w:pPr>
              <w:pStyle w:val="P68B1DB1-Normal23"/>
              <w:spacing w:after="0"/>
              <w:jc w:val="center"/>
              <w:rPr>
                <w:rFonts w:eastAsia="Calibri" w:cs="Calibri"/>
                <w:noProof/>
              </w:rPr>
            </w:pPr>
            <w:r>
              <w:rPr>
                <w:noProof/>
              </w:rPr>
              <w:t>6.2</w:t>
            </w:r>
          </w:p>
        </w:tc>
        <w:tc>
          <w:tcPr>
            <w:tcW w:w="1760" w:type="dxa"/>
            <w:tcBorders>
              <w:top w:val="nil"/>
              <w:left w:val="nil"/>
              <w:bottom w:val="single" w:sz="4" w:space="0" w:color="auto"/>
              <w:right w:val="single" w:sz="4" w:space="0" w:color="auto"/>
            </w:tcBorders>
            <w:shd w:val="clear" w:color="auto" w:fill="C4EFCE"/>
            <w:vAlign w:val="center"/>
            <w:hideMark/>
          </w:tcPr>
          <w:p w14:paraId="3BDA4A67" w14:textId="77777777" w:rsidR="00776A1F" w:rsidRDefault="00D8574B">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4065303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F70C1E" w14:textId="77777777" w:rsidR="00776A1F" w:rsidRDefault="00D8574B">
            <w:pPr>
              <w:pStyle w:val="P68B1DB1-Normal23"/>
              <w:spacing w:after="0"/>
              <w:jc w:val="both"/>
              <w:rPr>
                <w:rFonts w:eastAsia="Calibri" w:cs="Calibri"/>
                <w:noProof/>
              </w:rPr>
            </w:pPr>
            <w:r>
              <w:rPr>
                <w:noProof/>
              </w:rPr>
              <w:t>Atjaunoti vai būvēti specializēti tehnoloģiju centri</w:t>
            </w:r>
          </w:p>
        </w:tc>
      </w:tr>
      <w:tr w:rsidR="00776A1F" w14:paraId="67A0ACB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55146" w14:textId="77777777" w:rsidR="00776A1F" w:rsidRDefault="00D8574B">
            <w:pPr>
              <w:pStyle w:val="P68B1DB1-Normal23"/>
              <w:spacing w:after="0"/>
              <w:jc w:val="center"/>
              <w:rPr>
                <w:rFonts w:eastAsia="Calibri" w:cs="Calibri"/>
                <w:noProof/>
              </w:rPr>
            </w:pPr>
            <w:r>
              <w:rPr>
                <w:noProof/>
              </w:rPr>
              <w:t>6.4</w:t>
            </w:r>
          </w:p>
        </w:tc>
        <w:tc>
          <w:tcPr>
            <w:tcW w:w="1760" w:type="dxa"/>
            <w:tcBorders>
              <w:top w:val="nil"/>
              <w:left w:val="nil"/>
              <w:bottom w:val="single" w:sz="4" w:space="0" w:color="auto"/>
              <w:right w:val="single" w:sz="4" w:space="0" w:color="auto"/>
            </w:tcBorders>
            <w:shd w:val="clear" w:color="auto" w:fill="C4EFCE"/>
            <w:vAlign w:val="center"/>
            <w:hideMark/>
          </w:tcPr>
          <w:p w14:paraId="560BB3EF" w14:textId="77777777" w:rsidR="00776A1F" w:rsidRDefault="00D8574B">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1A02B8E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7D6BE2" w14:textId="77777777" w:rsidR="00776A1F" w:rsidRDefault="00D8574B">
            <w:pPr>
              <w:pStyle w:val="P68B1DB1-Normal23"/>
              <w:spacing w:after="0"/>
              <w:jc w:val="both"/>
              <w:rPr>
                <w:rFonts w:eastAsia="Calibri" w:cs="Calibri"/>
                <w:noProof/>
              </w:rPr>
            </w:pPr>
            <w:r>
              <w:rPr>
                <w:noProof/>
              </w:rPr>
              <w:t>Modernizētas mācību stacijas</w:t>
            </w:r>
          </w:p>
        </w:tc>
      </w:tr>
      <w:tr w:rsidR="00776A1F" w14:paraId="5E314A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0FE7BE" w14:textId="77777777" w:rsidR="00776A1F" w:rsidRDefault="00D8574B">
            <w:pPr>
              <w:pStyle w:val="P68B1DB1-Normal23"/>
              <w:spacing w:after="0"/>
              <w:jc w:val="center"/>
              <w:rPr>
                <w:rFonts w:eastAsia="Calibri" w:cs="Calibri"/>
                <w:noProof/>
              </w:rPr>
            </w:pPr>
            <w:r>
              <w:rPr>
                <w:noProof/>
              </w:rPr>
              <w:t>6.6</w:t>
            </w:r>
          </w:p>
        </w:tc>
        <w:tc>
          <w:tcPr>
            <w:tcW w:w="1760" w:type="dxa"/>
            <w:tcBorders>
              <w:top w:val="nil"/>
              <w:left w:val="nil"/>
              <w:bottom w:val="single" w:sz="4" w:space="0" w:color="auto"/>
              <w:right w:val="single" w:sz="4" w:space="0" w:color="auto"/>
            </w:tcBorders>
            <w:shd w:val="clear" w:color="auto" w:fill="C4EFCE"/>
            <w:vAlign w:val="center"/>
            <w:hideMark/>
          </w:tcPr>
          <w:p w14:paraId="6F3A1B05" w14:textId="77777777" w:rsidR="00776A1F" w:rsidRDefault="00D8574B">
            <w:pPr>
              <w:pStyle w:val="P68B1DB1-Normal23"/>
              <w:spacing w:after="0"/>
              <w:jc w:val="center"/>
              <w:rPr>
                <w:rFonts w:eastAsia="Calibri" w:cs="Calibri"/>
                <w:noProof/>
              </w:rPr>
            </w:pPr>
            <w:r>
              <w:rPr>
                <w:noProof/>
              </w:rPr>
              <w:t>Re-C06-i03</w:t>
            </w:r>
          </w:p>
        </w:tc>
        <w:tc>
          <w:tcPr>
            <w:tcW w:w="1520" w:type="dxa"/>
            <w:tcBorders>
              <w:top w:val="nil"/>
              <w:left w:val="nil"/>
              <w:bottom w:val="single" w:sz="4" w:space="0" w:color="auto"/>
              <w:right w:val="single" w:sz="4" w:space="0" w:color="auto"/>
            </w:tcBorders>
            <w:shd w:val="clear" w:color="auto" w:fill="C4EFCE"/>
            <w:vAlign w:val="center"/>
            <w:hideMark/>
          </w:tcPr>
          <w:p w14:paraId="232B7518"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37F14F" w14:textId="77777777" w:rsidR="00776A1F" w:rsidRDefault="00D8574B">
            <w:pPr>
              <w:pStyle w:val="P68B1DB1-Normal23"/>
              <w:spacing w:after="0"/>
              <w:jc w:val="both"/>
              <w:rPr>
                <w:rFonts w:eastAsia="Calibri" w:cs="Calibri"/>
                <w:noProof/>
              </w:rPr>
            </w:pPr>
            <w:r>
              <w:rPr>
                <w:noProof/>
              </w:rPr>
              <w:t>Papildu dalībnieki pasākumos, kuru mērķis ir atbalstīt pieaugušo prasmju pilnveidi</w:t>
            </w:r>
          </w:p>
        </w:tc>
      </w:tr>
      <w:tr w:rsidR="00776A1F" w14:paraId="050A7C9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403F26F" w14:textId="77777777" w:rsidR="00776A1F" w:rsidRDefault="00D8574B">
            <w:pPr>
              <w:pStyle w:val="P68B1DB1-Normal23"/>
              <w:spacing w:after="0"/>
              <w:jc w:val="center"/>
              <w:rPr>
                <w:rFonts w:eastAsia="Calibri" w:cs="Calibri"/>
                <w:noProof/>
              </w:rPr>
            </w:pPr>
            <w:r>
              <w:rPr>
                <w:noProof/>
              </w:rPr>
              <w:t>6.7</w:t>
            </w:r>
          </w:p>
        </w:tc>
        <w:tc>
          <w:tcPr>
            <w:tcW w:w="1760" w:type="dxa"/>
            <w:tcBorders>
              <w:top w:val="nil"/>
              <w:left w:val="nil"/>
              <w:bottom w:val="single" w:sz="4" w:space="0" w:color="auto"/>
              <w:right w:val="single" w:sz="4" w:space="0" w:color="auto"/>
            </w:tcBorders>
            <w:shd w:val="clear" w:color="auto" w:fill="C4EFCE"/>
            <w:vAlign w:val="center"/>
            <w:hideMark/>
          </w:tcPr>
          <w:p w14:paraId="46784F4F" w14:textId="77777777" w:rsidR="00776A1F" w:rsidRDefault="00D8574B">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1087726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3B9D33" w14:textId="77777777" w:rsidR="00776A1F" w:rsidRDefault="00D8574B">
            <w:pPr>
              <w:pStyle w:val="P68B1DB1-Normal23"/>
              <w:spacing w:after="0"/>
              <w:jc w:val="both"/>
              <w:rPr>
                <w:rFonts w:eastAsia="Calibri" w:cs="Calibri"/>
                <w:noProof/>
              </w:rPr>
            </w:pPr>
            <w:r>
              <w:rPr>
                <w:noProof/>
              </w:rPr>
              <w:t>Papildu Ciência Viva klubi</w:t>
            </w:r>
          </w:p>
        </w:tc>
      </w:tr>
      <w:tr w:rsidR="00776A1F" w14:paraId="582916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5A0571" w14:textId="77777777" w:rsidR="00776A1F" w:rsidRDefault="00D8574B">
            <w:pPr>
              <w:pStyle w:val="P68B1DB1-Normal23"/>
              <w:spacing w:after="0"/>
              <w:jc w:val="center"/>
              <w:rPr>
                <w:rFonts w:eastAsia="Calibri" w:cs="Calibri"/>
                <w:noProof/>
              </w:rPr>
            </w:pPr>
            <w:r>
              <w:rPr>
                <w:noProof/>
              </w:rPr>
              <w:t>6.9</w:t>
            </w:r>
          </w:p>
        </w:tc>
        <w:tc>
          <w:tcPr>
            <w:tcW w:w="1760" w:type="dxa"/>
            <w:tcBorders>
              <w:top w:val="nil"/>
              <w:left w:val="nil"/>
              <w:bottom w:val="single" w:sz="4" w:space="0" w:color="auto"/>
              <w:right w:val="single" w:sz="4" w:space="0" w:color="auto"/>
            </w:tcBorders>
            <w:shd w:val="clear" w:color="auto" w:fill="C4EFCE"/>
            <w:vAlign w:val="center"/>
            <w:hideMark/>
          </w:tcPr>
          <w:p w14:paraId="5E8FAB6C" w14:textId="77777777" w:rsidR="00776A1F" w:rsidRDefault="00D8574B">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48B0335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AD5F2D" w14:textId="77777777" w:rsidR="00776A1F" w:rsidRDefault="00D8574B">
            <w:pPr>
              <w:pStyle w:val="P68B1DB1-Normal23"/>
              <w:spacing w:after="0"/>
              <w:jc w:val="both"/>
              <w:rPr>
                <w:rFonts w:eastAsia="Calibri" w:cs="Calibri"/>
                <w:noProof/>
              </w:rPr>
            </w:pPr>
            <w:r>
              <w:rPr>
                <w:noProof/>
              </w:rPr>
              <w:t>Papildu skaits studentu, kas pabeiguši terciārās izglītības kursus STEAM</w:t>
            </w:r>
          </w:p>
        </w:tc>
      </w:tr>
      <w:tr w:rsidR="00776A1F" w14:paraId="3C70A66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4CDA63" w14:textId="77777777" w:rsidR="00776A1F" w:rsidRDefault="00D8574B">
            <w:pPr>
              <w:pStyle w:val="P68B1DB1-Normal23"/>
              <w:spacing w:after="0"/>
              <w:jc w:val="center"/>
              <w:rPr>
                <w:rFonts w:eastAsia="Calibri" w:cs="Calibri"/>
                <w:noProof/>
              </w:rPr>
            </w:pPr>
            <w:r>
              <w:rPr>
                <w:noProof/>
              </w:rPr>
              <w:t>6.10</w:t>
            </w:r>
          </w:p>
        </w:tc>
        <w:tc>
          <w:tcPr>
            <w:tcW w:w="1760" w:type="dxa"/>
            <w:tcBorders>
              <w:top w:val="nil"/>
              <w:left w:val="nil"/>
              <w:bottom w:val="single" w:sz="4" w:space="0" w:color="auto"/>
              <w:right w:val="single" w:sz="4" w:space="0" w:color="auto"/>
            </w:tcBorders>
            <w:shd w:val="clear" w:color="auto" w:fill="C4EFCE"/>
            <w:vAlign w:val="center"/>
            <w:hideMark/>
          </w:tcPr>
          <w:p w14:paraId="0E62DC90" w14:textId="77777777" w:rsidR="00776A1F" w:rsidRDefault="00D8574B">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01B4369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9DF944" w14:textId="77777777" w:rsidR="00776A1F" w:rsidRDefault="00D8574B">
            <w:pPr>
              <w:pStyle w:val="P68B1DB1-Normal23"/>
              <w:spacing w:after="0"/>
              <w:jc w:val="both"/>
              <w:rPr>
                <w:rFonts w:eastAsia="Calibri" w:cs="Calibri"/>
                <w:noProof/>
              </w:rPr>
            </w:pPr>
            <w:r>
              <w:rPr>
                <w:noProof/>
              </w:rPr>
              <w:t>Papildu skaits pieaugušo, kuri ir uzņemti pēcvidusskolas un terciārajā izglītībā Azoru salu autonomajā reģionā</w:t>
            </w:r>
          </w:p>
        </w:tc>
      </w:tr>
      <w:tr w:rsidR="00776A1F" w14:paraId="2B7ADE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ADBD20" w14:textId="77777777" w:rsidR="00776A1F" w:rsidRDefault="00D8574B">
            <w:pPr>
              <w:pStyle w:val="P68B1DB1-Normal23"/>
              <w:spacing w:after="0"/>
              <w:jc w:val="center"/>
              <w:rPr>
                <w:rFonts w:eastAsia="Calibri" w:cs="Calibri"/>
                <w:noProof/>
              </w:rPr>
            </w:pPr>
            <w:r>
              <w:rPr>
                <w:noProof/>
              </w:rPr>
              <w:t>6.11</w:t>
            </w:r>
          </w:p>
        </w:tc>
        <w:tc>
          <w:tcPr>
            <w:tcW w:w="1760" w:type="dxa"/>
            <w:tcBorders>
              <w:top w:val="nil"/>
              <w:left w:val="nil"/>
              <w:bottom w:val="single" w:sz="4" w:space="0" w:color="auto"/>
              <w:right w:val="single" w:sz="4" w:space="0" w:color="auto"/>
            </w:tcBorders>
            <w:shd w:val="clear" w:color="auto" w:fill="C4EFCE"/>
            <w:vAlign w:val="center"/>
            <w:hideMark/>
          </w:tcPr>
          <w:p w14:paraId="4C3D556F" w14:textId="77777777" w:rsidR="00776A1F" w:rsidRDefault="00D8574B">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680350D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2427B23" w14:textId="77777777" w:rsidR="00776A1F" w:rsidRDefault="00D8574B">
            <w:pPr>
              <w:pStyle w:val="P68B1DB1-Normal23"/>
              <w:spacing w:after="0"/>
              <w:jc w:val="both"/>
              <w:rPr>
                <w:rFonts w:eastAsia="Calibri" w:cs="Calibri"/>
                <w:noProof/>
              </w:rPr>
            </w:pPr>
            <w:r>
              <w:rPr>
                <w:noProof/>
              </w:rPr>
              <w:t>Modernizētas profesionālās skolas Azoru salu autonomajā reģionā</w:t>
            </w:r>
          </w:p>
        </w:tc>
      </w:tr>
      <w:tr w:rsidR="00776A1F" w14:paraId="24EC007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7C2B" w14:textId="77777777" w:rsidR="00776A1F" w:rsidRDefault="00D8574B">
            <w:pPr>
              <w:pStyle w:val="P68B1DB1-Normal23"/>
              <w:spacing w:after="0"/>
              <w:jc w:val="center"/>
              <w:rPr>
                <w:rFonts w:eastAsia="Calibri" w:cs="Calibri"/>
                <w:noProof/>
              </w:rPr>
            </w:pPr>
            <w:r>
              <w:rPr>
                <w:noProof/>
              </w:rPr>
              <w:t>6.12</w:t>
            </w:r>
          </w:p>
        </w:tc>
        <w:tc>
          <w:tcPr>
            <w:tcW w:w="1760" w:type="dxa"/>
            <w:tcBorders>
              <w:top w:val="nil"/>
              <w:left w:val="nil"/>
              <w:bottom w:val="single" w:sz="4" w:space="0" w:color="auto"/>
              <w:right w:val="single" w:sz="4" w:space="0" w:color="auto"/>
            </w:tcBorders>
            <w:shd w:val="clear" w:color="auto" w:fill="C4EFCE"/>
            <w:vAlign w:val="center"/>
            <w:hideMark/>
          </w:tcPr>
          <w:p w14:paraId="50C54B79" w14:textId="77777777" w:rsidR="00776A1F" w:rsidRDefault="00D8574B">
            <w:pPr>
              <w:pStyle w:val="P68B1DB1-Normal23"/>
              <w:spacing w:after="0"/>
              <w:jc w:val="center"/>
              <w:rPr>
                <w:rFonts w:eastAsia="Calibri" w:cs="Calibri"/>
                <w:noProof/>
              </w:rPr>
            </w:pPr>
            <w:r>
              <w:rPr>
                <w:noProof/>
              </w:rPr>
              <w:t>Re-C06-r14</w:t>
            </w:r>
          </w:p>
        </w:tc>
        <w:tc>
          <w:tcPr>
            <w:tcW w:w="1520" w:type="dxa"/>
            <w:tcBorders>
              <w:top w:val="nil"/>
              <w:left w:val="nil"/>
              <w:bottom w:val="single" w:sz="4" w:space="0" w:color="auto"/>
              <w:right w:val="single" w:sz="4" w:space="0" w:color="auto"/>
            </w:tcBorders>
            <w:shd w:val="clear" w:color="auto" w:fill="C4EFCE"/>
            <w:vAlign w:val="center"/>
            <w:hideMark/>
          </w:tcPr>
          <w:p w14:paraId="3BED303B"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5602805" w14:textId="77777777" w:rsidR="00776A1F" w:rsidRDefault="00D8574B">
            <w:pPr>
              <w:pStyle w:val="P68B1DB1-Normal23"/>
              <w:spacing w:after="0"/>
              <w:jc w:val="both"/>
              <w:rPr>
                <w:rFonts w:eastAsia="Calibri" w:cs="Calibri"/>
                <w:noProof/>
              </w:rPr>
            </w:pPr>
            <w:r>
              <w:rPr>
                <w:noProof/>
              </w:rPr>
              <w:t>Mācību vakanču atvēršana</w:t>
            </w:r>
          </w:p>
        </w:tc>
      </w:tr>
      <w:tr w:rsidR="00776A1F" w14:paraId="33E8B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A94FF" w14:textId="77777777" w:rsidR="00776A1F" w:rsidRDefault="00D8574B">
            <w:pPr>
              <w:pStyle w:val="P68B1DB1-Normal23"/>
              <w:spacing w:after="0"/>
              <w:jc w:val="center"/>
              <w:rPr>
                <w:rFonts w:eastAsia="Calibri" w:cs="Calibri"/>
                <w:noProof/>
              </w:rPr>
            </w:pPr>
            <w:r>
              <w:rPr>
                <w:noProof/>
              </w:rPr>
              <w:t>7.3</w:t>
            </w:r>
          </w:p>
        </w:tc>
        <w:tc>
          <w:tcPr>
            <w:tcW w:w="1760" w:type="dxa"/>
            <w:tcBorders>
              <w:top w:val="nil"/>
              <w:left w:val="nil"/>
              <w:bottom w:val="single" w:sz="4" w:space="0" w:color="auto"/>
              <w:right w:val="single" w:sz="4" w:space="0" w:color="auto"/>
            </w:tcBorders>
            <w:shd w:val="clear" w:color="auto" w:fill="C4EFCE"/>
            <w:vAlign w:val="center"/>
            <w:hideMark/>
          </w:tcPr>
          <w:p w14:paraId="3892C438" w14:textId="77777777" w:rsidR="00776A1F" w:rsidRDefault="00D8574B">
            <w:pPr>
              <w:pStyle w:val="P68B1DB1-Normal23"/>
              <w:spacing w:after="0"/>
              <w:jc w:val="center"/>
              <w:rPr>
                <w:rFonts w:eastAsia="Calibri" w:cs="Calibri"/>
                <w:noProof/>
              </w:rPr>
            </w:pPr>
            <w:r>
              <w:rPr>
                <w:noProof/>
              </w:rPr>
              <w:t>Re-C07-i00</w:t>
            </w:r>
          </w:p>
        </w:tc>
        <w:tc>
          <w:tcPr>
            <w:tcW w:w="1520" w:type="dxa"/>
            <w:tcBorders>
              <w:top w:val="nil"/>
              <w:left w:val="nil"/>
              <w:bottom w:val="single" w:sz="4" w:space="0" w:color="auto"/>
              <w:right w:val="single" w:sz="4" w:space="0" w:color="auto"/>
            </w:tcBorders>
            <w:shd w:val="clear" w:color="auto" w:fill="C4EFCE"/>
            <w:vAlign w:val="center"/>
            <w:hideMark/>
          </w:tcPr>
          <w:p w14:paraId="717E5A0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51B064" w14:textId="15C38C04" w:rsidR="00776A1F" w:rsidRDefault="00D8574B">
            <w:pPr>
              <w:pStyle w:val="P68B1DB1-Normal23"/>
              <w:spacing w:after="0"/>
              <w:jc w:val="both"/>
              <w:rPr>
                <w:rFonts w:eastAsia="Calibri" w:cs="Calibri"/>
                <w:noProof/>
              </w:rPr>
            </w:pPr>
            <w:r>
              <w:rPr>
                <w:noProof/>
              </w:rPr>
              <w:t>Publiski pieejami elektrotransportlīdzekļu uzlādes punkti</w:t>
            </w:r>
          </w:p>
        </w:tc>
      </w:tr>
      <w:tr w:rsidR="00776A1F" w14:paraId="650DC7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9A4D3B" w14:textId="77777777" w:rsidR="00776A1F" w:rsidRDefault="00D8574B">
            <w:pPr>
              <w:pStyle w:val="P68B1DB1-Normal23"/>
              <w:spacing w:after="0"/>
              <w:jc w:val="center"/>
              <w:rPr>
                <w:rFonts w:eastAsia="Calibri" w:cs="Calibri"/>
                <w:noProof/>
              </w:rPr>
            </w:pPr>
            <w:r>
              <w:rPr>
                <w:noProof/>
              </w:rPr>
              <w:t>7.5</w:t>
            </w:r>
          </w:p>
        </w:tc>
        <w:tc>
          <w:tcPr>
            <w:tcW w:w="1760" w:type="dxa"/>
            <w:tcBorders>
              <w:top w:val="nil"/>
              <w:left w:val="nil"/>
              <w:bottom w:val="single" w:sz="4" w:space="0" w:color="auto"/>
              <w:right w:val="single" w:sz="4" w:space="0" w:color="auto"/>
            </w:tcBorders>
            <w:shd w:val="clear" w:color="auto" w:fill="C4EFCE"/>
            <w:vAlign w:val="center"/>
            <w:hideMark/>
          </w:tcPr>
          <w:p w14:paraId="17918B41" w14:textId="77777777" w:rsidR="00776A1F" w:rsidRDefault="00D8574B">
            <w:pPr>
              <w:pStyle w:val="P68B1DB1-Normal23"/>
              <w:spacing w:after="0"/>
              <w:jc w:val="center"/>
              <w:rPr>
                <w:rFonts w:eastAsia="Calibri" w:cs="Calibri"/>
                <w:noProof/>
              </w:rPr>
            </w:pPr>
            <w:r>
              <w:rPr>
                <w:noProof/>
              </w:rPr>
              <w:t>Re-C07-i01</w:t>
            </w:r>
          </w:p>
        </w:tc>
        <w:tc>
          <w:tcPr>
            <w:tcW w:w="1520" w:type="dxa"/>
            <w:tcBorders>
              <w:top w:val="nil"/>
              <w:left w:val="nil"/>
              <w:bottom w:val="single" w:sz="4" w:space="0" w:color="auto"/>
              <w:right w:val="single" w:sz="4" w:space="0" w:color="auto"/>
            </w:tcBorders>
            <w:shd w:val="clear" w:color="auto" w:fill="C4EFCE"/>
            <w:vAlign w:val="center"/>
            <w:hideMark/>
          </w:tcPr>
          <w:p w14:paraId="459806A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43B899" w14:textId="77777777" w:rsidR="00776A1F" w:rsidRDefault="00D8574B">
            <w:pPr>
              <w:pStyle w:val="P68B1DB1-Normal23"/>
              <w:spacing w:after="0"/>
              <w:jc w:val="both"/>
              <w:rPr>
                <w:rFonts w:eastAsia="Calibri" w:cs="Calibri"/>
                <w:noProof/>
              </w:rPr>
            </w:pPr>
            <w:r>
              <w:rPr>
                <w:noProof/>
              </w:rPr>
              <w:t>Intervences pasākumu pabeigšana atsevišķās uzņēmējdarbības uzņemšanas jomās</w:t>
            </w:r>
          </w:p>
        </w:tc>
      </w:tr>
      <w:tr w:rsidR="00776A1F" w14:paraId="6CD2520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A01F62" w14:textId="77777777" w:rsidR="00776A1F" w:rsidRDefault="00D8574B">
            <w:pPr>
              <w:pStyle w:val="P68B1DB1-Normal23"/>
              <w:spacing w:after="0"/>
              <w:jc w:val="center"/>
              <w:rPr>
                <w:rFonts w:eastAsia="Calibri" w:cs="Calibri"/>
                <w:noProof/>
              </w:rPr>
            </w:pPr>
            <w:r>
              <w:rPr>
                <w:noProof/>
              </w:rPr>
              <w:t>7.8</w:t>
            </w:r>
          </w:p>
        </w:tc>
        <w:tc>
          <w:tcPr>
            <w:tcW w:w="1760" w:type="dxa"/>
            <w:tcBorders>
              <w:top w:val="nil"/>
              <w:left w:val="nil"/>
              <w:bottom w:val="single" w:sz="4" w:space="0" w:color="auto"/>
              <w:right w:val="single" w:sz="4" w:space="0" w:color="auto"/>
            </w:tcBorders>
            <w:shd w:val="clear" w:color="auto" w:fill="C4EFCE"/>
            <w:vAlign w:val="center"/>
            <w:hideMark/>
          </w:tcPr>
          <w:p w14:paraId="05E0D85C" w14:textId="77777777" w:rsidR="00776A1F" w:rsidRDefault="00D8574B">
            <w:pPr>
              <w:pStyle w:val="P68B1DB1-Normal23"/>
              <w:spacing w:after="0"/>
              <w:jc w:val="center"/>
              <w:rPr>
                <w:rFonts w:eastAsia="Calibri" w:cs="Calibri"/>
                <w:noProof/>
              </w:rPr>
            </w:pPr>
            <w:r>
              <w:rPr>
                <w:noProof/>
              </w:rPr>
              <w:t>Re-C07-i02</w:t>
            </w:r>
          </w:p>
        </w:tc>
        <w:tc>
          <w:tcPr>
            <w:tcW w:w="1520" w:type="dxa"/>
            <w:tcBorders>
              <w:top w:val="nil"/>
              <w:left w:val="nil"/>
              <w:bottom w:val="single" w:sz="4" w:space="0" w:color="auto"/>
              <w:right w:val="single" w:sz="4" w:space="0" w:color="auto"/>
            </w:tcBorders>
            <w:shd w:val="clear" w:color="auto" w:fill="C4EFCE"/>
            <w:vAlign w:val="center"/>
            <w:hideMark/>
          </w:tcPr>
          <w:p w14:paraId="1DD8E82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4F4337" w14:textId="77777777" w:rsidR="00776A1F" w:rsidRDefault="00D8574B">
            <w:pPr>
              <w:pStyle w:val="P68B1DB1-Normal23"/>
              <w:spacing w:after="0"/>
              <w:jc w:val="both"/>
              <w:rPr>
                <w:rFonts w:eastAsia="Calibri" w:cs="Calibri"/>
                <w:noProof/>
              </w:rPr>
            </w:pPr>
            <w:r>
              <w:rPr>
                <w:noProof/>
              </w:rPr>
              <w:t>Uzbūvētie vai atjaunotie ceļi</w:t>
            </w:r>
          </w:p>
        </w:tc>
      </w:tr>
      <w:tr w:rsidR="00776A1F" w14:paraId="377F20C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A2719F" w14:textId="77777777" w:rsidR="00776A1F" w:rsidRDefault="00D8574B">
            <w:pPr>
              <w:pStyle w:val="P68B1DB1-Normal23"/>
              <w:spacing w:after="0"/>
              <w:jc w:val="center"/>
              <w:rPr>
                <w:rFonts w:eastAsia="Calibri" w:cs="Calibri"/>
                <w:noProof/>
              </w:rPr>
            </w:pPr>
            <w:r>
              <w:rPr>
                <w:noProof/>
              </w:rPr>
              <w:t>8.1</w:t>
            </w:r>
          </w:p>
        </w:tc>
        <w:tc>
          <w:tcPr>
            <w:tcW w:w="1760" w:type="dxa"/>
            <w:tcBorders>
              <w:top w:val="nil"/>
              <w:left w:val="nil"/>
              <w:bottom w:val="single" w:sz="4" w:space="0" w:color="auto"/>
              <w:right w:val="single" w:sz="4" w:space="0" w:color="auto"/>
            </w:tcBorders>
            <w:shd w:val="clear" w:color="auto" w:fill="C4EFCE"/>
            <w:vAlign w:val="center"/>
            <w:hideMark/>
          </w:tcPr>
          <w:p w14:paraId="01EDC3E5" w14:textId="77777777" w:rsidR="00776A1F" w:rsidRDefault="00D8574B">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1980E79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410C3D" w14:textId="77777777" w:rsidR="00776A1F" w:rsidRDefault="00D8574B">
            <w:pPr>
              <w:pStyle w:val="P68B1DB1-Normal23"/>
              <w:spacing w:after="0"/>
              <w:jc w:val="both"/>
              <w:rPr>
                <w:rFonts w:eastAsia="Calibri" w:cs="Calibri"/>
                <w:noProof/>
              </w:rPr>
            </w:pPr>
            <w:r>
              <w:rPr>
                <w:noProof/>
              </w:rPr>
              <w:t>Ainavu plānošanas un apsaimniekošanas programmu (PRGP) izstrāde teritorijās, kas definētas kā neaizsargātas.</w:t>
            </w:r>
          </w:p>
        </w:tc>
      </w:tr>
      <w:tr w:rsidR="00776A1F" w14:paraId="57C969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18667B" w14:textId="77777777" w:rsidR="00776A1F" w:rsidRDefault="00D8574B">
            <w:pPr>
              <w:pStyle w:val="P68B1DB1-Normal23"/>
              <w:spacing w:after="0"/>
              <w:jc w:val="center"/>
              <w:rPr>
                <w:rFonts w:eastAsia="Calibri" w:cs="Calibri"/>
                <w:noProof/>
              </w:rPr>
            </w:pPr>
            <w:r>
              <w:rPr>
                <w:noProof/>
              </w:rPr>
              <w:t>8.2</w:t>
            </w:r>
          </w:p>
        </w:tc>
        <w:tc>
          <w:tcPr>
            <w:tcW w:w="1760" w:type="dxa"/>
            <w:tcBorders>
              <w:top w:val="nil"/>
              <w:left w:val="nil"/>
              <w:bottom w:val="single" w:sz="4" w:space="0" w:color="auto"/>
              <w:right w:val="single" w:sz="4" w:space="0" w:color="auto"/>
            </w:tcBorders>
            <w:shd w:val="clear" w:color="auto" w:fill="C4EFCE"/>
            <w:vAlign w:val="center"/>
            <w:hideMark/>
          </w:tcPr>
          <w:p w14:paraId="7A203DDE" w14:textId="77777777" w:rsidR="00776A1F" w:rsidRDefault="00D8574B">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noWrap/>
            <w:vAlign w:val="center"/>
            <w:hideMark/>
          </w:tcPr>
          <w:p w14:paraId="41F26EE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noWrap/>
            <w:vAlign w:val="center"/>
            <w:hideMark/>
          </w:tcPr>
          <w:p w14:paraId="0C955423" w14:textId="77777777" w:rsidR="00776A1F" w:rsidRDefault="00D8574B">
            <w:pPr>
              <w:pStyle w:val="P68B1DB1-Normal23"/>
              <w:spacing w:after="0"/>
              <w:jc w:val="both"/>
              <w:rPr>
                <w:rFonts w:eastAsia="Calibri" w:cs="Calibri"/>
                <w:noProof/>
              </w:rPr>
            </w:pPr>
            <w:r>
              <w:rPr>
                <w:noProof/>
              </w:rPr>
              <w:t xml:space="preserve"> Integrētās ainavu apsaimniekošanas operāciju (OIGP) publicēšana Diário da Republica</w:t>
            </w:r>
          </w:p>
        </w:tc>
      </w:tr>
      <w:tr w:rsidR="00776A1F" w14:paraId="7FAC8B4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DC7D96" w14:textId="77777777" w:rsidR="00776A1F" w:rsidRDefault="00D8574B">
            <w:pPr>
              <w:pStyle w:val="P68B1DB1-Normal23"/>
              <w:spacing w:after="0"/>
              <w:jc w:val="center"/>
              <w:rPr>
                <w:rFonts w:eastAsia="Calibri" w:cs="Calibri"/>
                <w:noProof/>
              </w:rPr>
            </w:pPr>
            <w:r>
              <w:rPr>
                <w:noProof/>
              </w:rPr>
              <w:t>8.3</w:t>
            </w:r>
          </w:p>
        </w:tc>
        <w:tc>
          <w:tcPr>
            <w:tcW w:w="1760" w:type="dxa"/>
            <w:tcBorders>
              <w:top w:val="nil"/>
              <w:left w:val="nil"/>
              <w:bottom w:val="single" w:sz="4" w:space="0" w:color="auto"/>
              <w:right w:val="single" w:sz="4" w:space="0" w:color="auto"/>
            </w:tcBorders>
            <w:shd w:val="clear" w:color="auto" w:fill="C4EFCE"/>
            <w:vAlign w:val="center"/>
            <w:hideMark/>
          </w:tcPr>
          <w:p w14:paraId="79CACB0A" w14:textId="77777777" w:rsidR="00776A1F" w:rsidRDefault="00D8574B">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73DC3FE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38BA7AD" w14:textId="77777777" w:rsidR="00776A1F" w:rsidRDefault="00D8574B">
            <w:pPr>
              <w:pStyle w:val="P68B1DB1-Normal23"/>
              <w:spacing w:after="0"/>
              <w:jc w:val="both"/>
              <w:rPr>
                <w:rFonts w:eastAsia="Calibri" w:cs="Calibri"/>
                <w:noProof/>
              </w:rPr>
            </w:pPr>
            <w:r>
              <w:rPr>
                <w:noProof/>
              </w:rPr>
              <w:t>Ciemati ar degvielas apsaimniekošanas projektiem</w:t>
            </w:r>
          </w:p>
        </w:tc>
      </w:tr>
      <w:tr w:rsidR="00776A1F" w14:paraId="61C196A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9695262" w14:textId="77777777" w:rsidR="00776A1F" w:rsidRDefault="00D8574B">
            <w:pPr>
              <w:pStyle w:val="P68B1DB1-Normal23"/>
              <w:spacing w:after="0"/>
              <w:jc w:val="center"/>
              <w:rPr>
                <w:rFonts w:eastAsia="Calibri" w:cs="Calibri"/>
                <w:noProof/>
              </w:rPr>
            </w:pPr>
            <w:r>
              <w:rPr>
                <w:noProof/>
              </w:rPr>
              <w:t>8.8</w:t>
            </w:r>
          </w:p>
        </w:tc>
        <w:tc>
          <w:tcPr>
            <w:tcW w:w="1760" w:type="dxa"/>
            <w:tcBorders>
              <w:top w:val="nil"/>
              <w:left w:val="nil"/>
              <w:bottom w:val="single" w:sz="4" w:space="0" w:color="auto"/>
              <w:right w:val="single" w:sz="4" w:space="0" w:color="auto"/>
            </w:tcBorders>
            <w:shd w:val="clear" w:color="auto" w:fill="C4EFCE"/>
            <w:vAlign w:val="center"/>
            <w:hideMark/>
          </w:tcPr>
          <w:p w14:paraId="788A36AA" w14:textId="77777777" w:rsidR="00776A1F" w:rsidRDefault="00D8574B">
            <w:pPr>
              <w:pStyle w:val="P68B1DB1-Normal23"/>
              <w:spacing w:after="0"/>
              <w:jc w:val="center"/>
              <w:rPr>
                <w:rFonts w:eastAsia="Calibri" w:cs="Calibri"/>
                <w:noProof/>
              </w:rPr>
            </w:pPr>
            <w:r>
              <w:rPr>
                <w:noProof/>
              </w:rPr>
              <w:t>Re-C08-i03</w:t>
            </w:r>
          </w:p>
        </w:tc>
        <w:tc>
          <w:tcPr>
            <w:tcW w:w="1520" w:type="dxa"/>
            <w:tcBorders>
              <w:top w:val="nil"/>
              <w:left w:val="nil"/>
              <w:bottom w:val="single" w:sz="4" w:space="0" w:color="auto"/>
              <w:right w:val="single" w:sz="4" w:space="0" w:color="auto"/>
            </w:tcBorders>
            <w:shd w:val="clear" w:color="auto" w:fill="C4EFCE"/>
            <w:vAlign w:val="center"/>
            <w:hideMark/>
          </w:tcPr>
          <w:p w14:paraId="6960196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BAA7BC" w14:textId="77777777" w:rsidR="00776A1F" w:rsidRDefault="00D8574B">
            <w:pPr>
              <w:pStyle w:val="P68B1DB1-Normal23"/>
              <w:spacing w:after="0"/>
              <w:jc w:val="both"/>
              <w:rPr>
                <w:rFonts w:eastAsia="Calibri" w:cs="Calibri"/>
                <w:noProof/>
              </w:rPr>
            </w:pPr>
            <w:r>
              <w:rPr>
                <w:noProof/>
              </w:rPr>
              <w:t>Izveidota servitūta teritorija</w:t>
            </w:r>
          </w:p>
        </w:tc>
      </w:tr>
      <w:tr w:rsidR="00776A1F" w14:paraId="0F8A64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BEAB0A" w14:textId="77777777" w:rsidR="00776A1F" w:rsidRDefault="00D8574B">
            <w:pPr>
              <w:pStyle w:val="P68B1DB1-Normal23"/>
              <w:spacing w:after="0"/>
              <w:jc w:val="center"/>
              <w:rPr>
                <w:rFonts w:eastAsia="Calibri" w:cs="Calibri"/>
                <w:noProof/>
              </w:rPr>
            </w:pPr>
            <w:r>
              <w:rPr>
                <w:noProof/>
              </w:rPr>
              <w:t>8.9</w:t>
            </w:r>
          </w:p>
        </w:tc>
        <w:tc>
          <w:tcPr>
            <w:tcW w:w="1760" w:type="dxa"/>
            <w:tcBorders>
              <w:top w:val="nil"/>
              <w:left w:val="nil"/>
              <w:bottom w:val="single" w:sz="4" w:space="0" w:color="auto"/>
              <w:right w:val="single" w:sz="4" w:space="0" w:color="auto"/>
            </w:tcBorders>
            <w:shd w:val="clear" w:color="auto" w:fill="C4EFCE"/>
            <w:vAlign w:val="center"/>
            <w:hideMark/>
          </w:tcPr>
          <w:p w14:paraId="5FB474F3" w14:textId="77777777" w:rsidR="00776A1F" w:rsidRDefault="00D8574B">
            <w:pPr>
              <w:pStyle w:val="P68B1DB1-Normal23"/>
              <w:spacing w:after="0"/>
              <w:jc w:val="center"/>
              <w:rPr>
                <w:rFonts w:eastAsia="Calibri" w:cs="Calibri"/>
                <w:noProof/>
              </w:rPr>
            </w:pPr>
            <w:r>
              <w:rPr>
                <w:noProof/>
              </w:rPr>
              <w:t>Re-C08-i03</w:t>
            </w:r>
          </w:p>
        </w:tc>
        <w:tc>
          <w:tcPr>
            <w:tcW w:w="1520" w:type="dxa"/>
            <w:tcBorders>
              <w:top w:val="nil"/>
              <w:left w:val="nil"/>
              <w:bottom w:val="single" w:sz="4" w:space="0" w:color="auto"/>
              <w:right w:val="single" w:sz="4" w:space="0" w:color="auto"/>
            </w:tcBorders>
            <w:shd w:val="clear" w:color="auto" w:fill="C4EFCE"/>
            <w:vAlign w:val="center"/>
            <w:hideMark/>
          </w:tcPr>
          <w:p w14:paraId="28F771B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D20804" w14:textId="77777777" w:rsidR="00776A1F" w:rsidRDefault="00D8574B">
            <w:pPr>
              <w:pStyle w:val="P68B1DB1-Normal23"/>
              <w:spacing w:after="0"/>
              <w:jc w:val="both"/>
              <w:rPr>
                <w:rFonts w:eastAsia="Calibri" w:cs="Calibri"/>
                <w:noProof/>
              </w:rPr>
            </w:pPr>
            <w:r>
              <w:rPr>
                <w:noProof/>
              </w:rPr>
              <w:t>Primāro degvielu pārvaldības pārrāvumu strukturēšanas tīkla (RPFGC) īstenošana</w:t>
            </w:r>
          </w:p>
        </w:tc>
      </w:tr>
      <w:tr w:rsidR="00776A1F" w14:paraId="743370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3BCE24" w14:textId="77777777" w:rsidR="00776A1F" w:rsidRDefault="00D8574B">
            <w:pPr>
              <w:pStyle w:val="P68B1DB1-Normal23"/>
              <w:spacing w:after="0"/>
              <w:jc w:val="center"/>
              <w:rPr>
                <w:rFonts w:eastAsia="Calibri" w:cs="Calibri"/>
                <w:noProof/>
              </w:rPr>
            </w:pPr>
            <w:r>
              <w:rPr>
                <w:noProof/>
              </w:rPr>
              <w:t>8.11</w:t>
            </w:r>
          </w:p>
        </w:tc>
        <w:tc>
          <w:tcPr>
            <w:tcW w:w="1760" w:type="dxa"/>
            <w:tcBorders>
              <w:top w:val="nil"/>
              <w:left w:val="nil"/>
              <w:bottom w:val="single" w:sz="4" w:space="0" w:color="auto"/>
              <w:right w:val="single" w:sz="4" w:space="0" w:color="auto"/>
            </w:tcBorders>
            <w:shd w:val="clear" w:color="auto" w:fill="C4EFCE"/>
            <w:vAlign w:val="center"/>
            <w:hideMark/>
          </w:tcPr>
          <w:p w14:paraId="5060106C" w14:textId="77777777" w:rsidR="00776A1F" w:rsidRDefault="00D8574B">
            <w:pPr>
              <w:pStyle w:val="P68B1DB1-Normal23"/>
              <w:spacing w:after="0"/>
              <w:jc w:val="center"/>
              <w:rPr>
                <w:rFonts w:eastAsia="Calibri" w:cs="Calibri"/>
                <w:noProof/>
              </w:rPr>
            </w:pPr>
            <w:r>
              <w:rPr>
                <w:noProof/>
              </w:rPr>
              <w:t>Re-C08-i04</w:t>
            </w:r>
          </w:p>
        </w:tc>
        <w:tc>
          <w:tcPr>
            <w:tcW w:w="1520" w:type="dxa"/>
            <w:tcBorders>
              <w:top w:val="nil"/>
              <w:left w:val="nil"/>
              <w:bottom w:val="single" w:sz="4" w:space="0" w:color="auto"/>
              <w:right w:val="single" w:sz="4" w:space="0" w:color="auto"/>
            </w:tcBorders>
            <w:shd w:val="clear" w:color="auto" w:fill="C4EFCE"/>
            <w:vAlign w:val="center"/>
            <w:hideMark/>
          </w:tcPr>
          <w:p w14:paraId="1062D4C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8AA6F2" w14:textId="77777777" w:rsidR="00776A1F" w:rsidRDefault="00D8574B">
            <w:pPr>
              <w:pStyle w:val="P68B1DB1-Normal23"/>
              <w:spacing w:after="0"/>
              <w:jc w:val="both"/>
              <w:rPr>
                <w:rFonts w:eastAsia="Calibri" w:cs="Calibri"/>
                <w:noProof/>
              </w:rPr>
            </w:pPr>
            <w:r>
              <w:rPr>
                <w:noProof/>
              </w:rPr>
              <w:t>Vieglo un vidējo ugunsdzēsēju helikopteru piegāde</w:t>
            </w:r>
          </w:p>
        </w:tc>
      </w:tr>
      <w:tr w:rsidR="00776A1F" w14:paraId="029E127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5D7569" w14:textId="77777777" w:rsidR="00776A1F" w:rsidRDefault="00D8574B">
            <w:pPr>
              <w:pStyle w:val="P68B1DB1-Normal23"/>
              <w:spacing w:after="0"/>
              <w:jc w:val="center"/>
              <w:rPr>
                <w:rFonts w:eastAsia="Calibri" w:cs="Calibri"/>
                <w:noProof/>
              </w:rPr>
            </w:pPr>
            <w:r>
              <w:rPr>
                <w:noProof/>
              </w:rPr>
              <w:t>8.16</w:t>
            </w:r>
          </w:p>
        </w:tc>
        <w:tc>
          <w:tcPr>
            <w:tcW w:w="1760" w:type="dxa"/>
            <w:tcBorders>
              <w:top w:val="nil"/>
              <w:left w:val="nil"/>
              <w:bottom w:val="single" w:sz="4" w:space="0" w:color="auto"/>
              <w:right w:val="single" w:sz="4" w:space="0" w:color="auto"/>
            </w:tcBorders>
            <w:shd w:val="clear" w:color="auto" w:fill="C4EFCE"/>
            <w:vAlign w:val="center"/>
            <w:hideMark/>
          </w:tcPr>
          <w:p w14:paraId="406E3841" w14:textId="77777777" w:rsidR="00776A1F" w:rsidRDefault="00D8574B">
            <w:pPr>
              <w:pStyle w:val="P68B1DB1-Normal23"/>
              <w:spacing w:after="0"/>
              <w:jc w:val="center"/>
              <w:rPr>
                <w:rFonts w:eastAsia="Calibri" w:cs="Calibri"/>
                <w:noProof/>
              </w:rPr>
            </w:pPr>
            <w:r>
              <w:rPr>
                <w:noProof/>
              </w:rPr>
              <w:t>Re-C08-i05</w:t>
            </w:r>
          </w:p>
        </w:tc>
        <w:tc>
          <w:tcPr>
            <w:tcW w:w="1520" w:type="dxa"/>
            <w:tcBorders>
              <w:top w:val="nil"/>
              <w:left w:val="nil"/>
              <w:bottom w:val="single" w:sz="4" w:space="0" w:color="auto"/>
              <w:right w:val="single" w:sz="4" w:space="0" w:color="auto"/>
            </w:tcBorders>
            <w:shd w:val="clear" w:color="auto" w:fill="C4EFCE"/>
            <w:vAlign w:val="center"/>
            <w:hideMark/>
          </w:tcPr>
          <w:p w14:paraId="5F70D9D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632C10" w14:textId="77777777" w:rsidR="00776A1F" w:rsidRDefault="00D8574B">
            <w:pPr>
              <w:pStyle w:val="P68B1DB1-Normal23"/>
              <w:spacing w:after="0"/>
              <w:jc w:val="both"/>
              <w:rPr>
                <w:rFonts w:eastAsia="Calibri" w:cs="Calibri"/>
                <w:noProof/>
              </w:rPr>
            </w:pPr>
            <w:r>
              <w:rPr>
                <w:noProof/>
              </w:rPr>
              <w:t>Valsts mācību programmas īstenošana</w:t>
            </w:r>
          </w:p>
        </w:tc>
      </w:tr>
      <w:tr w:rsidR="00776A1F" w14:paraId="151E9F4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364E79" w14:textId="77777777" w:rsidR="00776A1F" w:rsidRDefault="00D8574B">
            <w:pPr>
              <w:pStyle w:val="P68B1DB1-Normal23"/>
              <w:spacing w:after="0"/>
              <w:jc w:val="center"/>
              <w:rPr>
                <w:rFonts w:eastAsia="Calibri" w:cs="Calibri"/>
                <w:noProof/>
              </w:rPr>
            </w:pPr>
            <w:r>
              <w:rPr>
                <w:noProof/>
              </w:rPr>
              <w:t>8.20</w:t>
            </w:r>
          </w:p>
        </w:tc>
        <w:tc>
          <w:tcPr>
            <w:tcW w:w="1760" w:type="dxa"/>
            <w:tcBorders>
              <w:top w:val="nil"/>
              <w:left w:val="nil"/>
              <w:bottom w:val="single" w:sz="4" w:space="0" w:color="auto"/>
              <w:right w:val="single" w:sz="4" w:space="0" w:color="auto"/>
            </w:tcBorders>
            <w:shd w:val="clear" w:color="auto" w:fill="C4EFCE"/>
            <w:vAlign w:val="center"/>
            <w:hideMark/>
          </w:tcPr>
          <w:p w14:paraId="0F6D2E23" w14:textId="77777777" w:rsidR="00776A1F" w:rsidRDefault="00D8574B">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6A8FA55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C69A6A" w14:textId="77777777" w:rsidR="00776A1F" w:rsidRDefault="00D8574B">
            <w:pPr>
              <w:pStyle w:val="P68B1DB1-Normal23"/>
              <w:spacing w:after="0"/>
              <w:jc w:val="both"/>
              <w:rPr>
                <w:rFonts w:eastAsia="Calibri" w:cs="Calibri"/>
                <w:noProof/>
              </w:rPr>
            </w:pPr>
            <w:r>
              <w:rPr>
                <w:noProof/>
              </w:rPr>
              <w:t>Zemes konsolidācijas pasākumu programma “Emparcelar para Ordenar” īstenošana</w:t>
            </w:r>
          </w:p>
        </w:tc>
      </w:tr>
      <w:tr w:rsidR="00776A1F" w14:paraId="340031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197FF" w14:textId="77777777" w:rsidR="00776A1F" w:rsidRDefault="00D8574B">
            <w:pPr>
              <w:pStyle w:val="P68B1DB1-Normal23"/>
              <w:spacing w:after="0"/>
              <w:jc w:val="center"/>
              <w:rPr>
                <w:rFonts w:eastAsia="Calibri" w:cs="Calibri"/>
                <w:noProof/>
              </w:rPr>
            </w:pPr>
            <w:r>
              <w:rPr>
                <w:noProof/>
              </w:rPr>
              <w:t>9.13</w:t>
            </w:r>
          </w:p>
        </w:tc>
        <w:tc>
          <w:tcPr>
            <w:tcW w:w="1760" w:type="dxa"/>
            <w:tcBorders>
              <w:top w:val="nil"/>
              <w:left w:val="nil"/>
              <w:bottom w:val="single" w:sz="4" w:space="0" w:color="auto"/>
              <w:right w:val="single" w:sz="4" w:space="0" w:color="auto"/>
            </w:tcBorders>
            <w:shd w:val="clear" w:color="auto" w:fill="C4EFCE"/>
            <w:vAlign w:val="center"/>
            <w:hideMark/>
          </w:tcPr>
          <w:p w14:paraId="4DC101BB" w14:textId="77777777" w:rsidR="00776A1F" w:rsidRDefault="00D8574B">
            <w:pPr>
              <w:pStyle w:val="P68B1DB1-Normal23"/>
              <w:spacing w:after="0"/>
              <w:jc w:val="center"/>
              <w:rPr>
                <w:rFonts w:eastAsia="Calibri" w:cs="Calibri"/>
                <w:noProof/>
              </w:rPr>
            </w:pPr>
            <w:r>
              <w:rPr>
                <w:noProof/>
              </w:rPr>
              <w:t>Re-C09-i03-RAM</w:t>
            </w:r>
          </w:p>
        </w:tc>
        <w:tc>
          <w:tcPr>
            <w:tcW w:w="1520" w:type="dxa"/>
            <w:tcBorders>
              <w:top w:val="nil"/>
              <w:left w:val="nil"/>
              <w:bottom w:val="single" w:sz="4" w:space="0" w:color="auto"/>
              <w:right w:val="single" w:sz="4" w:space="0" w:color="auto"/>
            </w:tcBorders>
            <w:shd w:val="clear" w:color="auto" w:fill="C4EFCE"/>
            <w:vAlign w:val="center"/>
            <w:hideMark/>
          </w:tcPr>
          <w:p w14:paraId="006C329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DD5B30" w14:textId="77777777" w:rsidR="00776A1F" w:rsidRDefault="00D8574B">
            <w:pPr>
              <w:pStyle w:val="P68B1DB1-Normal23"/>
              <w:spacing w:after="0"/>
              <w:jc w:val="both"/>
              <w:rPr>
                <w:rFonts w:eastAsia="Calibri" w:cs="Calibri"/>
                <w:noProof/>
              </w:rPr>
            </w:pPr>
            <w:r>
              <w:rPr>
                <w:noProof/>
              </w:rPr>
              <w:t>Papildu ūdens daudzums, kas pieejams Madeiras salas dienvidu daļā publiskai apgādei un apūdeņošanai</w:t>
            </w:r>
          </w:p>
        </w:tc>
      </w:tr>
      <w:tr w:rsidR="00776A1F" w14:paraId="785F1D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6C8B5C" w14:textId="77777777" w:rsidR="00776A1F" w:rsidRDefault="00D8574B">
            <w:pPr>
              <w:pStyle w:val="P68B1DB1-Normal23"/>
              <w:spacing w:after="0"/>
              <w:jc w:val="center"/>
              <w:rPr>
                <w:rFonts w:eastAsia="Calibri" w:cs="Calibri"/>
                <w:noProof/>
              </w:rPr>
            </w:pPr>
            <w:r>
              <w:rPr>
                <w:noProof/>
              </w:rPr>
              <w:t>10.2</w:t>
            </w:r>
          </w:p>
        </w:tc>
        <w:tc>
          <w:tcPr>
            <w:tcW w:w="1760" w:type="dxa"/>
            <w:tcBorders>
              <w:top w:val="nil"/>
              <w:left w:val="nil"/>
              <w:bottom w:val="single" w:sz="4" w:space="0" w:color="auto"/>
              <w:right w:val="single" w:sz="4" w:space="0" w:color="auto"/>
            </w:tcBorders>
            <w:shd w:val="clear" w:color="auto" w:fill="C4EFCE"/>
            <w:vAlign w:val="center"/>
            <w:hideMark/>
          </w:tcPr>
          <w:p w14:paraId="0D2AF861" w14:textId="77777777" w:rsidR="00776A1F" w:rsidRDefault="00D8574B">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44875E4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39B19A" w14:textId="77777777" w:rsidR="00776A1F" w:rsidRDefault="00D8574B">
            <w:pPr>
              <w:pStyle w:val="P68B1DB1-Normal23"/>
              <w:spacing w:after="0"/>
              <w:jc w:val="both"/>
              <w:rPr>
                <w:rFonts w:eastAsia="Calibri" w:cs="Calibri"/>
                <w:noProof/>
              </w:rPr>
            </w:pPr>
            <w:r>
              <w:rPr>
                <w:noProof/>
              </w:rPr>
              <w:t>“Zilā centra” skolas modernizācijas un piegādes un aprīkojuma stiprināšanas pabeigšana</w:t>
            </w:r>
          </w:p>
        </w:tc>
      </w:tr>
      <w:tr w:rsidR="00776A1F" w14:paraId="5CCE596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FDF520" w14:textId="77777777" w:rsidR="00776A1F" w:rsidRDefault="00D8574B">
            <w:pPr>
              <w:pStyle w:val="P68B1DB1-Normal23"/>
              <w:spacing w:after="0"/>
              <w:jc w:val="center"/>
              <w:rPr>
                <w:rFonts w:eastAsia="Calibri" w:cs="Calibri"/>
                <w:noProof/>
              </w:rPr>
            </w:pPr>
            <w:r>
              <w:rPr>
                <w:noProof/>
              </w:rPr>
              <w:t>10.3</w:t>
            </w:r>
          </w:p>
        </w:tc>
        <w:tc>
          <w:tcPr>
            <w:tcW w:w="1760" w:type="dxa"/>
            <w:tcBorders>
              <w:top w:val="nil"/>
              <w:left w:val="nil"/>
              <w:bottom w:val="single" w:sz="4" w:space="0" w:color="auto"/>
              <w:right w:val="single" w:sz="4" w:space="0" w:color="auto"/>
            </w:tcBorders>
            <w:shd w:val="clear" w:color="auto" w:fill="C4EFCE"/>
            <w:vAlign w:val="center"/>
            <w:hideMark/>
          </w:tcPr>
          <w:p w14:paraId="70B1C854" w14:textId="77777777" w:rsidR="00776A1F" w:rsidRDefault="00D8574B">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6F5F3A8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54F1D5" w14:textId="77777777" w:rsidR="00776A1F" w:rsidRDefault="00D8574B">
            <w:pPr>
              <w:pStyle w:val="P68B1DB1-Normal23"/>
              <w:spacing w:after="0"/>
              <w:jc w:val="both"/>
              <w:rPr>
                <w:rFonts w:eastAsia="Calibri" w:cs="Calibri"/>
                <w:noProof/>
              </w:rPr>
            </w:pPr>
            <w:r>
              <w:rPr>
                <w:noProof/>
              </w:rPr>
              <w:t>Zilo centru uzstādīšanas pabeigšana un/vai modernizācija</w:t>
            </w:r>
          </w:p>
        </w:tc>
      </w:tr>
      <w:tr w:rsidR="00776A1F" w14:paraId="7B6EB3C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8F399" w14:textId="77777777" w:rsidR="00776A1F" w:rsidRDefault="00D8574B">
            <w:pPr>
              <w:pStyle w:val="P68B1DB1-Normal23"/>
              <w:spacing w:after="0"/>
              <w:jc w:val="center"/>
              <w:rPr>
                <w:rFonts w:eastAsia="Calibri" w:cs="Calibri"/>
                <w:noProof/>
              </w:rPr>
            </w:pPr>
            <w:r>
              <w:rPr>
                <w:noProof/>
              </w:rPr>
              <w:t>10.4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0B62858" w14:textId="77777777" w:rsidR="00776A1F" w:rsidRDefault="00D8574B">
            <w:pPr>
              <w:pStyle w:val="P68B1DB1-Normal23"/>
              <w:spacing w:after="0"/>
              <w:jc w:val="center"/>
              <w:rPr>
                <w:rFonts w:eastAsia="Calibri" w:cs="Calibri"/>
                <w:noProof/>
              </w:rPr>
            </w:pPr>
            <w:r>
              <w:rPr>
                <w:noProof/>
              </w:rPr>
              <w:t>TC-C10-i02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736AA3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2D99B7" w14:textId="77777777" w:rsidR="00776A1F" w:rsidRDefault="00D8574B">
            <w:pPr>
              <w:pStyle w:val="P68B1DB1-Normal23"/>
              <w:spacing w:after="0"/>
              <w:jc w:val="both"/>
              <w:rPr>
                <w:rFonts w:eastAsia="Calibri" w:cs="Calibri"/>
                <w:noProof/>
              </w:rPr>
            </w:pPr>
            <w:r>
              <w:rPr>
                <w:noProof/>
              </w:rPr>
              <w:t>Nobeiguma ziņojumu apstiprināšana par 70 projektiem, kuru mērķis ir atbalstīt inovāciju, enerģētikas pārkārtošanu un mazināt ietekmi uz vidi zvejniecības nozares subjektiem</w:t>
            </w:r>
          </w:p>
        </w:tc>
      </w:tr>
      <w:tr w:rsidR="00776A1F" w14:paraId="2377D9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F2EEBE" w14:textId="77777777" w:rsidR="00776A1F" w:rsidRDefault="00D8574B">
            <w:pPr>
              <w:pStyle w:val="P68B1DB1-Normal23"/>
              <w:spacing w:after="0"/>
              <w:jc w:val="center"/>
              <w:rPr>
                <w:rFonts w:eastAsia="Calibri" w:cs="Calibri"/>
                <w:noProof/>
              </w:rPr>
            </w:pPr>
            <w:r>
              <w:rPr>
                <w:noProof/>
              </w:rPr>
              <w:t>10.9</w:t>
            </w:r>
          </w:p>
        </w:tc>
        <w:tc>
          <w:tcPr>
            <w:tcW w:w="1760" w:type="dxa"/>
            <w:tcBorders>
              <w:top w:val="nil"/>
              <w:left w:val="nil"/>
              <w:bottom w:val="single" w:sz="4" w:space="0" w:color="auto"/>
              <w:right w:val="single" w:sz="4" w:space="0" w:color="auto"/>
            </w:tcBorders>
            <w:shd w:val="clear" w:color="auto" w:fill="C4EFCE"/>
            <w:vAlign w:val="center"/>
            <w:hideMark/>
          </w:tcPr>
          <w:p w14:paraId="62BDE422" w14:textId="77777777" w:rsidR="00776A1F" w:rsidRDefault="00D8574B">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9E5E8E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423FB98" w14:textId="77777777" w:rsidR="00776A1F" w:rsidRDefault="00D8574B">
            <w:pPr>
              <w:pStyle w:val="P68B1DB1-Normal23"/>
              <w:spacing w:after="0"/>
              <w:jc w:val="both"/>
              <w:rPr>
                <w:rFonts w:eastAsia="Calibri" w:cs="Calibri"/>
                <w:noProof/>
              </w:rPr>
            </w:pPr>
            <w:r>
              <w:rPr>
                <w:noProof/>
              </w:rPr>
              <w:t>Pētniecības kuģa piegāde</w:t>
            </w:r>
          </w:p>
        </w:tc>
      </w:tr>
      <w:tr w:rsidR="00776A1F" w14:paraId="64CC4D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E87070" w14:textId="77777777" w:rsidR="00776A1F" w:rsidRDefault="00D8574B">
            <w:pPr>
              <w:pStyle w:val="P68B1DB1-Normal23"/>
              <w:spacing w:after="0"/>
              <w:jc w:val="center"/>
              <w:rPr>
                <w:rFonts w:eastAsia="Calibri" w:cs="Calibri"/>
                <w:noProof/>
              </w:rPr>
            </w:pPr>
            <w:r>
              <w:rPr>
                <w:noProof/>
              </w:rPr>
              <w:t>10.16</w:t>
            </w:r>
          </w:p>
        </w:tc>
        <w:tc>
          <w:tcPr>
            <w:tcW w:w="1760" w:type="dxa"/>
            <w:tcBorders>
              <w:top w:val="nil"/>
              <w:left w:val="nil"/>
              <w:bottom w:val="single" w:sz="4" w:space="0" w:color="auto"/>
              <w:right w:val="single" w:sz="4" w:space="0" w:color="auto"/>
            </w:tcBorders>
            <w:shd w:val="clear" w:color="auto" w:fill="C4EFCE"/>
            <w:vAlign w:val="center"/>
            <w:hideMark/>
          </w:tcPr>
          <w:p w14:paraId="3B2E578C" w14:textId="77777777" w:rsidR="00776A1F" w:rsidRDefault="00D8574B">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7BE16E0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247BA8C" w14:textId="77777777" w:rsidR="00776A1F" w:rsidRDefault="00D8574B">
            <w:pPr>
              <w:pStyle w:val="P68B1DB1-Normal23"/>
              <w:spacing w:after="0"/>
              <w:jc w:val="both"/>
              <w:rPr>
                <w:rFonts w:eastAsia="Calibri" w:cs="Calibri"/>
                <w:noProof/>
              </w:rPr>
            </w:pPr>
            <w:r>
              <w:rPr>
                <w:noProof/>
              </w:rPr>
              <w:t>Autonoma bezpilota transportlīdzekļa piegāde</w:t>
            </w:r>
          </w:p>
        </w:tc>
      </w:tr>
      <w:tr w:rsidR="00776A1F" w14:paraId="260DB7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25DA4" w14:textId="77777777" w:rsidR="00776A1F" w:rsidRDefault="00D8574B">
            <w:pPr>
              <w:pStyle w:val="P68B1DB1-Normal23"/>
              <w:spacing w:after="0"/>
              <w:jc w:val="center"/>
              <w:rPr>
                <w:rFonts w:eastAsia="Calibri" w:cs="Calibri"/>
                <w:noProof/>
              </w:rPr>
            </w:pPr>
            <w:r>
              <w:rPr>
                <w:noProof/>
              </w:rPr>
              <w:t>11.3</w:t>
            </w:r>
          </w:p>
        </w:tc>
        <w:tc>
          <w:tcPr>
            <w:tcW w:w="1760" w:type="dxa"/>
            <w:tcBorders>
              <w:top w:val="nil"/>
              <w:left w:val="nil"/>
              <w:bottom w:val="single" w:sz="4" w:space="0" w:color="auto"/>
              <w:right w:val="single" w:sz="4" w:space="0" w:color="auto"/>
            </w:tcBorders>
            <w:shd w:val="clear" w:color="auto" w:fill="C4EFCE"/>
            <w:vAlign w:val="center"/>
            <w:hideMark/>
          </w:tcPr>
          <w:p w14:paraId="7D5F02B7" w14:textId="77777777" w:rsidR="00776A1F" w:rsidRDefault="00D8574B">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40F811C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CEDD55" w14:textId="77777777" w:rsidR="00776A1F" w:rsidRDefault="00D8574B">
            <w:pPr>
              <w:pStyle w:val="P68B1DB1-Normal23"/>
              <w:spacing w:after="0"/>
              <w:jc w:val="both"/>
              <w:rPr>
                <w:rFonts w:eastAsia="Calibri" w:cs="Calibri"/>
                <w:noProof/>
              </w:rPr>
            </w:pPr>
            <w:r>
              <w:rPr>
                <w:noProof/>
              </w:rPr>
              <w:t>Finansiāls atbalsts rūpniecības dekarbonizācijas projektiem</w:t>
            </w:r>
          </w:p>
        </w:tc>
      </w:tr>
      <w:tr w:rsidR="00776A1F" w14:paraId="52A5E53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04C71" w14:textId="77777777" w:rsidR="00776A1F" w:rsidRDefault="00D8574B">
            <w:pPr>
              <w:pStyle w:val="P68B1DB1-Normal23"/>
              <w:spacing w:after="0"/>
              <w:jc w:val="center"/>
              <w:rPr>
                <w:rFonts w:eastAsia="Calibri" w:cs="Calibri"/>
                <w:noProof/>
              </w:rPr>
            </w:pPr>
            <w:r>
              <w:rPr>
                <w:noProof/>
              </w:rPr>
              <w:t>12.3</w:t>
            </w:r>
          </w:p>
        </w:tc>
        <w:tc>
          <w:tcPr>
            <w:tcW w:w="1760" w:type="dxa"/>
            <w:tcBorders>
              <w:top w:val="nil"/>
              <w:left w:val="nil"/>
              <w:bottom w:val="single" w:sz="4" w:space="0" w:color="auto"/>
              <w:right w:val="single" w:sz="4" w:space="0" w:color="auto"/>
            </w:tcBorders>
            <w:shd w:val="clear" w:color="auto" w:fill="C4EFCE"/>
            <w:vAlign w:val="center"/>
            <w:hideMark/>
          </w:tcPr>
          <w:p w14:paraId="5E91949E" w14:textId="77777777" w:rsidR="00776A1F" w:rsidRDefault="00D8574B">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11FF5E1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CCA943F" w14:textId="77777777" w:rsidR="00776A1F" w:rsidRDefault="00D8574B">
            <w:pPr>
              <w:pStyle w:val="P68B1DB1-Normal23"/>
              <w:spacing w:after="0"/>
              <w:jc w:val="both"/>
              <w:rPr>
                <w:rFonts w:eastAsia="Calibri" w:cs="Calibri"/>
                <w:noProof/>
              </w:rPr>
            </w:pPr>
            <w:r>
              <w:rPr>
                <w:noProof/>
              </w:rPr>
              <w:t>Jauni produkti, tehnoloģijas un izmēģinājuma procesi, kuros integrēti bioresursi</w:t>
            </w:r>
          </w:p>
        </w:tc>
      </w:tr>
      <w:tr w:rsidR="00776A1F" w14:paraId="6307650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574EE4" w14:textId="77777777" w:rsidR="00776A1F" w:rsidRDefault="00D8574B">
            <w:pPr>
              <w:pStyle w:val="P68B1DB1-Normal23"/>
              <w:spacing w:after="0"/>
              <w:jc w:val="center"/>
              <w:rPr>
                <w:rFonts w:eastAsia="Calibri" w:cs="Calibri"/>
                <w:noProof/>
              </w:rPr>
            </w:pPr>
            <w:r>
              <w:rPr>
                <w:noProof/>
              </w:rPr>
              <w:t>12.4</w:t>
            </w:r>
          </w:p>
        </w:tc>
        <w:tc>
          <w:tcPr>
            <w:tcW w:w="1760" w:type="dxa"/>
            <w:tcBorders>
              <w:top w:val="nil"/>
              <w:left w:val="nil"/>
              <w:bottom w:val="single" w:sz="4" w:space="0" w:color="auto"/>
              <w:right w:val="single" w:sz="4" w:space="0" w:color="auto"/>
            </w:tcBorders>
            <w:shd w:val="clear" w:color="auto" w:fill="C4EFCE"/>
            <w:vAlign w:val="center"/>
            <w:hideMark/>
          </w:tcPr>
          <w:p w14:paraId="4D7A477C" w14:textId="77777777" w:rsidR="00776A1F" w:rsidRDefault="00D8574B">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671544E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011820" w14:textId="77777777" w:rsidR="00776A1F" w:rsidRDefault="00D8574B">
            <w:pPr>
              <w:pStyle w:val="P68B1DB1-Normal23"/>
              <w:spacing w:after="0"/>
              <w:jc w:val="both"/>
              <w:rPr>
                <w:rFonts w:eastAsia="Calibri" w:cs="Calibri"/>
                <w:noProof/>
              </w:rPr>
            </w:pPr>
            <w:r>
              <w:rPr>
                <w:noProof/>
              </w:rPr>
              <w:t>Jūras priežu mežu attīstība ar sveķu ražošanas potenciālu</w:t>
            </w:r>
          </w:p>
        </w:tc>
      </w:tr>
      <w:tr w:rsidR="00776A1F" w14:paraId="420B45B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BBC2D8" w14:textId="77777777" w:rsidR="00776A1F" w:rsidRDefault="00D8574B">
            <w:pPr>
              <w:pStyle w:val="P68B1DB1-Normal23"/>
              <w:spacing w:after="0"/>
              <w:jc w:val="center"/>
              <w:rPr>
                <w:rFonts w:eastAsia="Calibri" w:cs="Calibri"/>
                <w:noProof/>
              </w:rPr>
            </w:pPr>
            <w:r>
              <w:rPr>
                <w:noProof/>
              </w:rPr>
              <w:t>12.9</w:t>
            </w:r>
          </w:p>
        </w:tc>
        <w:tc>
          <w:tcPr>
            <w:tcW w:w="1760" w:type="dxa"/>
            <w:tcBorders>
              <w:top w:val="nil"/>
              <w:left w:val="nil"/>
              <w:bottom w:val="single" w:sz="4" w:space="0" w:color="auto"/>
              <w:right w:val="single" w:sz="4" w:space="0" w:color="auto"/>
            </w:tcBorders>
            <w:shd w:val="clear" w:color="auto" w:fill="C4EFCE"/>
            <w:vAlign w:val="center"/>
            <w:hideMark/>
          </w:tcPr>
          <w:p w14:paraId="172E9144" w14:textId="77777777" w:rsidR="00776A1F" w:rsidRDefault="00D8574B">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7087AB67"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FC7761F" w14:textId="77777777" w:rsidR="00776A1F" w:rsidRDefault="00D8574B">
            <w:pPr>
              <w:pStyle w:val="P68B1DB1-Normal23"/>
              <w:spacing w:after="0"/>
              <w:jc w:val="both"/>
              <w:rPr>
                <w:rFonts w:eastAsia="Calibri" w:cs="Calibri"/>
                <w:noProof/>
              </w:rPr>
            </w:pPr>
            <w:r>
              <w:rPr>
                <w:noProof/>
              </w:rPr>
              <w:t>Elektrisko atkritumu un elektronisko iekārtu atpakaļpieņemšanas shēma</w:t>
            </w:r>
          </w:p>
        </w:tc>
      </w:tr>
      <w:tr w:rsidR="00776A1F" w14:paraId="7F4AB3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EA878" w14:textId="77777777" w:rsidR="00776A1F" w:rsidRDefault="00D8574B">
            <w:pPr>
              <w:pStyle w:val="P68B1DB1-Normal23"/>
              <w:spacing w:after="0"/>
              <w:jc w:val="center"/>
              <w:rPr>
                <w:rFonts w:eastAsia="Calibri" w:cs="Calibri"/>
                <w:noProof/>
              </w:rPr>
            </w:pPr>
            <w:r>
              <w:rPr>
                <w:noProof/>
              </w:rPr>
              <w:t>13.3</w:t>
            </w:r>
          </w:p>
        </w:tc>
        <w:tc>
          <w:tcPr>
            <w:tcW w:w="1760" w:type="dxa"/>
            <w:tcBorders>
              <w:top w:val="nil"/>
              <w:left w:val="nil"/>
              <w:bottom w:val="single" w:sz="4" w:space="0" w:color="auto"/>
              <w:right w:val="single" w:sz="4" w:space="0" w:color="auto"/>
            </w:tcBorders>
            <w:shd w:val="clear" w:color="auto" w:fill="C4EFCE"/>
            <w:vAlign w:val="center"/>
            <w:hideMark/>
          </w:tcPr>
          <w:p w14:paraId="2711CA67" w14:textId="77777777" w:rsidR="00776A1F" w:rsidRDefault="00D8574B">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708E9DD8"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A4BCD" w14:textId="77777777" w:rsidR="00776A1F" w:rsidRDefault="00D8574B">
            <w:pPr>
              <w:pStyle w:val="P68B1DB1-Normal23"/>
              <w:spacing w:after="0"/>
              <w:jc w:val="both"/>
              <w:rPr>
                <w:rFonts w:eastAsia="Calibri" w:cs="Calibri"/>
                <w:noProof/>
              </w:rPr>
            </w:pPr>
            <w:r>
              <w:rPr>
                <w:noProof/>
              </w:rPr>
              <w:t>“Efektivitātes kuponi”, ko izplata enerģētiskās nabadzības skartām mājsaimniecībām, lai aizstātu vecās iekārtas un pieņemtu energoefektīvus risinājumus</w:t>
            </w:r>
          </w:p>
        </w:tc>
      </w:tr>
      <w:tr w:rsidR="00776A1F" w14:paraId="10CFDBA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CEEF76" w14:textId="77777777" w:rsidR="00776A1F" w:rsidRDefault="00D8574B">
            <w:pPr>
              <w:pStyle w:val="P68B1DB1-Normal23"/>
              <w:spacing w:after="0"/>
              <w:jc w:val="center"/>
              <w:rPr>
                <w:rFonts w:eastAsia="Calibri" w:cs="Calibri"/>
                <w:noProof/>
              </w:rPr>
            </w:pPr>
            <w:r>
              <w:rPr>
                <w:noProof/>
              </w:rPr>
              <w:t>13.4</w:t>
            </w:r>
          </w:p>
        </w:tc>
        <w:tc>
          <w:tcPr>
            <w:tcW w:w="1760" w:type="dxa"/>
            <w:tcBorders>
              <w:top w:val="nil"/>
              <w:left w:val="nil"/>
              <w:bottom w:val="single" w:sz="4" w:space="0" w:color="auto"/>
              <w:right w:val="single" w:sz="4" w:space="0" w:color="auto"/>
            </w:tcBorders>
            <w:shd w:val="clear" w:color="auto" w:fill="C4EFCE"/>
            <w:vAlign w:val="center"/>
            <w:hideMark/>
          </w:tcPr>
          <w:p w14:paraId="70C58091" w14:textId="77777777" w:rsidR="00776A1F" w:rsidRDefault="00D8574B">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63E240D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DF9123" w14:textId="77777777" w:rsidR="00776A1F" w:rsidRDefault="00D8574B">
            <w:pPr>
              <w:pStyle w:val="P68B1DB1-Normal23"/>
              <w:spacing w:after="0"/>
              <w:jc w:val="both"/>
              <w:rPr>
                <w:rFonts w:eastAsia="Calibri" w:cs="Calibri"/>
                <w:noProof/>
              </w:rPr>
            </w:pPr>
            <w:r>
              <w:rPr>
                <w:noProof/>
              </w:rPr>
              <w:t>Papildu atjaunīgās enerģijas ražošanas jauda pašpatēriņam un izmantošanai atjaunojamo energoresursu energokopienās privāto dzīvojamo ēku sektorā</w:t>
            </w:r>
          </w:p>
        </w:tc>
      </w:tr>
      <w:tr w:rsidR="00776A1F" w14:paraId="5266E9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2AA442" w14:textId="77777777" w:rsidR="00776A1F" w:rsidRDefault="00D8574B">
            <w:pPr>
              <w:pStyle w:val="P68B1DB1-Normal23"/>
              <w:spacing w:after="0"/>
              <w:jc w:val="center"/>
              <w:rPr>
                <w:rFonts w:eastAsia="Calibri" w:cs="Calibri"/>
                <w:noProof/>
              </w:rPr>
            </w:pPr>
            <w:r>
              <w:rPr>
                <w:noProof/>
              </w:rPr>
              <w:t>13.6</w:t>
            </w:r>
          </w:p>
        </w:tc>
        <w:tc>
          <w:tcPr>
            <w:tcW w:w="1760" w:type="dxa"/>
            <w:tcBorders>
              <w:top w:val="nil"/>
              <w:left w:val="nil"/>
              <w:bottom w:val="single" w:sz="4" w:space="0" w:color="auto"/>
              <w:right w:val="single" w:sz="4" w:space="0" w:color="auto"/>
            </w:tcBorders>
            <w:shd w:val="clear" w:color="auto" w:fill="C4EFCE"/>
            <w:vAlign w:val="center"/>
            <w:hideMark/>
          </w:tcPr>
          <w:p w14:paraId="2BEC44DB" w14:textId="77777777" w:rsidR="00776A1F" w:rsidRDefault="00D8574B">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221A46F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2187E3" w14:textId="77777777" w:rsidR="00776A1F" w:rsidRDefault="00D8574B">
            <w:pPr>
              <w:pStyle w:val="P68B1DB1-Normal23"/>
              <w:spacing w:after="0"/>
              <w:jc w:val="both"/>
              <w:rPr>
                <w:rFonts w:eastAsia="Calibri" w:cs="Calibri"/>
                <w:noProof/>
              </w:rPr>
            </w:pPr>
            <w:r>
              <w:rPr>
                <w:noProof/>
              </w:rPr>
              <w:t>Centrālās valdības ēku energoefektivitātes renovācija</w:t>
            </w:r>
          </w:p>
        </w:tc>
      </w:tr>
      <w:tr w:rsidR="00776A1F" w14:paraId="3C9445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1CA67D" w14:textId="77777777" w:rsidR="00776A1F" w:rsidRDefault="00D8574B">
            <w:pPr>
              <w:pStyle w:val="P68B1DB1-Normal23"/>
              <w:spacing w:after="0"/>
              <w:jc w:val="center"/>
              <w:rPr>
                <w:rFonts w:eastAsia="Calibri" w:cs="Calibri"/>
                <w:noProof/>
              </w:rPr>
            </w:pPr>
            <w:r>
              <w:rPr>
                <w:noProof/>
              </w:rPr>
              <w:t>13.7</w:t>
            </w:r>
          </w:p>
        </w:tc>
        <w:tc>
          <w:tcPr>
            <w:tcW w:w="1760" w:type="dxa"/>
            <w:tcBorders>
              <w:top w:val="nil"/>
              <w:left w:val="nil"/>
              <w:bottom w:val="single" w:sz="4" w:space="0" w:color="auto"/>
              <w:right w:val="single" w:sz="4" w:space="0" w:color="auto"/>
            </w:tcBorders>
            <w:shd w:val="clear" w:color="auto" w:fill="C4EFCE"/>
            <w:vAlign w:val="center"/>
            <w:hideMark/>
          </w:tcPr>
          <w:p w14:paraId="532BF8AE" w14:textId="77777777" w:rsidR="00776A1F" w:rsidRDefault="00D8574B">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58EFFAE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7A86DB" w14:textId="77777777" w:rsidR="00776A1F" w:rsidRDefault="00D8574B">
            <w:pPr>
              <w:pStyle w:val="P68B1DB1-Normal23"/>
              <w:spacing w:after="0"/>
              <w:jc w:val="both"/>
              <w:rPr>
                <w:rFonts w:eastAsia="Calibri" w:cs="Calibri"/>
                <w:noProof/>
              </w:rPr>
            </w:pPr>
            <w:r>
              <w:rPr>
                <w:noProof/>
              </w:rPr>
              <w:t>Papildu atjaunīgās enerģijas ražošanas jauda pašpatēriņam un izmantošanai atjaunojamo energoresursu energokopienās centrālās valdības ēkās</w:t>
            </w:r>
          </w:p>
        </w:tc>
      </w:tr>
      <w:tr w:rsidR="00776A1F" w14:paraId="3D6B69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48317C" w14:textId="77777777" w:rsidR="00776A1F" w:rsidRDefault="00D8574B">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2F9F167F" w14:textId="77777777" w:rsidR="00776A1F" w:rsidRDefault="00D8574B">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052EE5A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2DC1A9" w14:textId="77777777" w:rsidR="00776A1F" w:rsidRDefault="00D8574B">
            <w:pPr>
              <w:pStyle w:val="P68B1DB1-Normal23"/>
              <w:spacing w:after="0"/>
              <w:jc w:val="both"/>
              <w:rPr>
                <w:rFonts w:eastAsia="Calibri" w:cs="Calibri"/>
                <w:noProof/>
              </w:rPr>
            </w:pPr>
            <w:r>
              <w:rPr>
                <w:noProof/>
              </w:rPr>
              <w:t>Privāto pakalpojumu ēku energoefektivitātes renovācija</w:t>
            </w:r>
          </w:p>
        </w:tc>
      </w:tr>
      <w:tr w:rsidR="00776A1F" w14:paraId="142EE0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C8BAF7" w14:textId="77777777" w:rsidR="00776A1F" w:rsidRDefault="00D8574B">
            <w:pPr>
              <w:pStyle w:val="P68B1DB1-Normal23"/>
              <w:spacing w:after="0"/>
              <w:jc w:val="center"/>
              <w:rPr>
                <w:rFonts w:eastAsia="Calibri" w:cs="Calibri"/>
                <w:noProof/>
              </w:rPr>
            </w:pPr>
            <w:r>
              <w:rPr>
                <w:noProof/>
              </w:rPr>
              <w:t>13.10</w:t>
            </w:r>
          </w:p>
        </w:tc>
        <w:tc>
          <w:tcPr>
            <w:tcW w:w="1760" w:type="dxa"/>
            <w:tcBorders>
              <w:top w:val="nil"/>
              <w:left w:val="nil"/>
              <w:bottom w:val="single" w:sz="4" w:space="0" w:color="auto"/>
              <w:right w:val="single" w:sz="4" w:space="0" w:color="auto"/>
            </w:tcBorders>
            <w:shd w:val="clear" w:color="auto" w:fill="C4EFCE"/>
            <w:vAlign w:val="center"/>
            <w:hideMark/>
          </w:tcPr>
          <w:p w14:paraId="1BB98FB7" w14:textId="77777777" w:rsidR="00776A1F" w:rsidRDefault="00D8574B">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38CB2E3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B96399" w14:textId="77777777" w:rsidR="00776A1F" w:rsidRDefault="00D8574B">
            <w:pPr>
              <w:pStyle w:val="P68B1DB1-Normal23"/>
              <w:spacing w:after="0"/>
              <w:jc w:val="both"/>
              <w:rPr>
                <w:rFonts w:eastAsia="Calibri" w:cs="Calibri"/>
                <w:noProof/>
              </w:rPr>
            </w:pPr>
            <w:r>
              <w:rPr>
                <w:noProof/>
              </w:rPr>
              <w:t>Papildu atjaunīgās enerģijas ražošanas jauda pašpatēriņam un izmantošanai atjaunojamo energoresursu energokopienās privāto pakalpojumu sektorā</w:t>
            </w:r>
          </w:p>
        </w:tc>
      </w:tr>
      <w:tr w:rsidR="00776A1F" w14:paraId="1F41F64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5650C31" w14:textId="77777777" w:rsidR="00776A1F" w:rsidRDefault="00D8574B">
            <w:pPr>
              <w:pStyle w:val="P68B1DB1-Normal23"/>
              <w:spacing w:after="0"/>
              <w:jc w:val="center"/>
              <w:rPr>
                <w:rFonts w:eastAsia="Calibri" w:cs="Calibri"/>
                <w:noProof/>
              </w:rPr>
            </w:pPr>
            <w:r>
              <w:rPr>
                <w:noProof/>
              </w:rPr>
              <w:t>14.9</w:t>
            </w:r>
          </w:p>
        </w:tc>
        <w:tc>
          <w:tcPr>
            <w:tcW w:w="1760" w:type="dxa"/>
            <w:tcBorders>
              <w:top w:val="nil"/>
              <w:left w:val="nil"/>
              <w:bottom w:val="single" w:sz="4" w:space="0" w:color="auto"/>
              <w:right w:val="single" w:sz="4" w:space="0" w:color="auto"/>
            </w:tcBorders>
            <w:shd w:val="clear" w:color="auto" w:fill="C4EFCE"/>
            <w:vAlign w:val="center"/>
            <w:hideMark/>
          </w:tcPr>
          <w:p w14:paraId="70919607" w14:textId="77777777" w:rsidR="00776A1F" w:rsidRDefault="00D8574B">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C358FC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D92A8B" w14:textId="77777777" w:rsidR="00776A1F" w:rsidRDefault="00D8574B">
            <w:pPr>
              <w:pStyle w:val="P68B1DB1-Normal23"/>
              <w:spacing w:after="0"/>
              <w:jc w:val="both"/>
              <w:rPr>
                <w:rFonts w:eastAsia="Calibri" w:cs="Calibri"/>
                <w:noProof/>
              </w:rPr>
            </w:pPr>
            <w:r>
              <w:rPr>
                <w:noProof/>
              </w:rPr>
              <w:t>Viedo skaitītāju uzstādīšana</w:t>
            </w:r>
          </w:p>
        </w:tc>
      </w:tr>
      <w:tr w:rsidR="00776A1F" w14:paraId="41E942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90FAB3" w14:textId="77777777" w:rsidR="00776A1F" w:rsidRDefault="00D8574B">
            <w:pPr>
              <w:pStyle w:val="P68B1DB1-Normal23"/>
              <w:spacing w:after="0"/>
              <w:jc w:val="center"/>
              <w:rPr>
                <w:rFonts w:eastAsia="Calibri" w:cs="Calibri"/>
                <w:noProof/>
              </w:rPr>
            </w:pPr>
            <w:r>
              <w:rPr>
                <w:noProof/>
              </w:rPr>
              <w:t>14.10</w:t>
            </w:r>
          </w:p>
        </w:tc>
        <w:tc>
          <w:tcPr>
            <w:tcW w:w="1760" w:type="dxa"/>
            <w:tcBorders>
              <w:top w:val="nil"/>
              <w:left w:val="nil"/>
              <w:bottom w:val="single" w:sz="4" w:space="0" w:color="auto"/>
              <w:right w:val="single" w:sz="4" w:space="0" w:color="auto"/>
            </w:tcBorders>
            <w:shd w:val="clear" w:color="auto" w:fill="C4EFCE"/>
            <w:vAlign w:val="center"/>
            <w:hideMark/>
          </w:tcPr>
          <w:p w14:paraId="14EE6BC3" w14:textId="77777777" w:rsidR="00776A1F" w:rsidRDefault="00D8574B">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9A8DD4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3E950E" w14:textId="77777777" w:rsidR="00776A1F" w:rsidRDefault="00D8574B">
            <w:pPr>
              <w:pStyle w:val="P68B1DB1-Normal23"/>
              <w:spacing w:after="0"/>
              <w:jc w:val="both"/>
              <w:rPr>
                <w:rFonts w:eastAsia="Calibri" w:cs="Calibri"/>
                <w:noProof/>
              </w:rPr>
            </w:pPr>
            <w:r>
              <w:rPr>
                <w:noProof/>
              </w:rPr>
              <w:t>Ielu apgaismojuma punktu nomaiņa</w:t>
            </w:r>
          </w:p>
        </w:tc>
      </w:tr>
      <w:tr w:rsidR="00776A1F" w14:paraId="1259CE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EACEC" w14:textId="77777777" w:rsidR="00776A1F" w:rsidRDefault="00D8574B">
            <w:pPr>
              <w:pStyle w:val="P68B1DB1-Normal23"/>
              <w:spacing w:after="0"/>
              <w:jc w:val="center"/>
              <w:rPr>
                <w:rFonts w:eastAsia="Calibri" w:cs="Calibri"/>
                <w:noProof/>
              </w:rPr>
            </w:pPr>
            <w:r>
              <w:rPr>
                <w:noProof/>
              </w:rPr>
              <w:t>14.14</w:t>
            </w:r>
          </w:p>
        </w:tc>
        <w:tc>
          <w:tcPr>
            <w:tcW w:w="1760" w:type="dxa"/>
            <w:tcBorders>
              <w:top w:val="nil"/>
              <w:left w:val="nil"/>
              <w:bottom w:val="single" w:sz="4" w:space="0" w:color="auto"/>
              <w:right w:val="single" w:sz="4" w:space="0" w:color="auto"/>
            </w:tcBorders>
            <w:shd w:val="clear" w:color="auto" w:fill="C4EFCE"/>
            <w:vAlign w:val="center"/>
            <w:hideMark/>
          </w:tcPr>
          <w:p w14:paraId="5E5CAB41" w14:textId="77777777" w:rsidR="00776A1F" w:rsidRDefault="00D8574B">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2422CE6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56286D" w14:textId="77777777" w:rsidR="00776A1F" w:rsidRDefault="00D8574B">
            <w:pPr>
              <w:pStyle w:val="P68B1DB1-Normal23"/>
              <w:spacing w:after="0"/>
              <w:jc w:val="both"/>
              <w:rPr>
                <w:rFonts w:eastAsia="Calibri" w:cs="Calibri"/>
                <w:noProof/>
              </w:rPr>
            </w:pPr>
            <w:r>
              <w:rPr>
                <w:noProof/>
              </w:rPr>
              <w:t>Mazu fotoelementu iekārtu uzstādīšana vietējai elektroenerģijas ražošanai un patēriņam</w:t>
            </w:r>
          </w:p>
        </w:tc>
      </w:tr>
      <w:tr w:rsidR="00776A1F" w14:paraId="28AF18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65ACC1" w14:textId="77777777" w:rsidR="00776A1F" w:rsidRDefault="00D8574B">
            <w:pPr>
              <w:pStyle w:val="P68B1DB1-Normal23"/>
              <w:spacing w:after="0"/>
              <w:jc w:val="center"/>
              <w:rPr>
                <w:rFonts w:eastAsia="Calibri" w:cs="Calibri"/>
                <w:noProof/>
              </w:rPr>
            </w:pPr>
            <w:r>
              <w:rPr>
                <w:noProof/>
              </w:rPr>
              <w:t>16.3</w:t>
            </w:r>
          </w:p>
        </w:tc>
        <w:tc>
          <w:tcPr>
            <w:tcW w:w="1760" w:type="dxa"/>
            <w:tcBorders>
              <w:top w:val="nil"/>
              <w:left w:val="nil"/>
              <w:bottom w:val="single" w:sz="4" w:space="0" w:color="auto"/>
              <w:right w:val="single" w:sz="4" w:space="0" w:color="auto"/>
            </w:tcBorders>
            <w:shd w:val="clear" w:color="auto" w:fill="C4EFCE"/>
            <w:vAlign w:val="center"/>
            <w:hideMark/>
          </w:tcPr>
          <w:p w14:paraId="49A1257B" w14:textId="77777777" w:rsidR="00776A1F" w:rsidRDefault="00D8574B">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4627B07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BA94AFF" w14:textId="77777777" w:rsidR="00776A1F" w:rsidRDefault="00D8574B">
            <w:pPr>
              <w:pStyle w:val="P68B1DB1-Normal23"/>
              <w:spacing w:after="0"/>
              <w:jc w:val="both"/>
              <w:rPr>
                <w:rFonts w:eastAsia="Calibri" w:cs="Calibri"/>
                <w:noProof/>
              </w:rPr>
            </w:pPr>
            <w:r>
              <w:rPr>
                <w:noProof/>
              </w:rPr>
              <w:t>Nodarbinātība + digitālās apmācības dalībnieki</w:t>
            </w:r>
          </w:p>
        </w:tc>
      </w:tr>
      <w:tr w:rsidR="00776A1F" w14:paraId="1C0A03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44A2AE" w14:textId="77777777" w:rsidR="00776A1F" w:rsidRDefault="00D8574B">
            <w:pPr>
              <w:pStyle w:val="P68B1DB1-Normal23"/>
              <w:spacing w:after="0"/>
              <w:jc w:val="center"/>
              <w:rPr>
                <w:rFonts w:eastAsia="Calibri" w:cs="Calibri"/>
                <w:noProof/>
              </w:rPr>
            </w:pPr>
            <w:r>
              <w:rPr>
                <w:noProof/>
              </w:rPr>
              <w:t>16.4</w:t>
            </w:r>
          </w:p>
        </w:tc>
        <w:tc>
          <w:tcPr>
            <w:tcW w:w="1760" w:type="dxa"/>
            <w:tcBorders>
              <w:top w:val="nil"/>
              <w:left w:val="nil"/>
              <w:bottom w:val="single" w:sz="4" w:space="0" w:color="auto"/>
              <w:right w:val="single" w:sz="4" w:space="0" w:color="auto"/>
            </w:tcBorders>
            <w:shd w:val="clear" w:color="auto" w:fill="C4EFCE"/>
            <w:vAlign w:val="center"/>
            <w:hideMark/>
          </w:tcPr>
          <w:p w14:paraId="4421E373" w14:textId="77777777" w:rsidR="00776A1F" w:rsidRDefault="00D8574B">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631F7E6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4033A4" w14:textId="77777777" w:rsidR="00776A1F" w:rsidRDefault="00D8574B">
            <w:pPr>
              <w:pStyle w:val="P68B1DB1-Normal23"/>
              <w:spacing w:after="0"/>
              <w:jc w:val="both"/>
              <w:rPr>
                <w:rFonts w:eastAsia="Calibri" w:cs="Calibri"/>
                <w:noProof/>
              </w:rPr>
            </w:pPr>
            <w:r>
              <w:rPr>
                <w:noProof/>
              </w:rPr>
              <w:t>Portugāles Digitālās akadēmijas dalībnieki</w:t>
            </w:r>
          </w:p>
        </w:tc>
      </w:tr>
      <w:tr w:rsidR="00776A1F" w14:paraId="1F4920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3CE429" w14:textId="77777777" w:rsidR="00776A1F" w:rsidRDefault="00D8574B">
            <w:pPr>
              <w:pStyle w:val="P68B1DB1-Normal23"/>
              <w:spacing w:after="0"/>
              <w:jc w:val="center"/>
              <w:rPr>
                <w:rFonts w:eastAsia="Calibri" w:cs="Calibri"/>
                <w:noProof/>
              </w:rPr>
            </w:pPr>
            <w:r>
              <w:rPr>
                <w:noProof/>
              </w:rPr>
              <w:t>16.8</w:t>
            </w:r>
          </w:p>
        </w:tc>
        <w:tc>
          <w:tcPr>
            <w:tcW w:w="1760" w:type="dxa"/>
            <w:tcBorders>
              <w:top w:val="nil"/>
              <w:left w:val="nil"/>
              <w:bottom w:val="single" w:sz="4" w:space="0" w:color="auto"/>
              <w:right w:val="single" w:sz="4" w:space="0" w:color="auto"/>
            </w:tcBorders>
            <w:shd w:val="clear" w:color="auto" w:fill="C4EFCE"/>
            <w:vAlign w:val="center"/>
            <w:hideMark/>
          </w:tcPr>
          <w:p w14:paraId="0609D596" w14:textId="77777777" w:rsidR="00776A1F" w:rsidRDefault="00D8574B">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253830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D78655" w14:textId="77777777" w:rsidR="00776A1F" w:rsidRDefault="00D8574B">
            <w:pPr>
              <w:pStyle w:val="P68B1DB1-Normal23"/>
              <w:spacing w:after="0"/>
              <w:jc w:val="both"/>
              <w:rPr>
                <w:rFonts w:eastAsia="Calibri" w:cs="Calibri"/>
                <w:noProof/>
              </w:rPr>
            </w:pPr>
            <w:r>
              <w:rPr>
                <w:noProof/>
              </w:rPr>
              <w:t xml:space="preserve">Izstrādātie valsts testēšanas pamattīkla izmēģinājuma produkti un pakalpojumi </w:t>
            </w:r>
          </w:p>
        </w:tc>
      </w:tr>
      <w:tr w:rsidR="00776A1F" w14:paraId="292D08F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82F634" w14:textId="77777777" w:rsidR="00776A1F" w:rsidRDefault="00D8574B">
            <w:pPr>
              <w:pStyle w:val="P68B1DB1-Normal23"/>
              <w:spacing w:after="0"/>
              <w:jc w:val="center"/>
              <w:rPr>
                <w:rFonts w:eastAsia="Calibri" w:cs="Calibri"/>
                <w:noProof/>
              </w:rPr>
            </w:pPr>
            <w:r>
              <w:rPr>
                <w:noProof/>
              </w:rPr>
              <w:t>16.9</w:t>
            </w:r>
          </w:p>
        </w:tc>
        <w:tc>
          <w:tcPr>
            <w:tcW w:w="1760" w:type="dxa"/>
            <w:tcBorders>
              <w:top w:val="nil"/>
              <w:left w:val="nil"/>
              <w:bottom w:val="single" w:sz="4" w:space="0" w:color="auto"/>
              <w:right w:val="single" w:sz="4" w:space="0" w:color="auto"/>
            </w:tcBorders>
            <w:shd w:val="clear" w:color="auto" w:fill="C4EFCE"/>
            <w:vAlign w:val="center"/>
            <w:hideMark/>
          </w:tcPr>
          <w:p w14:paraId="622C0B7F" w14:textId="77777777" w:rsidR="00776A1F" w:rsidRDefault="00D8574B">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EC1E27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F1A25E7" w14:textId="77777777" w:rsidR="00776A1F" w:rsidRDefault="00D8574B">
            <w:pPr>
              <w:pStyle w:val="P68B1DB1-Normal23"/>
              <w:spacing w:after="0"/>
              <w:jc w:val="both"/>
              <w:rPr>
                <w:rFonts w:eastAsia="Calibri" w:cs="Calibri"/>
                <w:noProof/>
              </w:rPr>
            </w:pPr>
            <w:r>
              <w:rPr>
                <w:noProof/>
              </w:rPr>
              <w:t>Digitālās tirdzniecības kaimiņreģioni</w:t>
            </w:r>
          </w:p>
        </w:tc>
      </w:tr>
      <w:tr w:rsidR="00776A1F" w14:paraId="0F2201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BE349D" w14:textId="77777777" w:rsidR="00776A1F" w:rsidRDefault="00D8574B">
            <w:pPr>
              <w:pStyle w:val="P68B1DB1-Normal23"/>
              <w:spacing w:after="0"/>
              <w:jc w:val="center"/>
              <w:rPr>
                <w:rFonts w:eastAsia="Calibri" w:cs="Calibri"/>
                <w:noProof/>
              </w:rPr>
            </w:pPr>
            <w:r>
              <w:rPr>
                <w:noProof/>
              </w:rPr>
              <w:t>16.10</w:t>
            </w:r>
          </w:p>
        </w:tc>
        <w:tc>
          <w:tcPr>
            <w:tcW w:w="1760" w:type="dxa"/>
            <w:tcBorders>
              <w:top w:val="nil"/>
              <w:left w:val="nil"/>
              <w:bottom w:val="single" w:sz="4" w:space="0" w:color="auto"/>
              <w:right w:val="single" w:sz="4" w:space="0" w:color="auto"/>
            </w:tcBorders>
            <w:shd w:val="clear" w:color="auto" w:fill="C4EFCE"/>
            <w:vAlign w:val="center"/>
            <w:hideMark/>
          </w:tcPr>
          <w:p w14:paraId="7EF5440C" w14:textId="77777777" w:rsidR="00776A1F" w:rsidRDefault="00D8574B">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2240787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5A7407" w14:textId="77777777" w:rsidR="00776A1F" w:rsidRDefault="00D8574B">
            <w:pPr>
              <w:pStyle w:val="P68B1DB1-Normal23"/>
              <w:spacing w:after="0"/>
              <w:jc w:val="both"/>
              <w:rPr>
                <w:rFonts w:eastAsia="Calibri" w:cs="Calibri"/>
                <w:noProof/>
              </w:rPr>
            </w:pPr>
            <w:r>
              <w:rPr>
                <w:noProof/>
              </w:rPr>
              <w:t>MVU, kurus atbalsta digitālās komercijas paātrinātāji</w:t>
            </w:r>
          </w:p>
        </w:tc>
      </w:tr>
      <w:tr w:rsidR="00776A1F" w14:paraId="395EF5A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6A4D268" w14:textId="77777777" w:rsidR="00776A1F" w:rsidRDefault="00D8574B">
            <w:pPr>
              <w:pStyle w:val="P68B1DB1-Normal23"/>
              <w:spacing w:after="0"/>
              <w:jc w:val="center"/>
              <w:rPr>
                <w:rFonts w:eastAsia="Calibri" w:cs="Calibri"/>
                <w:noProof/>
              </w:rPr>
            </w:pPr>
            <w:r>
              <w:rPr>
                <w:noProof/>
              </w:rPr>
              <w:t>16.11</w:t>
            </w:r>
          </w:p>
        </w:tc>
        <w:tc>
          <w:tcPr>
            <w:tcW w:w="1760" w:type="dxa"/>
            <w:tcBorders>
              <w:top w:val="nil"/>
              <w:left w:val="nil"/>
              <w:bottom w:val="single" w:sz="4" w:space="0" w:color="auto"/>
              <w:right w:val="single" w:sz="4" w:space="0" w:color="auto"/>
            </w:tcBorders>
            <w:shd w:val="clear" w:color="auto" w:fill="C4EFCE"/>
            <w:vAlign w:val="center"/>
            <w:hideMark/>
          </w:tcPr>
          <w:p w14:paraId="1C28A89D" w14:textId="77777777" w:rsidR="00776A1F" w:rsidRDefault="00D8574B">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5ED957C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09C888" w14:textId="77777777" w:rsidR="00776A1F" w:rsidRDefault="00D8574B">
            <w:pPr>
              <w:pStyle w:val="P68B1DB1-Normal23"/>
              <w:spacing w:after="0"/>
              <w:jc w:val="both"/>
              <w:rPr>
                <w:rFonts w:eastAsia="Calibri" w:cs="Calibri"/>
                <w:noProof/>
              </w:rPr>
            </w:pPr>
            <w:r>
              <w:rPr>
                <w:noProof/>
              </w:rPr>
              <w:t>MVU un jaunuzņēmumu inkubatori, ko tieši atbalsta digitalizācijas programmas</w:t>
            </w:r>
          </w:p>
        </w:tc>
      </w:tr>
      <w:tr w:rsidR="00776A1F" w14:paraId="2F2CE5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03D9BF" w14:textId="77777777" w:rsidR="00776A1F" w:rsidRDefault="00D8574B">
            <w:pPr>
              <w:pStyle w:val="P68B1DB1-Normal23"/>
              <w:spacing w:after="0"/>
              <w:jc w:val="center"/>
              <w:rPr>
                <w:rFonts w:eastAsia="Calibri" w:cs="Calibri"/>
                <w:noProof/>
              </w:rPr>
            </w:pPr>
            <w:r>
              <w:rPr>
                <w:noProof/>
              </w:rPr>
              <w:t>16.12</w:t>
            </w:r>
          </w:p>
        </w:tc>
        <w:tc>
          <w:tcPr>
            <w:tcW w:w="1760" w:type="dxa"/>
            <w:tcBorders>
              <w:top w:val="nil"/>
              <w:left w:val="nil"/>
              <w:bottom w:val="single" w:sz="4" w:space="0" w:color="auto"/>
              <w:right w:val="single" w:sz="4" w:space="0" w:color="auto"/>
            </w:tcBorders>
            <w:shd w:val="clear" w:color="auto" w:fill="C4EFCE"/>
            <w:vAlign w:val="center"/>
            <w:hideMark/>
          </w:tcPr>
          <w:p w14:paraId="2DC53D71" w14:textId="77777777" w:rsidR="00776A1F" w:rsidRDefault="00D8574B">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02D2F5B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2922E7" w14:textId="77777777" w:rsidR="00776A1F" w:rsidRDefault="00D8574B">
            <w:pPr>
              <w:pStyle w:val="P68B1DB1-Normal23"/>
              <w:spacing w:after="0"/>
              <w:jc w:val="both"/>
              <w:rPr>
                <w:rFonts w:eastAsia="Calibri" w:cs="Calibri"/>
                <w:noProof/>
              </w:rPr>
            </w:pPr>
            <w:r>
              <w:rPr>
                <w:noProof/>
              </w:rPr>
              <w:t>Jaunizveidotie uzņēmumi, kas kartēti Portugāles jaunuzņēmumu platformā</w:t>
            </w:r>
          </w:p>
        </w:tc>
      </w:tr>
      <w:tr w:rsidR="00776A1F" w14:paraId="1185F1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662678" w14:textId="77777777" w:rsidR="00776A1F" w:rsidRDefault="00D8574B">
            <w:pPr>
              <w:pStyle w:val="P68B1DB1-Normal23"/>
              <w:spacing w:after="0"/>
              <w:jc w:val="center"/>
              <w:rPr>
                <w:rFonts w:eastAsia="Calibri" w:cs="Calibri"/>
                <w:noProof/>
              </w:rPr>
            </w:pPr>
            <w:r>
              <w:rPr>
                <w:noProof/>
              </w:rPr>
              <w:t>16.15</w:t>
            </w:r>
          </w:p>
        </w:tc>
        <w:tc>
          <w:tcPr>
            <w:tcW w:w="1760" w:type="dxa"/>
            <w:tcBorders>
              <w:top w:val="nil"/>
              <w:left w:val="nil"/>
              <w:bottom w:val="single" w:sz="4" w:space="0" w:color="auto"/>
              <w:right w:val="single" w:sz="4" w:space="0" w:color="auto"/>
            </w:tcBorders>
            <w:shd w:val="clear" w:color="auto" w:fill="C4EFCE"/>
            <w:vAlign w:val="center"/>
            <w:hideMark/>
          </w:tcPr>
          <w:p w14:paraId="31DEC5D3" w14:textId="77777777" w:rsidR="00776A1F" w:rsidRDefault="00D8574B">
            <w:pPr>
              <w:pStyle w:val="P68B1DB1-Normal23"/>
              <w:spacing w:after="0"/>
              <w:jc w:val="center"/>
              <w:rPr>
                <w:rFonts w:eastAsia="Calibri" w:cs="Calibri"/>
                <w:noProof/>
              </w:rPr>
            </w:pPr>
            <w:r>
              <w:rPr>
                <w:noProof/>
              </w:rPr>
              <w:t>TD-C16-i03</w:t>
            </w:r>
          </w:p>
        </w:tc>
        <w:tc>
          <w:tcPr>
            <w:tcW w:w="1520" w:type="dxa"/>
            <w:tcBorders>
              <w:top w:val="nil"/>
              <w:left w:val="nil"/>
              <w:bottom w:val="single" w:sz="4" w:space="0" w:color="auto"/>
              <w:right w:val="single" w:sz="4" w:space="0" w:color="auto"/>
            </w:tcBorders>
            <w:shd w:val="clear" w:color="auto" w:fill="C4EFCE"/>
            <w:vAlign w:val="center"/>
            <w:hideMark/>
          </w:tcPr>
          <w:p w14:paraId="4A580FA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5CADD8" w14:textId="77777777" w:rsidR="00776A1F" w:rsidRDefault="00D8574B">
            <w:pPr>
              <w:pStyle w:val="P68B1DB1-Normal23"/>
              <w:spacing w:after="0"/>
              <w:jc w:val="both"/>
              <w:rPr>
                <w:rFonts w:eastAsia="Calibri" w:cs="Calibri"/>
                <w:noProof/>
              </w:rPr>
            </w:pPr>
            <w:r>
              <w:rPr>
                <w:noProof/>
              </w:rPr>
              <w:t>Digitālās inovācijas centru konsultāciju pakalpojumu saņēmēji</w:t>
            </w:r>
          </w:p>
        </w:tc>
      </w:tr>
      <w:tr w:rsidR="00776A1F" w14:paraId="161C3A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9B8BB0" w14:textId="77777777" w:rsidR="00776A1F" w:rsidRDefault="00D8574B">
            <w:pPr>
              <w:pStyle w:val="P68B1DB1-Normal23"/>
              <w:spacing w:after="0"/>
              <w:jc w:val="center"/>
              <w:rPr>
                <w:rFonts w:eastAsia="Calibri" w:cs="Calibri"/>
                <w:noProof/>
              </w:rPr>
            </w:pPr>
            <w:r>
              <w:rPr>
                <w:noProof/>
              </w:rPr>
              <w:t>16.17</w:t>
            </w:r>
          </w:p>
        </w:tc>
        <w:tc>
          <w:tcPr>
            <w:tcW w:w="1760" w:type="dxa"/>
            <w:tcBorders>
              <w:top w:val="nil"/>
              <w:left w:val="nil"/>
              <w:bottom w:val="single" w:sz="4" w:space="0" w:color="auto"/>
              <w:right w:val="single" w:sz="4" w:space="0" w:color="auto"/>
            </w:tcBorders>
            <w:shd w:val="clear" w:color="auto" w:fill="C4EFCE"/>
            <w:vAlign w:val="center"/>
            <w:hideMark/>
          </w:tcPr>
          <w:p w14:paraId="1C4ABCD3" w14:textId="77777777" w:rsidR="00776A1F" w:rsidRDefault="00D8574B">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7A3AB4F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93DE237" w14:textId="77777777" w:rsidR="00776A1F" w:rsidRDefault="00D8574B">
            <w:pPr>
              <w:pStyle w:val="P68B1DB1-Normal23"/>
              <w:spacing w:after="0"/>
              <w:jc w:val="both"/>
              <w:rPr>
                <w:rFonts w:eastAsia="Calibri" w:cs="Calibri"/>
                <w:noProof/>
              </w:rPr>
            </w:pPr>
            <w:r>
              <w:rPr>
                <w:noProof/>
              </w:rPr>
              <w:t>“Rūpniecība 4.0” projektu pabeigšana</w:t>
            </w:r>
          </w:p>
        </w:tc>
      </w:tr>
      <w:tr w:rsidR="00776A1F" w14:paraId="2775448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8F97AC" w14:textId="77777777" w:rsidR="00776A1F" w:rsidRDefault="00D8574B">
            <w:pPr>
              <w:pStyle w:val="P68B1DB1-Normal23"/>
              <w:spacing w:after="0"/>
              <w:jc w:val="center"/>
              <w:rPr>
                <w:rFonts w:eastAsia="Calibri" w:cs="Calibri"/>
                <w:noProof/>
              </w:rPr>
            </w:pPr>
            <w:r>
              <w:rPr>
                <w:noProof/>
              </w:rPr>
              <w:t>16.20</w:t>
            </w:r>
          </w:p>
        </w:tc>
        <w:tc>
          <w:tcPr>
            <w:tcW w:w="1760" w:type="dxa"/>
            <w:tcBorders>
              <w:top w:val="nil"/>
              <w:left w:val="nil"/>
              <w:bottom w:val="single" w:sz="4" w:space="0" w:color="auto"/>
              <w:right w:val="single" w:sz="4" w:space="0" w:color="auto"/>
            </w:tcBorders>
            <w:shd w:val="clear" w:color="auto" w:fill="C4EFCE"/>
            <w:vAlign w:val="center"/>
            <w:hideMark/>
          </w:tcPr>
          <w:p w14:paraId="6BBA6CB6" w14:textId="42406519" w:rsidR="00776A1F" w:rsidRDefault="00D8574B">
            <w:pPr>
              <w:pStyle w:val="P68B1DB1-Normal23"/>
              <w:spacing w:after="0"/>
              <w:jc w:val="center"/>
              <w:rPr>
                <w:rFonts w:eastAsia="Calibri" w:cs="Calibri"/>
                <w:noProof/>
              </w:rPr>
            </w:pPr>
            <w:r>
              <w:rPr>
                <w:noProof/>
              </w:rPr>
              <w:t>TD-C16-i06-RAM</w:t>
            </w:r>
          </w:p>
        </w:tc>
        <w:tc>
          <w:tcPr>
            <w:tcW w:w="1520" w:type="dxa"/>
            <w:tcBorders>
              <w:top w:val="nil"/>
              <w:left w:val="nil"/>
              <w:bottom w:val="single" w:sz="4" w:space="0" w:color="auto"/>
              <w:right w:val="single" w:sz="4" w:space="0" w:color="auto"/>
            </w:tcBorders>
            <w:shd w:val="clear" w:color="auto" w:fill="C4EFCE"/>
            <w:vAlign w:val="center"/>
            <w:hideMark/>
          </w:tcPr>
          <w:p w14:paraId="69E96A0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95FF70" w14:textId="3BE1C11E" w:rsidR="00776A1F" w:rsidRDefault="00D8574B">
            <w:pPr>
              <w:pStyle w:val="P68B1DB1-Normal23"/>
              <w:spacing w:after="0"/>
              <w:jc w:val="both"/>
              <w:rPr>
                <w:rFonts w:eastAsia="Calibri" w:cs="Calibri"/>
                <w:noProof/>
              </w:rPr>
            </w:pPr>
            <w:r>
              <w:rPr>
                <w:noProof/>
              </w:rPr>
              <w:t>Uzņēmums 4.0</w:t>
            </w:r>
          </w:p>
        </w:tc>
      </w:tr>
      <w:tr w:rsidR="00776A1F" w14:paraId="5F8D113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D3BF65" w14:textId="77777777" w:rsidR="00776A1F" w:rsidRDefault="00D8574B">
            <w:pPr>
              <w:pStyle w:val="P68B1DB1-Normal23"/>
              <w:spacing w:after="0"/>
              <w:jc w:val="center"/>
              <w:rPr>
                <w:rFonts w:eastAsia="Calibri" w:cs="Calibri"/>
                <w:noProof/>
              </w:rPr>
            </w:pPr>
            <w:r>
              <w:rPr>
                <w:noProof/>
              </w:rPr>
              <w:t>17.4</w:t>
            </w:r>
          </w:p>
        </w:tc>
        <w:tc>
          <w:tcPr>
            <w:tcW w:w="1760" w:type="dxa"/>
            <w:tcBorders>
              <w:top w:val="nil"/>
              <w:left w:val="nil"/>
              <w:bottom w:val="single" w:sz="4" w:space="0" w:color="auto"/>
              <w:right w:val="single" w:sz="4" w:space="0" w:color="auto"/>
            </w:tcBorders>
            <w:shd w:val="clear" w:color="auto" w:fill="C4EFCE"/>
            <w:vAlign w:val="center"/>
            <w:hideMark/>
          </w:tcPr>
          <w:p w14:paraId="4E626E4A" w14:textId="77777777" w:rsidR="00776A1F" w:rsidRDefault="00D8574B">
            <w:pPr>
              <w:pStyle w:val="P68B1DB1-Normal23"/>
              <w:spacing w:after="0"/>
              <w:jc w:val="center"/>
              <w:rPr>
                <w:rFonts w:eastAsia="Calibri" w:cs="Calibri"/>
                <w:noProof/>
              </w:rPr>
            </w:pPr>
            <w:r>
              <w:rPr>
                <w:noProof/>
              </w:rPr>
              <w:t>TD-C17-r32</w:t>
            </w:r>
          </w:p>
        </w:tc>
        <w:tc>
          <w:tcPr>
            <w:tcW w:w="1520" w:type="dxa"/>
            <w:tcBorders>
              <w:top w:val="nil"/>
              <w:left w:val="nil"/>
              <w:bottom w:val="single" w:sz="4" w:space="0" w:color="auto"/>
              <w:right w:val="single" w:sz="4" w:space="0" w:color="auto"/>
            </w:tcBorders>
            <w:shd w:val="clear" w:color="auto" w:fill="C4EFCE"/>
            <w:vAlign w:val="center"/>
            <w:hideMark/>
          </w:tcPr>
          <w:p w14:paraId="312DFC9A"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40731E" w14:textId="77777777" w:rsidR="00776A1F" w:rsidRDefault="00D8574B">
            <w:pPr>
              <w:pStyle w:val="P68B1DB1-Normal23"/>
              <w:spacing w:after="0"/>
              <w:jc w:val="both"/>
              <w:rPr>
                <w:rFonts w:eastAsia="Calibri" w:cs="Calibri"/>
                <w:noProof/>
              </w:rPr>
            </w:pPr>
            <w:r>
              <w:rPr>
                <w:noProof/>
              </w:rPr>
              <w:t>Programmas budžeta plānošanas izmaksu modeļa pieņemšana</w:t>
            </w:r>
          </w:p>
        </w:tc>
      </w:tr>
      <w:tr w:rsidR="00776A1F" w14:paraId="28486F3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1D9C06C" w14:textId="77777777" w:rsidR="00776A1F" w:rsidRDefault="00D8574B">
            <w:pPr>
              <w:pStyle w:val="P68B1DB1-Normal23"/>
              <w:spacing w:after="0"/>
              <w:jc w:val="center"/>
              <w:rPr>
                <w:rFonts w:eastAsia="Calibri" w:cs="Calibri"/>
                <w:noProof/>
              </w:rPr>
            </w:pPr>
            <w:r>
              <w:rPr>
                <w:noProof/>
              </w:rPr>
              <w:t>17.8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9B7C27A" w14:textId="77777777" w:rsidR="00776A1F" w:rsidRDefault="00D8574B">
            <w:pPr>
              <w:pStyle w:val="P68B1DB1-Normal23"/>
              <w:spacing w:after="0"/>
              <w:jc w:val="center"/>
              <w:rPr>
                <w:rFonts w:eastAsia="Calibri" w:cs="Calibri"/>
                <w:noProof/>
              </w:rPr>
            </w:pPr>
            <w:r>
              <w:rPr>
                <w:noProof/>
              </w:rPr>
              <w:t>TD-C17-r32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9ACBAF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8D0D69" w14:textId="77777777" w:rsidR="00776A1F" w:rsidRDefault="00D8574B">
            <w:pPr>
              <w:pStyle w:val="P68B1DB1-Normal23"/>
              <w:spacing w:after="0"/>
              <w:jc w:val="both"/>
              <w:rPr>
                <w:rFonts w:eastAsia="Calibri" w:cs="Calibri"/>
                <w:noProof/>
              </w:rPr>
            </w:pPr>
            <w:r>
              <w:rPr>
                <w:noProof/>
              </w:rPr>
              <w:t>Valsts uzņēmumu budžeta un darbības plānu skaits, ko konsekventi apstiprinājis finanšu ministrs un attiecīgais(-ie) ministrs(-i)</w:t>
            </w:r>
          </w:p>
        </w:tc>
      </w:tr>
      <w:tr w:rsidR="00776A1F" w14:paraId="0FFE3D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DEF3AE" w14:textId="77777777" w:rsidR="00776A1F" w:rsidRDefault="00D8574B">
            <w:pPr>
              <w:pStyle w:val="P68B1DB1-Normal23"/>
              <w:spacing w:after="0"/>
              <w:jc w:val="center"/>
              <w:rPr>
                <w:rFonts w:eastAsia="Calibri" w:cs="Calibri"/>
                <w:noProof/>
              </w:rPr>
            </w:pPr>
            <w:r>
              <w:rPr>
                <w:noProof/>
              </w:rPr>
              <w:t>17.11</w:t>
            </w:r>
          </w:p>
        </w:tc>
        <w:tc>
          <w:tcPr>
            <w:tcW w:w="1760" w:type="dxa"/>
            <w:tcBorders>
              <w:top w:val="nil"/>
              <w:left w:val="nil"/>
              <w:bottom w:val="single" w:sz="4" w:space="0" w:color="auto"/>
              <w:right w:val="single" w:sz="4" w:space="0" w:color="auto"/>
            </w:tcBorders>
            <w:shd w:val="clear" w:color="auto" w:fill="C4EFCE"/>
            <w:vAlign w:val="center"/>
            <w:hideMark/>
          </w:tcPr>
          <w:p w14:paraId="6D375996" w14:textId="77777777" w:rsidR="00776A1F" w:rsidRDefault="00D8574B">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7F74C799"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1A3F61" w14:textId="77777777" w:rsidR="00776A1F" w:rsidRDefault="00D8574B">
            <w:pPr>
              <w:pStyle w:val="P68B1DB1-Normal23"/>
              <w:spacing w:after="0"/>
              <w:jc w:val="both"/>
              <w:rPr>
                <w:rFonts w:eastAsia="Calibri" w:cs="Calibri"/>
                <w:noProof/>
              </w:rPr>
            </w:pPr>
            <w:r>
              <w:rPr>
                <w:noProof/>
              </w:rPr>
              <w:t>Atbalsta informācijas sistēmas darbības uzsākšana jaunajam budžeta un finanšu kontroles modelim</w:t>
            </w:r>
          </w:p>
        </w:tc>
      </w:tr>
      <w:tr w:rsidR="00776A1F" w14:paraId="4E7B34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785CDF1" w14:textId="77777777" w:rsidR="00776A1F" w:rsidRDefault="00D8574B">
            <w:pPr>
              <w:pStyle w:val="P68B1DB1-Normal23"/>
              <w:spacing w:after="0"/>
              <w:jc w:val="center"/>
              <w:rPr>
                <w:rFonts w:eastAsia="Calibri" w:cs="Calibri"/>
                <w:noProof/>
              </w:rPr>
            </w:pPr>
            <w:r>
              <w:rPr>
                <w:noProof/>
              </w:rPr>
              <w:t>17.14</w:t>
            </w:r>
          </w:p>
        </w:tc>
        <w:tc>
          <w:tcPr>
            <w:tcW w:w="1760" w:type="dxa"/>
            <w:tcBorders>
              <w:top w:val="nil"/>
              <w:left w:val="nil"/>
              <w:bottom w:val="single" w:sz="4" w:space="0" w:color="auto"/>
              <w:right w:val="single" w:sz="4" w:space="0" w:color="auto"/>
            </w:tcBorders>
            <w:shd w:val="clear" w:color="auto" w:fill="C4EFCE"/>
            <w:vAlign w:val="center"/>
            <w:hideMark/>
          </w:tcPr>
          <w:p w14:paraId="533A5B42" w14:textId="77777777" w:rsidR="00776A1F" w:rsidRDefault="00D8574B">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00CBE279"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BFA39" w14:textId="77777777" w:rsidR="00776A1F" w:rsidRDefault="00D8574B">
            <w:pPr>
              <w:pStyle w:val="P68B1DB1-Normal23"/>
              <w:spacing w:after="0"/>
              <w:jc w:val="both"/>
              <w:rPr>
                <w:rFonts w:eastAsia="Calibri" w:cs="Calibri"/>
                <w:noProof/>
              </w:rPr>
            </w:pPr>
            <w:r>
              <w:rPr>
                <w:noProof/>
              </w:rPr>
              <w:t>Pabeigt drošības operāciju centra īstenošanu</w:t>
            </w:r>
          </w:p>
        </w:tc>
      </w:tr>
      <w:tr w:rsidR="00776A1F" w14:paraId="2825FB9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9519C8" w14:textId="77777777" w:rsidR="00776A1F" w:rsidRDefault="00D8574B">
            <w:pPr>
              <w:pStyle w:val="P68B1DB1-Normal23"/>
              <w:spacing w:after="0"/>
              <w:jc w:val="center"/>
              <w:rPr>
                <w:rFonts w:eastAsia="Calibri" w:cs="Calibri"/>
                <w:noProof/>
              </w:rPr>
            </w:pPr>
            <w:r>
              <w:rPr>
                <w:noProof/>
              </w:rPr>
              <w:t>17.16</w:t>
            </w:r>
          </w:p>
        </w:tc>
        <w:tc>
          <w:tcPr>
            <w:tcW w:w="1760" w:type="dxa"/>
            <w:tcBorders>
              <w:top w:val="nil"/>
              <w:left w:val="nil"/>
              <w:bottom w:val="single" w:sz="4" w:space="0" w:color="auto"/>
              <w:right w:val="single" w:sz="4" w:space="0" w:color="auto"/>
            </w:tcBorders>
            <w:shd w:val="clear" w:color="auto" w:fill="C4EFCE"/>
            <w:vAlign w:val="center"/>
            <w:hideMark/>
          </w:tcPr>
          <w:p w14:paraId="5E0AFA27" w14:textId="77777777" w:rsidR="00776A1F" w:rsidRDefault="00D8574B">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62B849B"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8B115D" w14:textId="77777777" w:rsidR="00776A1F" w:rsidRDefault="00D8574B">
            <w:pPr>
              <w:pStyle w:val="P68B1DB1-Normal23"/>
              <w:spacing w:after="0"/>
              <w:jc w:val="both"/>
              <w:rPr>
                <w:rFonts w:eastAsia="Calibri" w:cs="Calibri"/>
                <w:noProof/>
              </w:rPr>
            </w:pPr>
            <w:r>
              <w:rPr>
                <w:noProof/>
              </w:rPr>
              <w:t>Informācijas sistēmas galīgās versijas nodrošināšana un ieviešana lauku īpašumu vienkāršotai novērtēšanai</w:t>
            </w:r>
          </w:p>
        </w:tc>
      </w:tr>
      <w:tr w:rsidR="00776A1F" w14:paraId="54C1C6B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30E143" w14:textId="77777777" w:rsidR="00776A1F" w:rsidRDefault="00D8574B">
            <w:pPr>
              <w:pStyle w:val="P68B1DB1-Normal23"/>
              <w:spacing w:after="0"/>
              <w:jc w:val="center"/>
              <w:rPr>
                <w:rFonts w:eastAsia="Calibri" w:cs="Calibri"/>
                <w:noProof/>
              </w:rPr>
            </w:pPr>
            <w:r>
              <w:rPr>
                <w:noProof/>
              </w:rPr>
              <w:t>17.17</w:t>
            </w:r>
          </w:p>
        </w:tc>
        <w:tc>
          <w:tcPr>
            <w:tcW w:w="1760" w:type="dxa"/>
            <w:tcBorders>
              <w:top w:val="nil"/>
              <w:left w:val="nil"/>
              <w:bottom w:val="single" w:sz="4" w:space="0" w:color="auto"/>
              <w:right w:val="single" w:sz="4" w:space="0" w:color="auto"/>
            </w:tcBorders>
            <w:shd w:val="clear" w:color="auto" w:fill="C4EFCE"/>
            <w:vAlign w:val="center"/>
            <w:hideMark/>
          </w:tcPr>
          <w:p w14:paraId="723E9D48" w14:textId="77777777" w:rsidR="00776A1F" w:rsidRDefault="00D8574B">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724BA1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048DD5" w14:textId="77777777" w:rsidR="00776A1F" w:rsidRDefault="00D8574B">
            <w:pPr>
              <w:pStyle w:val="P68B1DB1-Normal23"/>
              <w:spacing w:after="0"/>
              <w:jc w:val="both"/>
              <w:rPr>
                <w:rFonts w:eastAsia="Calibri" w:cs="Calibri"/>
                <w:noProof/>
              </w:rPr>
            </w:pPr>
            <w:r>
              <w:rPr>
                <w:noProof/>
              </w:rPr>
              <w:t>Pabeigt edafo-klimatomorfoloģisko (augsnes un klimata) raksturojumu un lauku īpašumu ekonomiskā potenciāla novērtēšanu</w:t>
            </w:r>
          </w:p>
        </w:tc>
      </w:tr>
      <w:tr w:rsidR="00776A1F" w14:paraId="3DB5C5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F07BD9" w14:textId="77777777" w:rsidR="00776A1F" w:rsidRDefault="00D8574B">
            <w:pPr>
              <w:pStyle w:val="P68B1DB1-Normal23"/>
              <w:spacing w:after="0"/>
              <w:jc w:val="center"/>
              <w:rPr>
                <w:rFonts w:eastAsia="Calibri" w:cs="Calibri"/>
                <w:noProof/>
              </w:rPr>
            </w:pPr>
            <w:r>
              <w:rPr>
                <w:noProof/>
              </w:rPr>
              <w:t>17.18</w:t>
            </w:r>
          </w:p>
        </w:tc>
        <w:tc>
          <w:tcPr>
            <w:tcW w:w="1760" w:type="dxa"/>
            <w:tcBorders>
              <w:top w:val="nil"/>
              <w:left w:val="nil"/>
              <w:bottom w:val="single" w:sz="4" w:space="0" w:color="auto"/>
              <w:right w:val="single" w:sz="4" w:space="0" w:color="auto"/>
            </w:tcBorders>
            <w:shd w:val="clear" w:color="auto" w:fill="C4EFCE"/>
            <w:vAlign w:val="center"/>
            <w:hideMark/>
          </w:tcPr>
          <w:p w14:paraId="2CCBFDDD" w14:textId="77777777" w:rsidR="00776A1F" w:rsidRDefault="00D8574B">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28D6CC7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6DFDFD" w14:textId="77777777" w:rsidR="00776A1F" w:rsidRDefault="00D8574B">
            <w:pPr>
              <w:pStyle w:val="P68B1DB1-Normal23"/>
              <w:spacing w:after="0"/>
              <w:jc w:val="both"/>
              <w:rPr>
                <w:rFonts w:eastAsia="Calibri" w:cs="Calibri"/>
                <w:noProof/>
              </w:rPr>
            </w:pPr>
            <w:r>
              <w:rPr>
                <w:noProof/>
              </w:rPr>
              <w:t>Segurança Social Direta tīmekļa vietnes funkciju paplašināšana, pievienojot piecus jaunus tiešsaistes pakalpojumus</w:t>
            </w:r>
          </w:p>
        </w:tc>
      </w:tr>
      <w:tr w:rsidR="00776A1F" w14:paraId="47DDC2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5A2944" w14:textId="77777777" w:rsidR="00776A1F" w:rsidRDefault="00D8574B">
            <w:pPr>
              <w:pStyle w:val="P68B1DB1-Normal23"/>
              <w:spacing w:after="0"/>
              <w:jc w:val="center"/>
              <w:rPr>
                <w:rFonts w:eastAsia="Calibri" w:cs="Calibri"/>
                <w:noProof/>
              </w:rPr>
            </w:pPr>
            <w:r>
              <w:rPr>
                <w:noProof/>
              </w:rPr>
              <w:t>17.19</w:t>
            </w:r>
          </w:p>
        </w:tc>
        <w:tc>
          <w:tcPr>
            <w:tcW w:w="1760" w:type="dxa"/>
            <w:tcBorders>
              <w:top w:val="nil"/>
              <w:left w:val="nil"/>
              <w:bottom w:val="single" w:sz="4" w:space="0" w:color="auto"/>
              <w:right w:val="single" w:sz="4" w:space="0" w:color="auto"/>
            </w:tcBorders>
            <w:shd w:val="clear" w:color="auto" w:fill="C4EFCE"/>
            <w:vAlign w:val="center"/>
            <w:hideMark/>
          </w:tcPr>
          <w:p w14:paraId="7AEDC7FA" w14:textId="77777777" w:rsidR="00776A1F" w:rsidRDefault="00D8574B">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0F1DBD7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F9E549" w14:textId="77777777" w:rsidR="00776A1F" w:rsidRDefault="00D8574B">
            <w:pPr>
              <w:pStyle w:val="P68B1DB1-Normal23"/>
              <w:spacing w:after="0"/>
              <w:jc w:val="both"/>
              <w:rPr>
                <w:rFonts w:eastAsia="Calibri" w:cs="Calibri"/>
                <w:noProof/>
              </w:rPr>
            </w:pPr>
            <w:r>
              <w:rPr>
                <w:noProof/>
              </w:rPr>
              <w:t>Par 80 % samazināt vidējo dienu skaitu, kas vajadzīgs, lai piešķirtu uz iemaksām balstītus sociālos pabalstus, tiem, kuru vidējais piešķiršanas laiks pārsniedz 10 dienas</w:t>
            </w:r>
          </w:p>
        </w:tc>
      </w:tr>
      <w:tr w:rsidR="00776A1F" w14:paraId="5B84839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754C84" w14:textId="77777777" w:rsidR="00776A1F" w:rsidRDefault="00D8574B">
            <w:pPr>
              <w:pStyle w:val="P68B1DB1-Normal23"/>
              <w:spacing w:after="0"/>
              <w:jc w:val="center"/>
              <w:rPr>
                <w:rFonts w:eastAsia="Calibri" w:cs="Calibri"/>
                <w:noProof/>
              </w:rPr>
            </w:pPr>
            <w:r>
              <w:rPr>
                <w:noProof/>
              </w:rPr>
              <w:t>17.20</w:t>
            </w:r>
          </w:p>
        </w:tc>
        <w:tc>
          <w:tcPr>
            <w:tcW w:w="1760" w:type="dxa"/>
            <w:tcBorders>
              <w:top w:val="nil"/>
              <w:left w:val="nil"/>
              <w:bottom w:val="single" w:sz="4" w:space="0" w:color="auto"/>
              <w:right w:val="single" w:sz="4" w:space="0" w:color="auto"/>
            </w:tcBorders>
            <w:shd w:val="clear" w:color="auto" w:fill="C4EFCE"/>
            <w:vAlign w:val="center"/>
            <w:hideMark/>
          </w:tcPr>
          <w:p w14:paraId="2C052451" w14:textId="77777777" w:rsidR="00776A1F" w:rsidRDefault="00D8574B">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5C4F126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0814D6F" w14:textId="77777777" w:rsidR="00776A1F" w:rsidRDefault="00D8574B">
            <w:pPr>
              <w:pStyle w:val="P68B1DB1-Normal23"/>
              <w:spacing w:after="0"/>
              <w:jc w:val="both"/>
              <w:rPr>
                <w:rFonts w:eastAsia="Calibri" w:cs="Calibri"/>
                <w:noProof/>
              </w:rPr>
            </w:pPr>
            <w:r>
              <w:rPr>
                <w:noProof/>
              </w:rPr>
              <w:t>Intelektisku uzraudzības modeļu ieviešana, lai atbalstītu krāpšanas novēršanu, pamatojoties uz mašīnmācīšanās procesiem</w:t>
            </w:r>
          </w:p>
        </w:tc>
      </w:tr>
      <w:tr w:rsidR="00776A1F" w14:paraId="3EABB5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BA64F9" w14:textId="77777777" w:rsidR="00776A1F" w:rsidRDefault="00D8574B">
            <w:pPr>
              <w:pStyle w:val="P68B1DB1-Normal23"/>
              <w:spacing w:after="0"/>
              <w:jc w:val="center"/>
              <w:rPr>
                <w:rFonts w:eastAsia="Calibri" w:cs="Calibri"/>
                <w:noProof/>
              </w:rPr>
            </w:pPr>
            <w:r>
              <w:rPr>
                <w:noProof/>
              </w:rPr>
              <w:t>18.4</w:t>
            </w:r>
          </w:p>
        </w:tc>
        <w:tc>
          <w:tcPr>
            <w:tcW w:w="1760" w:type="dxa"/>
            <w:tcBorders>
              <w:top w:val="nil"/>
              <w:left w:val="nil"/>
              <w:bottom w:val="single" w:sz="4" w:space="0" w:color="auto"/>
              <w:right w:val="single" w:sz="4" w:space="0" w:color="auto"/>
            </w:tcBorders>
            <w:shd w:val="clear" w:color="auto" w:fill="C4EFCE"/>
            <w:vAlign w:val="center"/>
            <w:hideMark/>
          </w:tcPr>
          <w:p w14:paraId="5AC061BF" w14:textId="77777777" w:rsidR="00776A1F" w:rsidRDefault="00D8574B">
            <w:pPr>
              <w:pStyle w:val="P68B1DB1-Normal23"/>
              <w:spacing w:after="0"/>
              <w:jc w:val="center"/>
              <w:rPr>
                <w:rFonts w:eastAsia="Calibri" w:cs="Calibri"/>
                <w:noProof/>
              </w:rPr>
            </w:pPr>
            <w:r>
              <w:rPr>
                <w:noProof/>
              </w:rPr>
              <w:t>TD-C18-r33</w:t>
            </w:r>
          </w:p>
        </w:tc>
        <w:tc>
          <w:tcPr>
            <w:tcW w:w="1520" w:type="dxa"/>
            <w:tcBorders>
              <w:top w:val="nil"/>
              <w:left w:val="nil"/>
              <w:bottom w:val="single" w:sz="4" w:space="0" w:color="auto"/>
              <w:right w:val="single" w:sz="4" w:space="0" w:color="auto"/>
            </w:tcBorders>
            <w:shd w:val="clear" w:color="auto" w:fill="C4EFCE"/>
            <w:vAlign w:val="center"/>
            <w:hideMark/>
          </w:tcPr>
          <w:p w14:paraId="2172CC8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1E3A34" w14:textId="77777777" w:rsidR="00776A1F" w:rsidRDefault="00D8574B">
            <w:pPr>
              <w:pStyle w:val="P68B1DB1-Normal23"/>
              <w:spacing w:after="0"/>
              <w:jc w:val="both"/>
              <w:rPr>
                <w:rFonts w:eastAsia="Calibri" w:cs="Calibri"/>
                <w:noProof/>
              </w:rPr>
            </w:pPr>
            <w:r>
              <w:rPr>
                <w:noProof/>
              </w:rPr>
              <w:t>Stājas spēkā tiesību aktu kopums par licencēšanas šķēršļu novēršanu un jaunais tiesiskais regulējums brīvprātīgai administratīvai arbitrāžai</w:t>
            </w:r>
          </w:p>
        </w:tc>
      </w:tr>
      <w:tr w:rsidR="00776A1F" w14:paraId="45D451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6B7728" w14:textId="77777777" w:rsidR="00776A1F" w:rsidRDefault="00D8574B">
            <w:pPr>
              <w:pStyle w:val="P68B1DB1-Normal23"/>
              <w:spacing w:after="0"/>
              <w:jc w:val="center"/>
              <w:rPr>
                <w:rFonts w:eastAsia="Calibri" w:cs="Calibri"/>
                <w:noProof/>
              </w:rPr>
            </w:pPr>
            <w:r>
              <w:rPr>
                <w:noProof/>
              </w:rPr>
              <w:t>18.7</w:t>
            </w:r>
          </w:p>
        </w:tc>
        <w:tc>
          <w:tcPr>
            <w:tcW w:w="1760" w:type="dxa"/>
            <w:tcBorders>
              <w:top w:val="nil"/>
              <w:left w:val="nil"/>
              <w:bottom w:val="single" w:sz="4" w:space="0" w:color="auto"/>
              <w:right w:val="single" w:sz="4" w:space="0" w:color="auto"/>
            </w:tcBorders>
            <w:shd w:val="clear" w:color="auto" w:fill="C4EFCE"/>
            <w:vAlign w:val="center"/>
            <w:hideMark/>
          </w:tcPr>
          <w:p w14:paraId="21C71E03" w14:textId="77777777" w:rsidR="00776A1F" w:rsidRDefault="00D8574B">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ED722D1"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E5FA1F0" w14:textId="77777777" w:rsidR="00776A1F" w:rsidRDefault="00D8574B">
            <w:pPr>
              <w:pStyle w:val="P68B1DB1-Normal23"/>
              <w:spacing w:after="0"/>
              <w:jc w:val="both"/>
              <w:rPr>
                <w:rFonts w:eastAsia="Calibri" w:cs="Calibri"/>
                <w:noProof/>
              </w:rPr>
            </w:pPr>
            <w:r>
              <w:rPr>
                <w:noProof/>
              </w:rPr>
              <w:t>Jauna informācijas sistēma tiesu un prokuratūras digitālajai pārveidei</w:t>
            </w:r>
          </w:p>
        </w:tc>
      </w:tr>
      <w:tr w:rsidR="00776A1F" w14:paraId="1BD13F4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40AE85" w14:textId="77777777" w:rsidR="00776A1F" w:rsidRDefault="00D8574B">
            <w:pPr>
              <w:pStyle w:val="P68B1DB1-Normal23"/>
              <w:spacing w:after="0"/>
              <w:jc w:val="center"/>
              <w:rPr>
                <w:rFonts w:eastAsia="Calibri" w:cs="Calibri"/>
                <w:noProof/>
              </w:rPr>
            </w:pPr>
            <w:r>
              <w:rPr>
                <w:noProof/>
              </w:rPr>
              <w:t>18.8</w:t>
            </w:r>
          </w:p>
        </w:tc>
        <w:tc>
          <w:tcPr>
            <w:tcW w:w="1760" w:type="dxa"/>
            <w:tcBorders>
              <w:top w:val="nil"/>
              <w:left w:val="nil"/>
              <w:bottom w:val="single" w:sz="4" w:space="0" w:color="auto"/>
              <w:right w:val="single" w:sz="4" w:space="0" w:color="auto"/>
            </w:tcBorders>
            <w:shd w:val="clear" w:color="auto" w:fill="C4EFCE"/>
            <w:vAlign w:val="center"/>
            <w:hideMark/>
          </w:tcPr>
          <w:p w14:paraId="35742E8F" w14:textId="77777777" w:rsidR="00776A1F" w:rsidRDefault="00D8574B">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452B02B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E14B786" w14:textId="77777777" w:rsidR="00776A1F" w:rsidRDefault="00D8574B">
            <w:pPr>
              <w:pStyle w:val="P68B1DB1-Normal23"/>
              <w:spacing w:after="0"/>
              <w:jc w:val="both"/>
              <w:rPr>
                <w:rFonts w:eastAsia="Calibri" w:cs="Calibri"/>
                <w:noProof/>
              </w:rPr>
            </w:pPr>
            <w:r>
              <w:rPr>
                <w:noProof/>
              </w:rPr>
              <w:t>Jaunā tehnoloģiju plāna īstenošana</w:t>
            </w:r>
          </w:p>
        </w:tc>
      </w:tr>
      <w:tr w:rsidR="00776A1F" w14:paraId="63D2E9F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4ADEE" w14:textId="77777777" w:rsidR="00776A1F" w:rsidRDefault="00D8574B">
            <w:pPr>
              <w:pStyle w:val="P68B1DB1-Normal23"/>
              <w:spacing w:after="0"/>
              <w:jc w:val="center"/>
              <w:rPr>
                <w:rFonts w:eastAsia="Calibri" w:cs="Calibri"/>
                <w:noProof/>
              </w:rPr>
            </w:pPr>
            <w:r>
              <w:rPr>
                <w:noProof/>
              </w:rPr>
              <w:t>18.9</w:t>
            </w:r>
          </w:p>
        </w:tc>
        <w:tc>
          <w:tcPr>
            <w:tcW w:w="1760" w:type="dxa"/>
            <w:tcBorders>
              <w:top w:val="nil"/>
              <w:left w:val="nil"/>
              <w:bottom w:val="single" w:sz="4" w:space="0" w:color="auto"/>
              <w:right w:val="single" w:sz="4" w:space="0" w:color="auto"/>
            </w:tcBorders>
            <w:shd w:val="clear" w:color="auto" w:fill="C4EFCE"/>
            <w:vAlign w:val="center"/>
            <w:hideMark/>
          </w:tcPr>
          <w:p w14:paraId="28414CF8" w14:textId="77777777" w:rsidR="00776A1F" w:rsidRDefault="00D8574B">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C3280D6"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8857B2A" w14:textId="77777777" w:rsidR="00776A1F" w:rsidRDefault="00D8574B">
            <w:pPr>
              <w:pStyle w:val="P68B1DB1-Normal23"/>
              <w:spacing w:after="0"/>
              <w:jc w:val="both"/>
              <w:rPr>
                <w:rFonts w:eastAsia="Calibri" w:cs="Calibri"/>
                <w:noProof/>
              </w:rPr>
            </w:pPr>
            <w:r>
              <w:rPr>
                <w:noProof/>
              </w:rPr>
              <w:t>Zināšanu pārvaldības platformas tieslietu jomā</w:t>
            </w:r>
          </w:p>
        </w:tc>
      </w:tr>
      <w:tr w:rsidR="00776A1F" w14:paraId="31EEFC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6EEFE" w14:textId="77777777" w:rsidR="00776A1F" w:rsidRDefault="00D8574B">
            <w:pPr>
              <w:pStyle w:val="P68B1DB1-Normal23"/>
              <w:spacing w:after="0"/>
              <w:jc w:val="center"/>
              <w:rPr>
                <w:rFonts w:eastAsia="Calibri" w:cs="Calibri"/>
                <w:noProof/>
              </w:rPr>
            </w:pPr>
            <w:r>
              <w:rPr>
                <w:noProof/>
              </w:rPr>
              <w:t>19.13</w:t>
            </w:r>
          </w:p>
        </w:tc>
        <w:tc>
          <w:tcPr>
            <w:tcW w:w="1760" w:type="dxa"/>
            <w:tcBorders>
              <w:top w:val="nil"/>
              <w:left w:val="nil"/>
              <w:bottom w:val="single" w:sz="4" w:space="0" w:color="auto"/>
              <w:right w:val="single" w:sz="4" w:space="0" w:color="auto"/>
            </w:tcBorders>
            <w:shd w:val="clear" w:color="auto" w:fill="C4EFCE"/>
            <w:vAlign w:val="center"/>
            <w:hideMark/>
          </w:tcPr>
          <w:p w14:paraId="60EB5193" w14:textId="77777777" w:rsidR="00776A1F" w:rsidRDefault="00D8574B">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3EA5634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9DF2DDA" w14:textId="77777777" w:rsidR="00776A1F" w:rsidRDefault="00D8574B">
            <w:pPr>
              <w:pStyle w:val="P68B1DB1-Normal23"/>
              <w:spacing w:after="0"/>
              <w:jc w:val="both"/>
              <w:rPr>
                <w:rFonts w:eastAsia="Calibri" w:cs="Calibri"/>
                <w:noProof/>
              </w:rPr>
            </w:pPr>
            <w:r>
              <w:rPr>
                <w:noProof/>
              </w:rPr>
              <w:t>Kritisko digitālo infrastruktūru modernizācijas pabeigšana</w:t>
            </w:r>
          </w:p>
        </w:tc>
      </w:tr>
      <w:tr w:rsidR="00776A1F" w14:paraId="71D989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663BCA" w14:textId="77777777" w:rsidR="00776A1F" w:rsidRDefault="00D8574B">
            <w:pPr>
              <w:pStyle w:val="P68B1DB1-Normal23"/>
              <w:spacing w:after="0"/>
              <w:jc w:val="center"/>
              <w:rPr>
                <w:rFonts w:eastAsia="Calibri" w:cs="Calibri"/>
                <w:noProof/>
              </w:rPr>
            </w:pPr>
            <w:r>
              <w:rPr>
                <w:noProof/>
              </w:rPr>
              <w:t>19.18</w:t>
            </w:r>
          </w:p>
        </w:tc>
        <w:tc>
          <w:tcPr>
            <w:tcW w:w="1760" w:type="dxa"/>
            <w:tcBorders>
              <w:top w:val="nil"/>
              <w:left w:val="nil"/>
              <w:bottom w:val="single" w:sz="4" w:space="0" w:color="auto"/>
              <w:right w:val="single" w:sz="4" w:space="0" w:color="auto"/>
            </w:tcBorders>
            <w:shd w:val="clear" w:color="auto" w:fill="C4EFCE"/>
            <w:vAlign w:val="center"/>
            <w:hideMark/>
          </w:tcPr>
          <w:p w14:paraId="45108801" w14:textId="77777777" w:rsidR="00776A1F" w:rsidRDefault="00D8574B">
            <w:pPr>
              <w:pStyle w:val="P68B1DB1-Normal23"/>
              <w:spacing w:after="0"/>
              <w:jc w:val="center"/>
              <w:rPr>
                <w:rFonts w:eastAsia="Calibri" w:cs="Calibri"/>
                <w:noProof/>
              </w:rPr>
            </w:pPr>
            <w:r>
              <w:rPr>
                <w:noProof/>
              </w:rPr>
              <w:t>TD-C19-i06-RAA</w:t>
            </w:r>
          </w:p>
        </w:tc>
        <w:tc>
          <w:tcPr>
            <w:tcW w:w="1520" w:type="dxa"/>
            <w:tcBorders>
              <w:top w:val="nil"/>
              <w:left w:val="nil"/>
              <w:bottom w:val="single" w:sz="4" w:space="0" w:color="auto"/>
              <w:right w:val="single" w:sz="4" w:space="0" w:color="auto"/>
            </w:tcBorders>
            <w:shd w:val="clear" w:color="auto" w:fill="C4EFCE"/>
            <w:vAlign w:val="center"/>
            <w:hideMark/>
          </w:tcPr>
          <w:p w14:paraId="263E5D1D"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186F7B4" w14:textId="77777777" w:rsidR="00776A1F" w:rsidRDefault="00D8574B">
            <w:pPr>
              <w:pStyle w:val="P68B1DB1-Normal23"/>
              <w:spacing w:after="0"/>
              <w:jc w:val="both"/>
              <w:rPr>
                <w:rFonts w:eastAsia="Calibri" w:cs="Calibri"/>
                <w:noProof/>
              </w:rPr>
            </w:pPr>
            <w:r>
              <w:rPr>
                <w:noProof/>
              </w:rPr>
              <w:t>ARA reģionālās publiskās pārvaldes digitalizācija</w:t>
            </w:r>
          </w:p>
        </w:tc>
      </w:tr>
      <w:tr w:rsidR="00776A1F" w14:paraId="4826CD0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B869B" w14:textId="77777777" w:rsidR="00776A1F" w:rsidRDefault="00D8574B">
            <w:pPr>
              <w:pStyle w:val="P68B1DB1-Normal23"/>
              <w:spacing w:after="0"/>
              <w:jc w:val="center"/>
              <w:rPr>
                <w:rFonts w:eastAsia="Calibri" w:cs="Calibri"/>
                <w:noProof/>
              </w:rPr>
            </w:pPr>
            <w:r>
              <w:rPr>
                <w:noProof/>
              </w:rPr>
              <w:t>19.29</w:t>
            </w:r>
          </w:p>
        </w:tc>
        <w:tc>
          <w:tcPr>
            <w:tcW w:w="1760" w:type="dxa"/>
            <w:tcBorders>
              <w:top w:val="nil"/>
              <w:left w:val="nil"/>
              <w:bottom w:val="single" w:sz="4" w:space="0" w:color="auto"/>
              <w:right w:val="single" w:sz="4" w:space="0" w:color="auto"/>
            </w:tcBorders>
            <w:shd w:val="clear" w:color="auto" w:fill="C4EFCE"/>
            <w:vAlign w:val="center"/>
            <w:hideMark/>
          </w:tcPr>
          <w:p w14:paraId="20B7CA8B" w14:textId="5ECEEBAE" w:rsidR="00776A1F" w:rsidRDefault="00D8574B">
            <w:pPr>
              <w:pStyle w:val="P68B1DB1-Normal23"/>
              <w:spacing w:after="0"/>
              <w:jc w:val="center"/>
              <w:rPr>
                <w:rFonts w:eastAsia="Calibri" w:cs="Calibri"/>
                <w:noProof/>
              </w:rPr>
            </w:pPr>
            <w:r>
              <w:rPr>
                <w:noProof/>
              </w:rPr>
              <w:t>TD-C19-i05-RAM</w:t>
            </w:r>
          </w:p>
        </w:tc>
        <w:tc>
          <w:tcPr>
            <w:tcW w:w="1520" w:type="dxa"/>
            <w:tcBorders>
              <w:top w:val="nil"/>
              <w:left w:val="nil"/>
              <w:bottom w:val="single" w:sz="4" w:space="0" w:color="auto"/>
              <w:right w:val="single" w:sz="4" w:space="0" w:color="auto"/>
            </w:tcBorders>
            <w:shd w:val="clear" w:color="auto" w:fill="C4EFCE"/>
            <w:vAlign w:val="center"/>
            <w:hideMark/>
          </w:tcPr>
          <w:p w14:paraId="45E1EEF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9A5E78" w14:textId="77777777" w:rsidR="00776A1F" w:rsidRDefault="00D8574B">
            <w:pPr>
              <w:pStyle w:val="P68B1DB1-Normal23"/>
              <w:spacing w:after="0"/>
              <w:jc w:val="both"/>
              <w:rPr>
                <w:rFonts w:eastAsia="Calibri" w:cs="Calibri"/>
                <w:noProof/>
              </w:rPr>
            </w:pPr>
            <w:r>
              <w:rPr>
                <w:noProof/>
              </w:rPr>
              <w:t>Centralizētas datu pārvaldības risinājums</w:t>
            </w:r>
          </w:p>
        </w:tc>
      </w:tr>
      <w:tr w:rsidR="00776A1F" w14:paraId="4F0A91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6A267A" w14:textId="77777777" w:rsidR="00776A1F" w:rsidRDefault="00D8574B">
            <w:pPr>
              <w:pStyle w:val="P68B1DB1-Normal23"/>
              <w:spacing w:after="0"/>
              <w:jc w:val="center"/>
              <w:rPr>
                <w:rFonts w:eastAsia="Calibri" w:cs="Calibri"/>
                <w:noProof/>
              </w:rPr>
            </w:pPr>
            <w:r>
              <w:rPr>
                <w:noProof/>
              </w:rPr>
              <w:t>19.36</w:t>
            </w:r>
          </w:p>
        </w:tc>
        <w:tc>
          <w:tcPr>
            <w:tcW w:w="1760" w:type="dxa"/>
            <w:tcBorders>
              <w:top w:val="nil"/>
              <w:left w:val="nil"/>
              <w:bottom w:val="single" w:sz="4" w:space="0" w:color="auto"/>
              <w:right w:val="single" w:sz="4" w:space="0" w:color="auto"/>
            </w:tcBorders>
            <w:shd w:val="clear" w:color="auto" w:fill="C4EFCE"/>
            <w:vAlign w:val="center"/>
            <w:hideMark/>
          </w:tcPr>
          <w:p w14:paraId="4C52EF1C" w14:textId="77777777" w:rsidR="00776A1F" w:rsidRDefault="00D8574B">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24ABE861"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1FE9798" w14:textId="77777777" w:rsidR="00776A1F" w:rsidRDefault="00D8574B">
            <w:pPr>
              <w:pStyle w:val="P68B1DB1-Normal23"/>
              <w:spacing w:after="0"/>
              <w:jc w:val="both"/>
              <w:rPr>
                <w:rFonts w:eastAsia="Calibri" w:cs="Calibri"/>
                <w:noProof/>
              </w:rPr>
            </w:pPr>
            <w:r>
              <w:rPr>
                <w:noProof/>
              </w:rPr>
              <w:t>Apmācība par viedajām teritorijām</w:t>
            </w:r>
          </w:p>
        </w:tc>
      </w:tr>
      <w:tr w:rsidR="00776A1F" w14:paraId="164483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7F1827" w14:textId="77777777" w:rsidR="00776A1F" w:rsidRDefault="00D8574B">
            <w:pPr>
              <w:pStyle w:val="P68B1DB1-Normal23"/>
              <w:spacing w:after="0"/>
              <w:jc w:val="center"/>
              <w:rPr>
                <w:rFonts w:eastAsia="Calibri" w:cs="Calibri"/>
                <w:noProof/>
              </w:rPr>
            </w:pPr>
            <w:r>
              <w:rPr>
                <w:noProof/>
              </w:rPr>
              <w:t>20.1</w:t>
            </w:r>
          </w:p>
        </w:tc>
        <w:tc>
          <w:tcPr>
            <w:tcW w:w="1760" w:type="dxa"/>
            <w:tcBorders>
              <w:top w:val="nil"/>
              <w:left w:val="nil"/>
              <w:bottom w:val="single" w:sz="4" w:space="0" w:color="auto"/>
              <w:right w:val="single" w:sz="4" w:space="0" w:color="auto"/>
            </w:tcBorders>
            <w:shd w:val="clear" w:color="auto" w:fill="C4EFCE"/>
            <w:vAlign w:val="center"/>
            <w:hideMark/>
          </w:tcPr>
          <w:p w14:paraId="1DCE7E04" w14:textId="77777777" w:rsidR="00776A1F" w:rsidRDefault="00D8574B">
            <w:pPr>
              <w:pStyle w:val="P68B1DB1-Normal23"/>
              <w:spacing w:after="0"/>
              <w:jc w:val="center"/>
              <w:rPr>
                <w:rFonts w:eastAsia="Calibri" w:cs="Calibri"/>
                <w:noProof/>
              </w:rPr>
            </w:pPr>
            <w:r>
              <w:rPr>
                <w:noProof/>
              </w:rPr>
              <w:t>TD-C20-r37</w:t>
            </w:r>
          </w:p>
        </w:tc>
        <w:tc>
          <w:tcPr>
            <w:tcW w:w="1520" w:type="dxa"/>
            <w:tcBorders>
              <w:top w:val="nil"/>
              <w:left w:val="nil"/>
              <w:bottom w:val="single" w:sz="4" w:space="0" w:color="auto"/>
              <w:right w:val="single" w:sz="4" w:space="0" w:color="auto"/>
            </w:tcBorders>
            <w:shd w:val="clear" w:color="auto" w:fill="C4EFCE"/>
            <w:vAlign w:val="center"/>
            <w:hideMark/>
          </w:tcPr>
          <w:p w14:paraId="15C51DD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617B340" w14:textId="77777777" w:rsidR="00776A1F" w:rsidRDefault="00D8574B">
            <w:pPr>
              <w:pStyle w:val="P68B1DB1-Normal23"/>
              <w:spacing w:after="0"/>
              <w:jc w:val="both"/>
              <w:rPr>
                <w:rFonts w:eastAsia="Calibri" w:cs="Calibri"/>
                <w:noProof/>
              </w:rPr>
            </w:pPr>
            <w:r>
              <w:rPr>
                <w:noProof/>
              </w:rPr>
              <w:t>Valsts izglītības tīkla skolotāju un ar mācīšanu nesaistītu darbinieku digitālo prasmju apmācība</w:t>
            </w:r>
          </w:p>
        </w:tc>
      </w:tr>
      <w:tr w:rsidR="00776A1F" w14:paraId="57E2CB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8047DA" w14:textId="77777777" w:rsidR="00776A1F" w:rsidRDefault="00D8574B">
            <w:pPr>
              <w:pStyle w:val="P68B1DB1-Normal23"/>
              <w:spacing w:after="0"/>
              <w:jc w:val="center"/>
              <w:rPr>
                <w:rFonts w:eastAsia="Calibri" w:cs="Calibri"/>
                <w:noProof/>
              </w:rPr>
            </w:pPr>
            <w:r>
              <w:rPr>
                <w:noProof/>
              </w:rPr>
              <w:t>20.8</w:t>
            </w:r>
          </w:p>
        </w:tc>
        <w:tc>
          <w:tcPr>
            <w:tcW w:w="1760" w:type="dxa"/>
            <w:tcBorders>
              <w:top w:val="nil"/>
              <w:left w:val="nil"/>
              <w:bottom w:val="single" w:sz="4" w:space="0" w:color="auto"/>
              <w:right w:val="single" w:sz="4" w:space="0" w:color="auto"/>
            </w:tcBorders>
            <w:shd w:val="clear" w:color="auto" w:fill="C4EFCE"/>
            <w:vAlign w:val="center"/>
            <w:hideMark/>
          </w:tcPr>
          <w:p w14:paraId="1D5158E1" w14:textId="77777777" w:rsidR="00776A1F" w:rsidRDefault="00D8574B">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54CB6BA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EED80B" w14:textId="77777777" w:rsidR="00776A1F" w:rsidRDefault="00D8574B">
            <w:pPr>
              <w:pStyle w:val="P68B1DB1-Normal23"/>
              <w:spacing w:after="0"/>
              <w:jc w:val="both"/>
              <w:rPr>
                <w:rFonts w:eastAsia="Calibri" w:cs="Calibri"/>
                <w:noProof/>
              </w:rPr>
            </w:pPr>
            <w:r>
              <w:rPr>
                <w:noProof/>
              </w:rPr>
              <w:t>Digitālie izglītības resursi</w:t>
            </w:r>
          </w:p>
        </w:tc>
      </w:tr>
      <w:tr w:rsidR="00776A1F" w14:paraId="1EA89E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2AD8A97" w14:textId="77777777" w:rsidR="00776A1F" w:rsidRDefault="00D8574B">
            <w:pPr>
              <w:pStyle w:val="P68B1DB1-Normal23"/>
              <w:spacing w:after="0"/>
              <w:jc w:val="center"/>
              <w:rPr>
                <w:rFonts w:eastAsia="Calibri" w:cs="Calibri"/>
                <w:noProof/>
              </w:rPr>
            </w:pPr>
            <w:r>
              <w:rPr>
                <w:noProof/>
              </w:rPr>
              <w:t>20.9</w:t>
            </w:r>
          </w:p>
        </w:tc>
        <w:tc>
          <w:tcPr>
            <w:tcW w:w="1760" w:type="dxa"/>
            <w:tcBorders>
              <w:top w:val="nil"/>
              <w:left w:val="nil"/>
              <w:bottom w:val="single" w:sz="4" w:space="0" w:color="auto"/>
              <w:right w:val="single" w:sz="4" w:space="0" w:color="auto"/>
            </w:tcBorders>
            <w:shd w:val="clear" w:color="auto" w:fill="C4EFCE"/>
            <w:vAlign w:val="center"/>
            <w:hideMark/>
          </w:tcPr>
          <w:p w14:paraId="46AA804C" w14:textId="77777777" w:rsidR="00776A1F" w:rsidRDefault="00D8574B">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1608BB5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083A11" w14:textId="77777777" w:rsidR="00776A1F" w:rsidRDefault="00D8574B">
            <w:pPr>
              <w:pStyle w:val="P68B1DB1-Normal23"/>
              <w:spacing w:after="0"/>
              <w:jc w:val="both"/>
              <w:rPr>
                <w:rFonts w:eastAsia="Calibri" w:cs="Calibri"/>
                <w:noProof/>
              </w:rPr>
            </w:pPr>
            <w:r>
              <w:rPr>
                <w:noProof/>
              </w:rPr>
              <w:t>Digitālie testi un eksāmeni skolās</w:t>
            </w:r>
          </w:p>
        </w:tc>
      </w:tr>
      <w:tr w:rsidR="00776A1F" w14:paraId="49E74A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CB012B" w14:textId="77777777" w:rsidR="00776A1F" w:rsidRDefault="00D8574B">
            <w:pPr>
              <w:pStyle w:val="P68B1DB1-Normal23"/>
              <w:spacing w:after="0"/>
              <w:jc w:val="center"/>
              <w:rPr>
                <w:rFonts w:eastAsia="Calibri" w:cs="Calibri"/>
                <w:noProof/>
              </w:rPr>
            </w:pPr>
            <w:r>
              <w:rPr>
                <w:noProof/>
              </w:rPr>
              <w:t>20.11</w:t>
            </w:r>
          </w:p>
        </w:tc>
        <w:tc>
          <w:tcPr>
            <w:tcW w:w="1760" w:type="dxa"/>
            <w:tcBorders>
              <w:top w:val="nil"/>
              <w:left w:val="nil"/>
              <w:bottom w:val="single" w:sz="4" w:space="0" w:color="auto"/>
              <w:right w:val="single" w:sz="4" w:space="0" w:color="auto"/>
            </w:tcBorders>
            <w:shd w:val="clear" w:color="auto" w:fill="C4EFCE"/>
            <w:vAlign w:val="center"/>
            <w:hideMark/>
          </w:tcPr>
          <w:p w14:paraId="17F8B041" w14:textId="77777777" w:rsidR="00776A1F" w:rsidRDefault="00D8574B">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3A8E7B1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14F428" w14:textId="77777777" w:rsidR="00776A1F" w:rsidRDefault="00D8574B">
            <w:pPr>
              <w:pStyle w:val="P68B1DB1-Normal23"/>
              <w:spacing w:after="0"/>
              <w:jc w:val="both"/>
              <w:rPr>
                <w:rFonts w:eastAsia="Calibri" w:cs="Calibri"/>
                <w:noProof/>
              </w:rPr>
            </w:pPr>
            <w:r>
              <w:rPr>
                <w:noProof/>
              </w:rPr>
              <w:t>Jauni klēpjdatori un planšetdatori skolām ARA</w:t>
            </w:r>
          </w:p>
        </w:tc>
      </w:tr>
      <w:tr w:rsidR="00776A1F" w14:paraId="1053A19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934CF69" w14:textId="77777777" w:rsidR="00776A1F" w:rsidRDefault="00D8574B">
            <w:pPr>
              <w:pStyle w:val="P68B1DB1-Normal23"/>
              <w:spacing w:after="0"/>
              <w:jc w:val="center"/>
              <w:rPr>
                <w:rFonts w:eastAsia="Calibri" w:cs="Calibri"/>
                <w:noProof/>
              </w:rPr>
            </w:pPr>
            <w:r>
              <w:rPr>
                <w:noProof/>
              </w:rPr>
              <w:t>20.12</w:t>
            </w:r>
          </w:p>
        </w:tc>
        <w:tc>
          <w:tcPr>
            <w:tcW w:w="1760" w:type="dxa"/>
            <w:tcBorders>
              <w:top w:val="nil"/>
              <w:left w:val="nil"/>
              <w:bottom w:val="single" w:sz="4" w:space="0" w:color="auto"/>
              <w:right w:val="single" w:sz="4" w:space="0" w:color="auto"/>
            </w:tcBorders>
            <w:shd w:val="clear" w:color="auto" w:fill="C4EFCE"/>
            <w:vAlign w:val="center"/>
            <w:hideMark/>
          </w:tcPr>
          <w:p w14:paraId="0A05C085" w14:textId="77777777" w:rsidR="00776A1F" w:rsidRDefault="00D8574B">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19B76BD6"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CB0A917" w14:textId="77777777" w:rsidR="00776A1F" w:rsidRDefault="00D8574B">
            <w:pPr>
              <w:pStyle w:val="P68B1DB1-Normal23"/>
              <w:spacing w:after="0"/>
              <w:jc w:val="both"/>
              <w:rPr>
                <w:rFonts w:eastAsia="Calibri" w:cs="Calibri"/>
                <w:noProof/>
              </w:rPr>
            </w:pPr>
            <w:r>
              <w:rPr>
                <w:noProof/>
              </w:rPr>
              <w:t>ARA skolu digitālais aprīkojums un digitālie izglītības resursi</w:t>
            </w:r>
          </w:p>
        </w:tc>
      </w:tr>
      <w:tr w:rsidR="00776A1F" w14:paraId="2E23C5A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6BB7BC" w14:textId="77777777" w:rsidR="00776A1F" w:rsidRDefault="00D8574B">
            <w:pPr>
              <w:pStyle w:val="P68B1DB1-Normal23"/>
              <w:spacing w:after="0"/>
              <w:jc w:val="center"/>
              <w:rPr>
                <w:rFonts w:eastAsia="Calibri" w:cs="Calibri"/>
                <w:noProof/>
              </w:rPr>
            </w:pPr>
            <w:r>
              <w:rPr>
                <w:noProof/>
              </w:rPr>
              <w:t>20.13</w:t>
            </w:r>
          </w:p>
        </w:tc>
        <w:tc>
          <w:tcPr>
            <w:tcW w:w="1760" w:type="dxa"/>
            <w:tcBorders>
              <w:top w:val="nil"/>
              <w:left w:val="nil"/>
              <w:bottom w:val="single" w:sz="4" w:space="0" w:color="auto"/>
              <w:right w:val="single" w:sz="4" w:space="0" w:color="auto"/>
            </w:tcBorders>
            <w:shd w:val="clear" w:color="auto" w:fill="C4EFCE"/>
            <w:vAlign w:val="center"/>
            <w:hideMark/>
          </w:tcPr>
          <w:p w14:paraId="06748DE1" w14:textId="77777777" w:rsidR="00776A1F" w:rsidRDefault="00D8574B">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4073977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86F9A4" w14:textId="77777777" w:rsidR="00776A1F" w:rsidRDefault="00D8574B">
            <w:pPr>
              <w:pStyle w:val="P68B1DB1-Normal23"/>
              <w:spacing w:after="0"/>
              <w:jc w:val="both"/>
              <w:rPr>
                <w:rFonts w:eastAsia="Calibri" w:cs="Calibri"/>
                <w:noProof/>
              </w:rPr>
            </w:pPr>
            <w:r>
              <w:rPr>
                <w:noProof/>
              </w:rPr>
              <w:t>Plaši atvērti tiešsaistes kursi skolotājiem un vecākiem ARA</w:t>
            </w:r>
          </w:p>
        </w:tc>
      </w:tr>
      <w:tr w:rsidR="00776A1F" w14:paraId="6530CA1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22635" w14:textId="77777777" w:rsidR="00776A1F" w:rsidRDefault="00D8574B">
            <w:pPr>
              <w:pStyle w:val="P68B1DB1-Normal23"/>
              <w:spacing w:after="0"/>
              <w:jc w:val="center"/>
              <w:rPr>
                <w:rFonts w:eastAsia="Calibri" w:cs="Calibri"/>
                <w:noProof/>
              </w:rPr>
            </w:pPr>
            <w:r>
              <w:rPr>
                <w:noProof/>
              </w:rPr>
              <w:t>20.16</w:t>
            </w:r>
          </w:p>
        </w:tc>
        <w:tc>
          <w:tcPr>
            <w:tcW w:w="1760" w:type="dxa"/>
            <w:tcBorders>
              <w:top w:val="nil"/>
              <w:left w:val="nil"/>
              <w:bottom w:val="single" w:sz="4" w:space="0" w:color="auto"/>
              <w:right w:val="single" w:sz="4" w:space="0" w:color="auto"/>
            </w:tcBorders>
            <w:shd w:val="clear" w:color="auto" w:fill="C4EFCE"/>
            <w:vAlign w:val="center"/>
            <w:hideMark/>
          </w:tcPr>
          <w:p w14:paraId="29607BDF" w14:textId="77777777" w:rsidR="00776A1F" w:rsidRDefault="00D8574B">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757CF1D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56275C" w14:textId="77777777" w:rsidR="00776A1F" w:rsidRDefault="00D8574B">
            <w:pPr>
              <w:pStyle w:val="P68B1DB1-Normal23"/>
              <w:spacing w:after="0"/>
              <w:jc w:val="both"/>
              <w:rPr>
                <w:rFonts w:eastAsia="Calibri" w:cs="Calibri"/>
                <w:noProof/>
              </w:rPr>
            </w:pPr>
            <w:r>
              <w:rPr>
                <w:noProof/>
              </w:rPr>
              <w:t>Digitālās rokasgrāmatas 2. un 3. cikla skolēniem un ARM vidusskolēniem</w:t>
            </w:r>
          </w:p>
        </w:tc>
      </w:tr>
      <w:tr w:rsidR="00776A1F" w14:paraId="412F7A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C4B942" w14:textId="77777777" w:rsidR="00776A1F" w:rsidRDefault="00D8574B">
            <w:pPr>
              <w:pStyle w:val="P68B1DB1-Normal23"/>
              <w:spacing w:after="0"/>
              <w:jc w:val="center"/>
              <w:rPr>
                <w:rFonts w:eastAsia="Calibri" w:cs="Calibri"/>
                <w:noProof/>
              </w:rPr>
            </w:pPr>
            <w:r>
              <w:rPr>
                <w:noProof/>
              </w:rPr>
              <w:t>20.17</w:t>
            </w:r>
          </w:p>
        </w:tc>
        <w:tc>
          <w:tcPr>
            <w:tcW w:w="1760" w:type="dxa"/>
            <w:tcBorders>
              <w:top w:val="nil"/>
              <w:left w:val="nil"/>
              <w:bottom w:val="single" w:sz="4" w:space="0" w:color="auto"/>
              <w:right w:val="single" w:sz="4" w:space="0" w:color="auto"/>
            </w:tcBorders>
            <w:shd w:val="clear" w:color="auto" w:fill="C4EFCE"/>
            <w:vAlign w:val="center"/>
            <w:hideMark/>
          </w:tcPr>
          <w:p w14:paraId="6503CC9A" w14:textId="77777777" w:rsidR="00776A1F" w:rsidRDefault="00D8574B">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5DCD0F8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DA8BBC" w14:textId="5BA216F8" w:rsidR="00776A1F" w:rsidRDefault="00D8574B">
            <w:pPr>
              <w:pStyle w:val="P68B1DB1-Normal23"/>
              <w:spacing w:after="0"/>
              <w:jc w:val="both"/>
              <w:rPr>
                <w:rFonts w:eastAsia="Calibri" w:cs="Calibri"/>
                <w:noProof/>
              </w:rPr>
            </w:pPr>
            <w:r>
              <w:rPr>
                <w:noProof/>
              </w:rPr>
              <w:t>Skolotāju un ar mācīšanu nesaistītu darbinieku apmācība par digitālajām kompetencēm AZS</w:t>
            </w:r>
          </w:p>
        </w:tc>
      </w:tr>
      <w:tr w:rsidR="00776A1F" w14:paraId="7AFE04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729423" w14:textId="77777777" w:rsidR="00776A1F" w:rsidRDefault="00D8574B">
            <w:pPr>
              <w:pStyle w:val="P68B1DB1-Normal23"/>
              <w:spacing w:after="0"/>
              <w:jc w:val="center"/>
              <w:rPr>
                <w:rFonts w:eastAsia="Calibri" w:cs="Calibri"/>
                <w:noProof/>
              </w:rPr>
            </w:pPr>
            <w:r>
              <w:rPr>
                <w:noProof/>
              </w:rPr>
              <w:t>20.18</w:t>
            </w:r>
          </w:p>
        </w:tc>
        <w:tc>
          <w:tcPr>
            <w:tcW w:w="1760" w:type="dxa"/>
            <w:tcBorders>
              <w:top w:val="nil"/>
              <w:left w:val="nil"/>
              <w:bottom w:val="single" w:sz="4" w:space="0" w:color="auto"/>
              <w:right w:val="single" w:sz="4" w:space="0" w:color="auto"/>
            </w:tcBorders>
            <w:shd w:val="clear" w:color="auto" w:fill="C4EFCE"/>
            <w:vAlign w:val="center"/>
            <w:hideMark/>
          </w:tcPr>
          <w:p w14:paraId="27A9F236" w14:textId="77777777" w:rsidR="00776A1F" w:rsidRDefault="00D8574B">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3DBDBFE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37718C5" w14:textId="77777777" w:rsidR="00776A1F" w:rsidRDefault="00D8574B">
            <w:pPr>
              <w:pStyle w:val="P68B1DB1-Normal23"/>
              <w:spacing w:after="0"/>
              <w:jc w:val="both"/>
              <w:rPr>
                <w:rFonts w:eastAsia="Calibri" w:cs="Calibri"/>
                <w:noProof/>
              </w:rPr>
            </w:pPr>
            <w:r>
              <w:rPr>
                <w:noProof/>
              </w:rPr>
              <w:t>Zinātniskā un tehnoloģiskā aprīkojuma piegāde AZM skolām</w:t>
            </w:r>
          </w:p>
        </w:tc>
      </w:tr>
      <w:tr w:rsidR="00776A1F" w14:paraId="007A1F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11A244" w14:textId="77777777" w:rsidR="00776A1F" w:rsidRDefault="00D8574B">
            <w:pPr>
              <w:pStyle w:val="P68B1DB1-Normal23"/>
              <w:spacing w:after="0"/>
              <w:jc w:val="center"/>
              <w:rPr>
                <w:rFonts w:eastAsia="Calibri" w:cs="Calibri"/>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058AF46E" w14:textId="77777777" w:rsidR="00776A1F" w:rsidRDefault="00D8574B">
            <w:pPr>
              <w:pStyle w:val="P68B1DB1-Normal23"/>
              <w:spacing w:after="0"/>
              <w:jc w:val="center"/>
              <w:rPr>
                <w:rFonts w:eastAsia="Calibri" w:cs="Calibri"/>
                <w:noProof/>
              </w:rPr>
            </w:pPr>
            <w:r>
              <w:rPr>
                <w:noProof/>
              </w:rPr>
              <w:t>RP-C21-i02</w:t>
            </w:r>
          </w:p>
        </w:tc>
        <w:tc>
          <w:tcPr>
            <w:tcW w:w="1520" w:type="dxa"/>
            <w:tcBorders>
              <w:top w:val="nil"/>
              <w:left w:val="nil"/>
              <w:bottom w:val="single" w:sz="4" w:space="0" w:color="auto"/>
              <w:right w:val="single" w:sz="4" w:space="0" w:color="auto"/>
            </w:tcBorders>
            <w:shd w:val="clear" w:color="auto" w:fill="C4EFCE"/>
            <w:vAlign w:val="center"/>
            <w:hideMark/>
          </w:tcPr>
          <w:p w14:paraId="3ECFDED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7A42DB4" w14:textId="77777777" w:rsidR="00776A1F" w:rsidRDefault="00D8574B">
            <w:pPr>
              <w:pStyle w:val="P68B1DB1-Normal23"/>
              <w:spacing w:after="0"/>
              <w:jc w:val="both"/>
              <w:rPr>
                <w:rFonts w:eastAsia="Calibri" w:cs="Calibri"/>
                <w:noProof/>
              </w:rPr>
            </w:pPr>
            <w:r>
              <w:rPr>
                <w:noProof/>
              </w:rPr>
              <w:t>Privāto dzīvojamo ēku energoefektivitātes renovācija</w:t>
            </w:r>
          </w:p>
        </w:tc>
      </w:tr>
      <w:tr w:rsidR="00776A1F" w14:paraId="44A00B2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80B7B9B" w14:textId="77777777" w:rsidR="00776A1F" w:rsidRDefault="00D8574B">
            <w:pPr>
              <w:pStyle w:val="P68B1DB1-Normal23"/>
              <w:spacing w:after="0"/>
              <w:jc w:val="center"/>
              <w:rPr>
                <w:rFonts w:eastAsia="Calibri" w:cs="Calibri"/>
                <w:noProof/>
              </w:rPr>
            </w:pPr>
            <w:r>
              <w:rPr>
                <w:noProof/>
              </w:rPr>
              <w:t>21.3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B91DD3A" w14:textId="77777777" w:rsidR="00776A1F" w:rsidRDefault="00D8574B">
            <w:pPr>
              <w:pStyle w:val="P68B1DB1-Normal23"/>
              <w:spacing w:after="0"/>
              <w:jc w:val="center"/>
              <w:rPr>
                <w:rFonts w:eastAsia="Calibri" w:cs="Calibri"/>
                <w:noProof/>
              </w:rPr>
            </w:pPr>
            <w:r>
              <w:rPr>
                <w:noProof/>
              </w:rPr>
              <w:t>RP-C21-i02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5E0B8E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2391DF" w14:textId="52537185" w:rsidR="00776A1F" w:rsidRDefault="00D8574B">
            <w:pPr>
              <w:pStyle w:val="P68B1DB1-Normal23"/>
              <w:spacing w:after="0"/>
              <w:jc w:val="both"/>
              <w:rPr>
                <w:rFonts w:eastAsia="Calibri" w:cs="Calibri"/>
                <w:noProof/>
              </w:rPr>
            </w:pPr>
            <w:r>
              <w:rPr>
                <w:noProof/>
              </w:rPr>
              <w:t>Papildu atjaunīgās enerģijas ražošanas jauda pašpatēriņam un izmantošanai atjaunojamo energoresursu energokopienās privāto dzīvojamo ēku sektorā</w:t>
            </w:r>
          </w:p>
        </w:tc>
      </w:tr>
      <w:tr w:rsidR="00776A1F" w14:paraId="2E3B4A3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D99E28" w14:textId="77777777" w:rsidR="00776A1F" w:rsidRDefault="00D8574B">
            <w:pPr>
              <w:pStyle w:val="P68B1DB1-Normal23"/>
              <w:spacing w:after="0"/>
              <w:jc w:val="center"/>
              <w:rPr>
                <w:rFonts w:eastAsia="Calibri" w:cs="Calibri"/>
                <w:noProof/>
              </w:rPr>
            </w:pPr>
            <w:r>
              <w:rPr>
                <w:noProof/>
              </w:rPr>
              <w:t>21.5</w:t>
            </w:r>
          </w:p>
        </w:tc>
        <w:tc>
          <w:tcPr>
            <w:tcW w:w="1760" w:type="dxa"/>
            <w:tcBorders>
              <w:top w:val="nil"/>
              <w:left w:val="nil"/>
              <w:bottom w:val="single" w:sz="4" w:space="0" w:color="auto"/>
              <w:right w:val="single" w:sz="4" w:space="0" w:color="auto"/>
            </w:tcBorders>
            <w:shd w:val="clear" w:color="auto" w:fill="C4EFCE"/>
            <w:vAlign w:val="center"/>
            <w:hideMark/>
          </w:tcPr>
          <w:p w14:paraId="19953216" w14:textId="77777777" w:rsidR="00776A1F" w:rsidRDefault="00D8574B">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0BAF296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D3D265" w14:textId="3EA05A82" w:rsidR="00776A1F" w:rsidRDefault="00D8574B">
            <w:pPr>
              <w:pStyle w:val="P68B1DB1-Normal23"/>
              <w:spacing w:after="0"/>
              <w:jc w:val="both"/>
              <w:rPr>
                <w:rFonts w:eastAsia="Calibri" w:cs="Calibri"/>
                <w:noProof/>
              </w:rPr>
            </w:pPr>
            <w:r>
              <w:rPr>
                <w:noProof/>
              </w:rPr>
              <w:t>Papildu atjaunīgās enerģijas ražošanas jauda pašpatēriņam un atjaunojamās enerģijas izmantošanai kopienu vajadzībām sabiedrisko pakalpojumu sektorā izmantotajās renovētās ēkās</w:t>
            </w:r>
          </w:p>
        </w:tc>
      </w:tr>
      <w:tr w:rsidR="00776A1F" w14:paraId="060AEF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9A7ABE" w14:textId="77777777" w:rsidR="00776A1F" w:rsidRDefault="00D8574B">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48639A4C" w14:textId="77777777" w:rsidR="00776A1F" w:rsidRDefault="00D8574B">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3023363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E2D4CF" w14:textId="77777777" w:rsidR="00776A1F" w:rsidRDefault="00D8574B">
            <w:pPr>
              <w:pStyle w:val="P68B1DB1-Normal23"/>
              <w:spacing w:after="0"/>
              <w:jc w:val="both"/>
              <w:rPr>
                <w:rFonts w:eastAsia="Calibri" w:cs="Calibri"/>
                <w:noProof/>
              </w:rPr>
            </w:pPr>
            <w:r>
              <w:rPr>
                <w:noProof/>
              </w:rPr>
              <w:t>Energoefektivitātes renovācija sabiedrisko pakalpojumu ēkās</w:t>
            </w:r>
          </w:p>
        </w:tc>
      </w:tr>
      <w:tr w:rsidR="00776A1F" w14:paraId="1EC0C3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C8C3318" w14:textId="77777777" w:rsidR="00776A1F" w:rsidRDefault="00D8574B">
            <w:pPr>
              <w:pStyle w:val="P68B1DB1-Normal23"/>
              <w:spacing w:after="0"/>
              <w:jc w:val="center"/>
              <w:rPr>
                <w:rFonts w:eastAsia="Calibri" w:cs="Calibri"/>
                <w:noProof/>
              </w:rPr>
            </w:pPr>
            <w:r>
              <w:rPr>
                <w:noProof/>
              </w:rPr>
              <w:t>21.15</w:t>
            </w:r>
          </w:p>
        </w:tc>
        <w:tc>
          <w:tcPr>
            <w:tcW w:w="1760" w:type="dxa"/>
            <w:tcBorders>
              <w:top w:val="nil"/>
              <w:left w:val="nil"/>
              <w:bottom w:val="single" w:sz="4" w:space="0" w:color="auto"/>
              <w:right w:val="single" w:sz="4" w:space="0" w:color="auto"/>
            </w:tcBorders>
            <w:shd w:val="clear" w:color="auto" w:fill="C4EFCE"/>
            <w:vAlign w:val="center"/>
            <w:hideMark/>
          </w:tcPr>
          <w:p w14:paraId="599107CB" w14:textId="3DFFAC63" w:rsidR="00776A1F" w:rsidRDefault="00D8574B">
            <w:pPr>
              <w:pStyle w:val="P68B1DB1-Normal23"/>
              <w:spacing w:after="0"/>
              <w:jc w:val="center"/>
              <w:rPr>
                <w:rFonts w:eastAsia="Calibri" w:cs="Calibri"/>
                <w:noProof/>
              </w:rPr>
            </w:pPr>
            <w:r>
              <w:rPr>
                <w:noProof/>
              </w:rPr>
              <w:t>RP-C21–r45</w:t>
            </w:r>
          </w:p>
        </w:tc>
        <w:tc>
          <w:tcPr>
            <w:tcW w:w="1520" w:type="dxa"/>
            <w:tcBorders>
              <w:top w:val="nil"/>
              <w:left w:val="nil"/>
              <w:bottom w:val="single" w:sz="4" w:space="0" w:color="auto"/>
              <w:right w:val="single" w:sz="4" w:space="0" w:color="auto"/>
            </w:tcBorders>
            <w:shd w:val="clear" w:color="auto" w:fill="C4EFCE"/>
            <w:vAlign w:val="center"/>
            <w:hideMark/>
          </w:tcPr>
          <w:p w14:paraId="2BE4DC2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DD8840" w14:textId="77777777" w:rsidR="00776A1F" w:rsidRDefault="00D8574B">
            <w:pPr>
              <w:pStyle w:val="P68B1DB1-Normal23"/>
              <w:spacing w:after="0"/>
              <w:jc w:val="both"/>
              <w:rPr>
                <w:rFonts w:eastAsia="Calibri" w:cs="Calibri"/>
                <w:noProof/>
              </w:rPr>
            </w:pPr>
            <w:r>
              <w:rPr>
                <w:noProof/>
              </w:rPr>
              <w:t>Zaļo prasmju apmācības pasākumi</w:t>
            </w:r>
          </w:p>
        </w:tc>
      </w:tr>
      <w:tr w:rsidR="00776A1F" w14:paraId="088199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24BDC1" w14:textId="77777777" w:rsidR="00776A1F" w:rsidRDefault="00D8574B">
            <w:pPr>
              <w:pStyle w:val="P68B1DB1-Normal23"/>
              <w:spacing w:after="0"/>
              <w:jc w:val="center"/>
              <w:rPr>
                <w:rFonts w:eastAsia="Calibri" w:cs="Calibri"/>
                <w:noProof/>
              </w:rPr>
            </w:pPr>
            <w:r>
              <w:rPr>
                <w:noProof/>
              </w:rPr>
              <w:t>21.29</w:t>
            </w:r>
          </w:p>
        </w:tc>
        <w:tc>
          <w:tcPr>
            <w:tcW w:w="1760" w:type="dxa"/>
            <w:tcBorders>
              <w:top w:val="nil"/>
              <w:left w:val="nil"/>
              <w:bottom w:val="single" w:sz="4" w:space="0" w:color="auto"/>
              <w:right w:val="single" w:sz="4" w:space="0" w:color="auto"/>
            </w:tcBorders>
            <w:shd w:val="clear" w:color="auto" w:fill="C4EFCE"/>
            <w:vAlign w:val="center"/>
            <w:hideMark/>
          </w:tcPr>
          <w:p w14:paraId="709081FB" w14:textId="160BC41F" w:rsidR="00776A1F" w:rsidRDefault="00D8574B">
            <w:pPr>
              <w:pStyle w:val="P68B1DB1-Normal23"/>
              <w:spacing w:after="0"/>
              <w:jc w:val="center"/>
              <w:rPr>
                <w:rFonts w:eastAsia="Calibri" w:cs="Calibri"/>
                <w:noProof/>
              </w:rPr>
            </w:pPr>
            <w:r>
              <w:rPr>
                <w:noProof/>
              </w:rPr>
              <w:t>RP-C21-i08</w:t>
            </w:r>
          </w:p>
        </w:tc>
        <w:tc>
          <w:tcPr>
            <w:tcW w:w="1520" w:type="dxa"/>
            <w:tcBorders>
              <w:top w:val="nil"/>
              <w:left w:val="nil"/>
              <w:bottom w:val="single" w:sz="4" w:space="0" w:color="auto"/>
              <w:right w:val="single" w:sz="4" w:space="0" w:color="auto"/>
            </w:tcBorders>
            <w:shd w:val="clear" w:color="auto" w:fill="C4EFCE"/>
            <w:vAlign w:val="center"/>
            <w:hideMark/>
          </w:tcPr>
          <w:p w14:paraId="72D7777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F0EDEAE" w14:textId="77777777" w:rsidR="00776A1F" w:rsidRDefault="00D8574B">
            <w:pPr>
              <w:pStyle w:val="P68B1DB1-Normal23"/>
              <w:spacing w:after="0"/>
              <w:jc w:val="both"/>
              <w:rPr>
                <w:rFonts w:eastAsia="Calibri" w:cs="Calibri"/>
                <w:noProof/>
              </w:rPr>
            </w:pPr>
            <w:r>
              <w:rPr>
                <w:noProof/>
              </w:rPr>
              <w:t>Elektroenerģijas uzkrāšanas jaudas uzstādīšana</w:t>
            </w:r>
          </w:p>
        </w:tc>
      </w:tr>
      <w:tr w:rsidR="00776A1F" w14:paraId="182B19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FB9F7E" w14:textId="77777777" w:rsidR="00776A1F" w:rsidRDefault="00D8574B">
            <w:pPr>
              <w:pStyle w:val="P68B1DB1-Normal23"/>
              <w:spacing w:after="0"/>
              <w:jc w:val="center"/>
              <w:rPr>
                <w:rFonts w:eastAsia="Calibri" w:cs="Calibri"/>
                <w:noProof/>
              </w:rPr>
            </w:pPr>
            <w:r>
              <w:rPr>
                <w:noProof/>
              </w:rPr>
              <w:t>21.32</w:t>
            </w:r>
          </w:p>
        </w:tc>
        <w:tc>
          <w:tcPr>
            <w:tcW w:w="1760" w:type="dxa"/>
            <w:tcBorders>
              <w:top w:val="nil"/>
              <w:left w:val="nil"/>
              <w:bottom w:val="single" w:sz="4" w:space="0" w:color="auto"/>
              <w:right w:val="single" w:sz="4" w:space="0" w:color="auto"/>
            </w:tcBorders>
            <w:shd w:val="clear" w:color="auto" w:fill="C4EFCE"/>
            <w:vAlign w:val="center"/>
            <w:hideMark/>
          </w:tcPr>
          <w:p w14:paraId="4622A906" w14:textId="5BFBA1D2" w:rsidR="00776A1F" w:rsidRDefault="00D8574B">
            <w:pPr>
              <w:pStyle w:val="P68B1DB1-Normal23"/>
              <w:spacing w:after="0"/>
              <w:jc w:val="center"/>
              <w:rPr>
                <w:rFonts w:eastAsia="Calibri" w:cs="Calibri"/>
                <w:noProof/>
              </w:rPr>
            </w:pPr>
            <w:r>
              <w:rPr>
                <w:noProof/>
              </w:rPr>
              <w:t>RP-C21-i10-RAA</w:t>
            </w:r>
          </w:p>
        </w:tc>
        <w:tc>
          <w:tcPr>
            <w:tcW w:w="1520" w:type="dxa"/>
            <w:tcBorders>
              <w:top w:val="nil"/>
              <w:left w:val="nil"/>
              <w:bottom w:val="single" w:sz="4" w:space="0" w:color="auto"/>
              <w:right w:val="single" w:sz="4" w:space="0" w:color="auto"/>
            </w:tcBorders>
            <w:shd w:val="clear" w:color="auto" w:fill="C4EFCE"/>
            <w:vAlign w:val="center"/>
            <w:hideMark/>
          </w:tcPr>
          <w:p w14:paraId="3ABB159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37DD21" w14:textId="77777777" w:rsidR="00776A1F" w:rsidRDefault="00D8574B">
            <w:pPr>
              <w:pStyle w:val="P68B1DB1-Normal23"/>
              <w:spacing w:after="0"/>
              <w:jc w:val="both"/>
              <w:rPr>
                <w:rFonts w:eastAsia="Calibri" w:cs="Calibri"/>
                <w:noProof/>
              </w:rPr>
            </w:pPr>
            <w:r>
              <w:rPr>
                <w:noProof/>
              </w:rPr>
              <w:t>Elektroenerģijas uzkrāšanas jaudas uzstādīšana</w:t>
            </w:r>
          </w:p>
        </w:tc>
      </w:tr>
      <w:tr w:rsidR="00776A1F" w14:paraId="54999B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7752ED" w14:textId="77777777" w:rsidR="00776A1F" w:rsidRDefault="00D8574B">
            <w:pPr>
              <w:pStyle w:val="P68B1DB1-Normal23"/>
              <w:spacing w:after="0"/>
              <w:jc w:val="center"/>
              <w:rPr>
                <w:rFonts w:eastAsia="Calibri" w:cs="Calibri"/>
                <w:noProof/>
              </w:rPr>
            </w:pPr>
            <w:r>
              <w:rPr>
                <w:noProof/>
              </w:rPr>
              <w:t>21.34</w:t>
            </w:r>
          </w:p>
        </w:tc>
        <w:tc>
          <w:tcPr>
            <w:tcW w:w="1760" w:type="dxa"/>
            <w:tcBorders>
              <w:top w:val="nil"/>
              <w:left w:val="nil"/>
              <w:bottom w:val="single" w:sz="4" w:space="0" w:color="auto"/>
              <w:right w:val="single" w:sz="4" w:space="0" w:color="auto"/>
            </w:tcBorders>
            <w:shd w:val="clear" w:color="auto" w:fill="C4EFCE"/>
            <w:vAlign w:val="center"/>
            <w:hideMark/>
          </w:tcPr>
          <w:p w14:paraId="24B53CC5" w14:textId="65310D0F" w:rsidR="00776A1F" w:rsidRDefault="00D8574B">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E90FE8"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1415EB" w14:textId="77777777" w:rsidR="00776A1F" w:rsidRDefault="00D8574B">
            <w:pPr>
              <w:pStyle w:val="P68B1DB1-Normal23"/>
              <w:spacing w:after="0"/>
              <w:jc w:val="both"/>
              <w:rPr>
                <w:rFonts w:eastAsia="Calibri" w:cs="Calibri"/>
                <w:noProof/>
              </w:rPr>
            </w:pPr>
            <w:r>
              <w:rPr>
                <w:noProof/>
              </w:rPr>
              <w:t>Uzstādītās vēja enerģijas jaudas stiprināšana</w:t>
            </w:r>
          </w:p>
        </w:tc>
      </w:tr>
      <w:tr w:rsidR="00776A1F" w14:paraId="44FCEE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F55A38" w14:textId="77777777" w:rsidR="00776A1F" w:rsidRDefault="00D8574B">
            <w:pPr>
              <w:pStyle w:val="P68B1DB1-Normal23"/>
              <w:spacing w:after="0"/>
              <w:jc w:val="center"/>
              <w:rPr>
                <w:rFonts w:eastAsia="Calibri" w:cs="Calibri"/>
                <w:noProof/>
              </w:rPr>
            </w:pPr>
            <w:r>
              <w:rPr>
                <w:noProof/>
              </w:rPr>
              <w:t>21.41</w:t>
            </w:r>
          </w:p>
        </w:tc>
        <w:tc>
          <w:tcPr>
            <w:tcW w:w="1760" w:type="dxa"/>
            <w:tcBorders>
              <w:top w:val="nil"/>
              <w:left w:val="nil"/>
              <w:bottom w:val="single" w:sz="4" w:space="0" w:color="auto"/>
              <w:right w:val="single" w:sz="4" w:space="0" w:color="auto"/>
            </w:tcBorders>
            <w:shd w:val="clear" w:color="auto" w:fill="C4EFCE"/>
            <w:vAlign w:val="center"/>
            <w:hideMark/>
          </w:tcPr>
          <w:p w14:paraId="1692D62F" w14:textId="64537686" w:rsidR="00776A1F" w:rsidRDefault="00D8574B">
            <w:pPr>
              <w:pStyle w:val="P68B1DB1-Normal23"/>
              <w:spacing w:after="0"/>
              <w:jc w:val="center"/>
              <w:rPr>
                <w:rFonts w:eastAsia="Calibri" w:cs="Calibri"/>
                <w:noProof/>
              </w:rPr>
            </w:pPr>
            <w:r>
              <w:rPr>
                <w:noProof/>
              </w:rPr>
              <w:t>RP-C21-i15-RAA</w:t>
            </w:r>
          </w:p>
        </w:tc>
        <w:tc>
          <w:tcPr>
            <w:tcW w:w="1520" w:type="dxa"/>
            <w:tcBorders>
              <w:top w:val="nil"/>
              <w:left w:val="nil"/>
              <w:bottom w:val="single" w:sz="4" w:space="0" w:color="auto"/>
              <w:right w:val="single" w:sz="4" w:space="0" w:color="auto"/>
            </w:tcBorders>
            <w:shd w:val="clear" w:color="auto" w:fill="C4EFCE"/>
            <w:vAlign w:val="center"/>
            <w:hideMark/>
          </w:tcPr>
          <w:p w14:paraId="1A2F99A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254CB8" w14:textId="77777777" w:rsidR="00776A1F" w:rsidRDefault="00D8574B">
            <w:pPr>
              <w:pStyle w:val="P68B1DB1-Normal23"/>
              <w:spacing w:after="0"/>
              <w:jc w:val="both"/>
              <w:rPr>
                <w:rFonts w:eastAsia="Calibri" w:cs="Calibri"/>
                <w:noProof/>
              </w:rPr>
            </w:pPr>
            <w:r>
              <w:rPr>
                <w:noProof/>
              </w:rPr>
              <w:t>Divu jaunu elektrisko prāmju ekspluatācijas uzsākšana</w:t>
            </w:r>
          </w:p>
        </w:tc>
      </w:tr>
      <w:tr w:rsidR="00776A1F" w14:paraId="4686FE2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496107"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381C23FB" w14:textId="77777777" w:rsidR="00776A1F" w:rsidRDefault="00D8574B">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2A9D373E"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tcBorders>
              <w:top w:val="nil"/>
              <w:left w:val="nil"/>
              <w:bottom w:val="single" w:sz="4" w:space="0" w:color="auto"/>
              <w:right w:val="single" w:sz="4" w:space="0" w:color="auto"/>
            </w:tcBorders>
            <w:shd w:val="clear" w:color="auto" w:fill="C4EFCE"/>
            <w:vAlign w:val="center"/>
            <w:hideMark/>
          </w:tcPr>
          <w:p w14:paraId="6C5CFDF1" w14:textId="3C8B9DE9" w:rsidR="00776A1F" w:rsidRDefault="00D8574B">
            <w:pPr>
              <w:pStyle w:val="P68B1DB1-Normal25"/>
              <w:spacing w:after="0" w:line="240" w:lineRule="auto"/>
              <w:jc w:val="center"/>
              <w:rPr>
                <w:rFonts w:cs="Calibri"/>
                <w:noProof/>
              </w:rPr>
            </w:pPr>
            <w:r>
              <w:rPr>
                <w:noProof/>
              </w:rPr>
              <w:t xml:space="preserve"> 2 284 617 001 EUR </w:t>
            </w:r>
          </w:p>
        </w:tc>
      </w:tr>
    </w:tbl>
    <w:p w14:paraId="43D05AA8" w14:textId="77777777" w:rsidR="00776A1F" w:rsidRDefault="00776A1F">
      <w:pPr>
        <w:keepNext/>
        <w:spacing w:before="40" w:after="160" w:line="259" w:lineRule="auto"/>
        <w:ind w:left="360"/>
        <w:contextualSpacing/>
        <w:jc w:val="both"/>
        <w:rPr>
          <w:rFonts w:ascii="Times New Roman" w:eastAsiaTheme="minorEastAsia" w:hAnsi="Times New Roman" w:cs="Times New Roman"/>
          <w:noProof/>
          <w:sz w:val="24"/>
        </w:rPr>
      </w:pPr>
    </w:p>
    <w:p w14:paraId="607CA0DB" w14:textId="77777777" w:rsidR="00776A1F" w:rsidRDefault="00776A1F">
      <w:pPr>
        <w:keepNext/>
        <w:spacing w:before="40" w:after="160" w:line="259" w:lineRule="auto"/>
        <w:ind w:left="360"/>
        <w:contextualSpacing/>
        <w:jc w:val="both"/>
        <w:rPr>
          <w:rFonts w:ascii="Times New Roman" w:eastAsiaTheme="minorEastAsia" w:hAnsi="Times New Roman" w:cs="Times New Roman"/>
          <w:noProof/>
          <w:sz w:val="24"/>
        </w:rPr>
      </w:pPr>
    </w:p>
    <w:p w14:paraId="2B32C5FC"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Desmitais maksājuma pieprasījums (neatmaksājams atbalsts): </w:t>
      </w:r>
    </w:p>
    <w:p w14:paraId="55E21E0D"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163"/>
        <w:gridCol w:w="1690"/>
        <w:gridCol w:w="1983"/>
        <w:gridCol w:w="4704"/>
      </w:tblGrid>
      <w:tr w:rsidR="00776A1F" w14:paraId="7D06A10D"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EA7B9D4"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390E370"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8722F55"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F8E9C14"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3D3D47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5D5E3F" w14:textId="77777777" w:rsidR="00776A1F" w:rsidRDefault="00D8574B">
            <w:pPr>
              <w:pStyle w:val="P68B1DB1-Normal23"/>
              <w:spacing w:after="0"/>
              <w:jc w:val="center"/>
              <w:rPr>
                <w:noProof/>
              </w:rPr>
            </w:pPr>
            <w:r>
              <w:rPr>
                <w:noProof/>
              </w:rPr>
              <w:t>1.15</w:t>
            </w:r>
          </w:p>
        </w:tc>
        <w:tc>
          <w:tcPr>
            <w:tcW w:w="1760" w:type="dxa"/>
            <w:tcBorders>
              <w:top w:val="nil"/>
              <w:left w:val="nil"/>
              <w:bottom w:val="single" w:sz="4" w:space="0" w:color="auto"/>
              <w:right w:val="single" w:sz="4" w:space="0" w:color="auto"/>
            </w:tcBorders>
            <w:shd w:val="clear" w:color="auto" w:fill="C4EFCE"/>
            <w:vAlign w:val="center"/>
            <w:hideMark/>
          </w:tcPr>
          <w:p w14:paraId="52F5475D" w14:textId="77777777" w:rsidR="00776A1F" w:rsidRDefault="00D8574B">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26BFA8A2"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1B52446" w14:textId="77777777" w:rsidR="00776A1F" w:rsidRDefault="00D8574B">
            <w:pPr>
              <w:pStyle w:val="P68B1DB1-Normal23"/>
              <w:spacing w:after="0"/>
              <w:jc w:val="both"/>
              <w:rPr>
                <w:rFonts w:eastAsia="Calibri" w:cs="Calibri"/>
                <w:noProof/>
              </w:rPr>
            </w:pPr>
            <w:r>
              <w:rPr>
                <w:noProof/>
              </w:rPr>
              <w:t>Jaunu veselības aprūpes vienību izveide</w:t>
            </w:r>
          </w:p>
        </w:tc>
      </w:tr>
      <w:tr w:rsidR="00776A1F" w14:paraId="6806F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F0C54B" w14:textId="77777777" w:rsidR="00776A1F" w:rsidRDefault="00D8574B">
            <w:pPr>
              <w:pStyle w:val="P68B1DB1-Normal23"/>
              <w:spacing w:after="0"/>
              <w:jc w:val="center"/>
              <w:rPr>
                <w:noProof/>
              </w:rPr>
            </w:pPr>
            <w:r>
              <w:rPr>
                <w:noProof/>
              </w:rPr>
              <w:t>1.16</w:t>
            </w:r>
          </w:p>
        </w:tc>
        <w:tc>
          <w:tcPr>
            <w:tcW w:w="1760" w:type="dxa"/>
            <w:tcBorders>
              <w:top w:val="nil"/>
              <w:left w:val="nil"/>
              <w:bottom w:val="single" w:sz="4" w:space="0" w:color="auto"/>
              <w:right w:val="single" w:sz="4" w:space="0" w:color="auto"/>
            </w:tcBorders>
            <w:shd w:val="clear" w:color="auto" w:fill="C4EFCE"/>
            <w:vAlign w:val="center"/>
            <w:hideMark/>
          </w:tcPr>
          <w:p w14:paraId="19CDD319" w14:textId="77777777" w:rsidR="00776A1F" w:rsidRDefault="00D8574B">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08281B82" w14:textId="77777777" w:rsidR="00776A1F" w:rsidRDefault="00D8574B">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5B41143" w14:textId="77777777" w:rsidR="00776A1F" w:rsidRDefault="00D8574B">
            <w:pPr>
              <w:pStyle w:val="P68B1DB1-Normal23"/>
              <w:spacing w:after="0"/>
              <w:jc w:val="both"/>
              <w:rPr>
                <w:rFonts w:eastAsia="Calibri" w:cs="Calibri"/>
                <w:noProof/>
              </w:rPr>
            </w:pPr>
            <w:r>
              <w:rPr>
                <w:noProof/>
              </w:rPr>
              <w:t>Pabeigt skrīninga un agrīnas diagnostikas programmu valsts segumu primārajā veselības aprūpē</w:t>
            </w:r>
          </w:p>
        </w:tc>
      </w:tr>
      <w:tr w:rsidR="00776A1F" w14:paraId="217E40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8A98AA" w14:textId="77777777" w:rsidR="00776A1F" w:rsidRDefault="00D8574B">
            <w:pPr>
              <w:pStyle w:val="P68B1DB1-Normal23"/>
              <w:spacing w:after="0"/>
              <w:jc w:val="center"/>
              <w:rPr>
                <w:noProof/>
              </w:rPr>
            </w:pPr>
            <w:r>
              <w:rPr>
                <w:noProof/>
              </w:rPr>
              <w:t>1.17</w:t>
            </w:r>
          </w:p>
        </w:tc>
        <w:tc>
          <w:tcPr>
            <w:tcW w:w="1760" w:type="dxa"/>
            <w:tcBorders>
              <w:top w:val="nil"/>
              <w:left w:val="nil"/>
              <w:bottom w:val="single" w:sz="4" w:space="0" w:color="auto"/>
              <w:right w:val="single" w:sz="4" w:space="0" w:color="auto"/>
            </w:tcBorders>
            <w:shd w:val="clear" w:color="auto" w:fill="C4EFCE"/>
            <w:vAlign w:val="center"/>
            <w:hideMark/>
          </w:tcPr>
          <w:p w14:paraId="790F9509" w14:textId="77777777" w:rsidR="00776A1F" w:rsidRDefault="00D8574B">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65D56E08" w14:textId="77777777" w:rsidR="00776A1F" w:rsidRDefault="00D8574B">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7EB1B2C" w14:textId="77777777" w:rsidR="00776A1F" w:rsidRDefault="00D8574B">
            <w:pPr>
              <w:pStyle w:val="P68B1DB1-Normal23"/>
              <w:spacing w:after="0"/>
              <w:jc w:val="both"/>
              <w:rPr>
                <w:rFonts w:eastAsia="Calibri" w:cs="Calibri"/>
                <w:noProof/>
              </w:rPr>
            </w:pPr>
            <w:r>
              <w:rPr>
                <w:noProof/>
              </w:rPr>
              <w:t>Palielināt primāro veselības aprūpes centru reaģēšanas spējas un paplašināt to intervences jomas</w:t>
            </w:r>
          </w:p>
        </w:tc>
      </w:tr>
      <w:tr w:rsidR="00776A1F" w14:paraId="01A92F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38C9033" w14:textId="77777777" w:rsidR="00776A1F" w:rsidRDefault="00D8574B">
            <w:pPr>
              <w:pStyle w:val="P68B1DB1-Normal23"/>
              <w:spacing w:after="0"/>
              <w:jc w:val="center"/>
              <w:rPr>
                <w:noProof/>
              </w:rPr>
            </w:pPr>
            <w:r>
              <w:rPr>
                <w:noProof/>
              </w:rPr>
              <w:t>1.18</w:t>
            </w:r>
          </w:p>
        </w:tc>
        <w:tc>
          <w:tcPr>
            <w:tcW w:w="1760" w:type="dxa"/>
            <w:tcBorders>
              <w:top w:val="nil"/>
              <w:left w:val="nil"/>
              <w:bottom w:val="single" w:sz="4" w:space="0" w:color="auto"/>
              <w:right w:val="single" w:sz="4" w:space="0" w:color="auto"/>
            </w:tcBorders>
            <w:shd w:val="clear" w:color="auto" w:fill="C4EFCE"/>
            <w:vAlign w:val="center"/>
            <w:hideMark/>
          </w:tcPr>
          <w:p w14:paraId="4284A36F" w14:textId="77777777" w:rsidR="00776A1F" w:rsidRDefault="00D8574B">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757EA7EC" w14:textId="77777777" w:rsidR="00776A1F" w:rsidRDefault="00D8574B">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6FCF755" w14:textId="77777777" w:rsidR="00776A1F" w:rsidRDefault="00D8574B">
            <w:pPr>
              <w:pStyle w:val="P68B1DB1-Normal23"/>
              <w:spacing w:after="0"/>
              <w:jc w:val="both"/>
              <w:rPr>
                <w:rFonts w:eastAsia="Calibri" w:cs="Calibri"/>
                <w:noProof/>
              </w:rPr>
            </w:pPr>
            <w:r>
              <w:rPr>
                <w:noProof/>
              </w:rPr>
              <w:t>Veselības aprūpes iestāžu un aprīkojuma atjaunošana, lai nodrošinātu piekļuvi, kvalitāti un drošības apstākļus primārajos veselības centros</w:t>
            </w:r>
          </w:p>
        </w:tc>
      </w:tr>
      <w:tr w:rsidR="00776A1F" w14:paraId="5284CC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868D01" w14:textId="77777777" w:rsidR="00776A1F" w:rsidRDefault="00D8574B">
            <w:pPr>
              <w:pStyle w:val="P68B1DB1-Normal23"/>
              <w:spacing w:after="0"/>
              <w:jc w:val="center"/>
              <w:rPr>
                <w:noProof/>
              </w:rPr>
            </w:pPr>
            <w:r>
              <w:rPr>
                <w:noProof/>
              </w:rPr>
              <w:t>1.19</w:t>
            </w:r>
          </w:p>
        </w:tc>
        <w:tc>
          <w:tcPr>
            <w:tcW w:w="1760" w:type="dxa"/>
            <w:tcBorders>
              <w:top w:val="nil"/>
              <w:left w:val="nil"/>
              <w:bottom w:val="single" w:sz="4" w:space="0" w:color="auto"/>
              <w:right w:val="single" w:sz="4" w:space="0" w:color="auto"/>
            </w:tcBorders>
            <w:shd w:val="clear" w:color="auto" w:fill="C4EFCE"/>
            <w:vAlign w:val="center"/>
            <w:hideMark/>
          </w:tcPr>
          <w:p w14:paraId="0EDC48A4" w14:textId="77777777" w:rsidR="00776A1F" w:rsidRDefault="00D8574B">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33DB8263" w14:textId="77777777" w:rsidR="00776A1F" w:rsidRDefault="00D8574B">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25DC65" w14:textId="77777777" w:rsidR="00776A1F" w:rsidRDefault="00D8574B">
            <w:pPr>
              <w:pStyle w:val="P68B1DB1-Normal23"/>
              <w:spacing w:after="0"/>
              <w:jc w:val="both"/>
              <w:rPr>
                <w:rFonts w:eastAsia="Calibri" w:cs="Calibri"/>
                <w:noProof/>
              </w:rPr>
            </w:pPr>
            <w:r>
              <w:rPr>
                <w:noProof/>
              </w:rPr>
              <w:t>Kopienā balstītas aprūpes, mājas un kopienas pasākumu stiprināšana</w:t>
            </w:r>
          </w:p>
        </w:tc>
      </w:tr>
      <w:tr w:rsidR="00776A1F" w14:paraId="3D01E1B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AC2B30" w14:textId="77777777" w:rsidR="00776A1F" w:rsidRDefault="00D8574B">
            <w:pPr>
              <w:pStyle w:val="P68B1DB1-Normal23"/>
              <w:spacing w:after="0"/>
              <w:jc w:val="center"/>
              <w:rPr>
                <w:noProof/>
              </w:rPr>
            </w:pPr>
            <w:r>
              <w:rPr>
                <w:noProof/>
              </w:rPr>
              <w:t>1.26</w:t>
            </w:r>
          </w:p>
        </w:tc>
        <w:tc>
          <w:tcPr>
            <w:tcW w:w="1760" w:type="dxa"/>
            <w:tcBorders>
              <w:top w:val="nil"/>
              <w:left w:val="nil"/>
              <w:bottom w:val="single" w:sz="4" w:space="0" w:color="auto"/>
              <w:right w:val="single" w:sz="4" w:space="0" w:color="auto"/>
            </w:tcBorders>
            <w:shd w:val="clear" w:color="auto" w:fill="C4EFCE"/>
            <w:vAlign w:val="center"/>
            <w:hideMark/>
          </w:tcPr>
          <w:p w14:paraId="2701A855" w14:textId="77777777" w:rsidR="00776A1F" w:rsidRDefault="00D8574B">
            <w:pPr>
              <w:pStyle w:val="P68B1DB1-Normal23"/>
              <w:spacing w:after="0"/>
              <w:jc w:val="center"/>
              <w:rPr>
                <w:noProof/>
              </w:rPr>
            </w:pPr>
            <w:r>
              <w:rPr>
                <w:noProof/>
              </w:rPr>
              <w:t>Re-C01-i04</w:t>
            </w:r>
          </w:p>
        </w:tc>
        <w:tc>
          <w:tcPr>
            <w:tcW w:w="1520" w:type="dxa"/>
            <w:tcBorders>
              <w:top w:val="nil"/>
              <w:left w:val="nil"/>
              <w:bottom w:val="single" w:sz="4" w:space="0" w:color="auto"/>
              <w:right w:val="single" w:sz="4" w:space="0" w:color="auto"/>
            </w:tcBorders>
            <w:shd w:val="clear" w:color="auto" w:fill="C4EFCE"/>
            <w:vAlign w:val="center"/>
            <w:hideMark/>
          </w:tcPr>
          <w:p w14:paraId="05A37AD5" w14:textId="77777777" w:rsidR="00776A1F" w:rsidRDefault="00D8574B">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BABE876" w14:textId="77777777" w:rsidR="00776A1F" w:rsidRDefault="00D8574B">
            <w:pPr>
              <w:pStyle w:val="P68B1DB1-Normal23"/>
              <w:spacing w:after="0"/>
              <w:jc w:val="both"/>
              <w:rPr>
                <w:rFonts w:eastAsia="Calibri" w:cs="Calibri"/>
                <w:noProof/>
              </w:rPr>
            </w:pPr>
            <w:r>
              <w:rPr>
                <w:noProof/>
              </w:rPr>
              <w:t>Austrumslimnīcas būvniecība un aprīkojuma iegāde slimnīcām Lisabonā un Vale do Tejo</w:t>
            </w:r>
          </w:p>
        </w:tc>
      </w:tr>
      <w:tr w:rsidR="00776A1F" w14:paraId="3D441B1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3D0439" w14:textId="77777777" w:rsidR="00776A1F" w:rsidRDefault="00D8574B">
            <w:pPr>
              <w:pStyle w:val="P68B1DB1-Normal23"/>
              <w:spacing w:after="0"/>
              <w:jc w:val="center"/>
              <w:rPr>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1BD7B0E9" w14:textId="77777777" w:rsidR="00776A1F" w:rsidRDefault="00D8574B">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3CAAA8F2"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A201EA2" w14:textId="77777777" w:rsidR="00776A1F" w:rsidRDefault="00D8574B">
            <w:pPr>
              <w:pStyle w:val="P68B1DB1-Normal23"/>
              <w:spacing w:after="0"/>
              <w:jc w:val="both"/>
              <w:rPr>
                <w:rFonts w:eastAsia="Calibri" w:cs="Calibri"/>
                <w:noProof/>
              </w:rPr>
            </w:pPr>
            <w:r>
              <w:rPr>
                <w:noProof/>
              </w:rPr>
              <w:t>Madeiras reģionālā veselības dienesta mājas hospitalizācijas sistēmā pieejamo vietu skaita pieaugums</w:t>
            </w:r>
          </w:p>
        </w:tc>
      </w:tr>
      <w:tr w:rsidR="00776A1F" w14:paraId="5762E4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CF62DE" w14:textId="77777777" w:rsidR="00776A1F" w:rsidRDefault="00D8574B">
            <w:pPr>
              <w:pStyle w:val="P68B1DB1-Normal23"/>
              <w:spacing w:after="0"/>
              <w:jc w:val="center"/>
              <w:rPr>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710DCFA" w14:textId="77777777" w:rsidR="00776A1F" w:rsidRDefault="00D8574B">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CFA463F"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865E083" w14:textId="77777777" w:rsidR="00776A1F" w:rsidRDefault="00D8574B">
            <w:pPr>
              <w:pStyle w:val="P68B1DB1-Normal23"/>
              <w:spacing w:after="0"/>
              <w:jc w:val="both"/>
              <w:rPr>
                <w:rFonts w:eastAsia="Calibri" w:cs="Calibri"/>
                <w:noProof/>
              </w:rPr>
            </w:pPr>
            <w:r>
              <w:rPr>
                <w:noProof/>
              </w:rPr>
              <w:t>Kopienu garīgās veselības komandu izveide Madeiras reģionālajā veselības dienestā</w:t>
            </w:r>
          </w:p>
        </w:tc>
      </w:tr>
      <w:tr w:rsidR="00776A1F" w14:paraId="01524A3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7ED4C9A" w14:textId="77777777" w:rsidR="00776A1F" w:rsidRDefault="00D8574B">
            <w:pPr>
              <w:pStyle w:val="P68B1DB1-Normal23"/>
              <w:spacing w:after="0"/>
              <w:jc w:val="center"/>
              <w:rPr>
                <w:noProof/>
              </w:rPr>
            </w:pPr>
            <w:r>
              <w:rPr>
                <w:noProof/>
              </w:rPr>
              <w:t>1.31</w:t>
            </w:r>
          </w:p>
        </w:tc>
        <w:tc>
          <w:tcPr>
            <w:tcW w:w="1760" w:type="dxa"/>
            <w:tcBorders>
              <w:top w:val="nil"/>
              <w:left w:val="nil"/>
              <w:bottom w:val="single" w:sz="4" w:space="0" w:color="auto"/>
              <w:right w:val="single" w:sz="4" w:space="0" w:color="auto"/>
            </w:tcBorders>
            <w:shd w:val="clear" w:color="auto" w:fill="C4EFCE"/>
            <w:vAlign w:val="center"/>
            <w:hideMark/>
          </w:tcPr>
          <w:p w14:paraId="35A056AF" w14:textId="77777777" w:rsidR="00776A1F" w:rsidRDefault="00D8574B">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32A4DE4"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FB0741" w14:textId="77777777" w:rsidR="00776A1F" w:rsidRDefault="00D8574B">
            <w:pPr>
              <w:pStyle w:val="P68B1DB1-Normal23"/>
              <w:spacing w:after="0"/>
              <w:jc w:val="both"/>
              <w:rPr>
                <w:rFonts w:eastAsia="Calibri" w:cs="Calibri"/>
                <w:noProof/>
              </w:rPr>
            </w:pPr>
            <w:r>
              <w:rPr>
                <w:noProof/>
              </w:rPr>
              <w:t>Primārās veselības aprūpes pakalpojumu atjaunošana Madeiras reģionālajā veselības dienestā</w:t>
            </w:r>
          </w:p>
        </w:tc>
      </w:tr>
      <w:tr w:rsidR="00776A1F" w14:paraId="5ABD1A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F6E924" w14:textId="77777777" w:rsidR="00776A1F" w:rsidRDefault="00D8574B">
            <w:pPr>
              <w:pStyle w:val="P68B1DB1-Normal23"/>
              <w:spacing w:after="0"/>
              <w:jc w:val="center"/>
              <w:rPr>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375AE1E5" w14:textId="77777777" w:rsidR="00776A1F" w:rsidRDefault="00D8574B">
            <w:pPr>
              <w:pStyle w:val="P68B1DB1-Normal23"/>
              <w:spacing w:after="0"/>
              <w:jc w:val="center"/>
              <w:rPr>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3498EF00"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15A08C" w14:textId="77777777" w:rsidR="00776A1F" w:rsidRDefault="00D8574B">
            <w:pPr>
              <w:pStyle w:val="P68B1DB1-Normal23"/>
              <w:spacing w:after="0"/>
              <w:jc w:val="both"/>
              <w:rPr>
                <w:rFonts w:eastAsia="Calibri" w:cs="Calibri"/>
                <w:noProof/>
              </w:rPr>
            </w:pPr>
            <w:r>
              <w:rPr>
                <w:noProof/>
              </w:rPr>
              <w:t>Smaga medicīniskā aprīkojuma iegāde</w:t>
            </w:r>
          </w:p>
        </w:tc>
      </w:tr>
      <w:tr w:rsidR="00776A1F" w14:paraId="6AC77FE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269E" w14:textId="77777777" w:rsidR="00776A1F" w:rsidRDefault="00D8574B">
            <w:pPr>
              <w:pStyle w:val="P68B1DB1-Normal23"/>
              <w:spacing w:after="0"/>
              <w:jc w:val="center"/>
              <w:rPr>
                <w:noProof/>
              </w:rPr>
            </w:pPr>
            <w:r>
              <w:rPr>
                <w:noProof/>
              </w:rPr>
              <w:t>2.3</w:t>
            </w:r>
          </w:p>
        </w:tc>
        <w:tc>
          <w:tcPr>
            <w:tcW w:w="1760" w:type="dxa"/>
            <w:tcBorders>
              <w:top w:val="nil"/>
              <w:left w:val="nil"/>
              <w:bottom w:val="single" w:sz="4" w:space="0" w:color="auto"/>
              <w:right w:val="single" w:sz="4" w:space="0" w:color="auto"/>
            </w:tcBorders>
            <w:shd w:val="clear" w:color="auto" w:fill="C4EFCE"/>
            <w:vAlign w:val="center"/>
            <w:hideMark/>
          </w:tcPr>
          <w:p w14:paraId="43F3328C" w14:textId="77777777" w:rsidR="00776A1F" w:rsidRDefault="00D8574B">
            <w:pPr>
              <w:pStyle w:val="P68B1DB1-Normal23"/>
              <w:spacing w:after="0"/>
              <w:jc w:val="center"/>
              <w:rPr>
                <w:noProof/>
              </w:rPr>
            </w:pPr>
            <w:r>
              <w:rPr>
                <w:noProof/>
              </w:rPr>
              <w:t>Re-C02-i01</w:t>
            </w:r>
          </w:p>
        </w:tc>
        <w:tc>
          <w:tcPr>
            <w:tcW w:w="1520" w:type="dxa"/>
            <w:tcBorders>
              <w:top w:val="nil"/>
              <w:left w:val="nil"/>
              <w:bottom w:val="single" w:sz="4" w:space="0" w:color="auto"/>
              <w:right w:val="single" w:sz="4" w:space="0" w:color="auto"/>
            </w:tcBorders>
            <w:shd w:val="clear" w:color="auto" w:fill="C4EFCE"/>
            <w:vAlign w:val="center"/>
            <w:hideMark/>
          </w:tcPr>
          <w:p w14:paraId="63E6F2B5"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F9FF65" w14:textId="77777777" w:rsidR="00776A1F" w:rsidRDefault="00D8574B">
            <w:pPr>
              <w:pStyle w:val="P68B1DB1-Normal23"/>
              <w:spacing w:after="0"/>
              <w:jc w:val="both"/>
              <w:rPr>
                <w:rFonts w:eastAsia="Calibri" w:cs="Calibri"/>
                <w:noProof/>
              </w:rPr>
            </w:pPr>
            <w:r>
              <w:rPr>
                <w:noProof/>
              </w:rPr>
              <w:t>Atbalsta programma piekļuvei mājokļiem — Mājsaimniecībām nodrošināti iepirkti, būvēti (augstas energoefektivitātes) vai rehabilitēti (ar uzlabotu energoefektivitāti) mājokļi</w:t>
            </w:r>
          </w:p>
        </w:tc>
      </w:tr>
      <w:tr w:rsidR="00776A1F" w14:paraId="72A593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82ECA8" w14:textId="77777777" w:rsidR="00776A1F" w:rsidRDefault="00D8574B">
            <w:pPr>
              <w:pStyle w:val="P68B1DB1-Normal23"/>
              <w:spacing w:after="0"/>
              <w:jc w:val="center"/>
              <w:rPr>
                <w:noProof/>
              </w:rPr>
            </w:pPr>
            <w:r>
              <w:rPr>
                <w:noProof/>
              </w:rPr>
              <w:t>2.7</w:t>
            </w:r>
          </w:p>
        </w:tc>
        <w:tc>
          <w:tcPr>
            <w:tcW w:w="1760" w:type="dxa"/>
            <w:tcBorders>
              <w:top w:val="nil"/>
              <w:left w:val="nil"/>
              <w:bottom w:val="single" w:sz="4" w:space="0" w:color="auto"/>
              <w:right w:val="single" w:sz="4" w:space="0" w:color="auto"/>
            </w:tcBorders>
            <w:shd w:val="clear" w:color="auto" w:fill="C4EFCE"/>
            <w:vAlign w:val="center"/>
            <w:hideMark/>
          </w:tcPr>
          <w:p w14:paraId="73BDA8CB" w14:textId="77777777" w:rsidR="00776A1F" w:rsidRDefault="00D8574B">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E0163B1"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5A5618" w14:textId="77777777" w:rsidR="00776A1F" w:rsidRDefault="00D8574B">
            <w:pPr>
              <w:pStyle w:val="P68B1DB1-Normal23"/>
              <w:spacing w:after="0"/>
              <w:jc w:val="both"/>
              <w:rPr>
                <w:rFonts w:eastAsia="Calibri" w:cs="Calibri"/>
                <w:noProof/>
              </w:rPr>
            </w:pPr>
            <w:r>
              <w:rPr>
                <w:noProof/>
              </w:rPr>
              <w:t>Valsts ārkārtas un pagaidu izmitināšanas dotācija — Izveidotas ārkārtas un pārejas izmitināšanas vietas (izgatavotas vai iegādātas saskaņā ar energoefektivitātes standartu vai atjaunotas, arī iegādātas, ar uzlabotu energoefektivitāti) un piegādātas attīstītājiem</w:t>
            </w:r>
          </w:p>
        </w:tc>
      </w:tr>
      <w:tr w:rsidR="00776A1F" w14:paraId="0F56588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1AC1AB" w14:textId="77777777" w:rsidR="00776A1F" w:rsidRDefault="00D8574B">
            <w:pPr>
              <w:pStyle w:val="P68B1DB1-Normal23"/>
              <w:spacing w:after="0"/>
              <w:jc w:val="center"/>
              <w:rPr>
                <w:noProof/>
              </w:rPr>
            </w:pPr>
            <w:r>
              <w:rPr>
                <w:noProof/>
              </w:rPr>
              <w:t>2.8</w:t>
            </w:r>
          </w:p>
        </w:tc>
        <w:tc>
          <w:tcPr>
            <w:tcW w:w="1760" w:type="dxa"/>
            <w:tcBorders>
              <w:top w:val="nil"/>
              <w:left w:val="nil"/>
              <w:bottom w:val="single" w:sz="4" w:space="0" w:color="auto"/>
              <w:right w:val="single" w:sz="4" w:space="0" w:color="auto"/>
            </w:tcBorders>
            <w:shd w:val="clear" w:color="auto" w:fill="C4EFCE"/>
            <w:vAlign w:val="center"/>
            <w:hideMark/>
          </w:tcPr>
          <w:p w14:paraId="7E84AC89" w14:textId="77777777" w:rsidR="00776A1F" w:rsidRDefault="00D8574B">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2DC07CB"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23D2B0" w14:textId="77777777" w:rsidR="00776A1F" w:rsidRDefault="00D8574B">
            <w:pPr>
              <w:pStyle w:val="P68B1DB1-Normal23"/>
              <w:spacing w:after="0"/>
              <w:jc w:val="both"/>
              <w:rPr>
                <w:rFonts w:eastAsia="Calibri" w:cs="Calibri"/>
                <w:noProof/>
              </w:rPr>
            </w:pPr>
            <w:r>
              <w:rPr>
                <w:noProof/>
              </w:rPr>
              <w:t>Izmitināšana, ko piegādā drošības spēkiem, un pagaidu izmitināšana humānu vai drošības apsvērumu dēļ</w:t>
            </w:r>
          </w:p>
        </w:tc>
      </w:tr>
      <w:tr w:rsidR="00776A1F" w14:paraId="02FF4B3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8FA595" w14:textId="77777777" w:rsidR="00776A1F" w:rsidRDefault="00D8574B">
            <w:pPr>
              <w:pStyle w:val="P68B1DB1-Normal23"/>
              <w:spacing w:after="0"/>
              <w:jc w:val="center"/>
              <w:rPr>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7D04435" w14:textId="77777777" w:rsidR="00776A1F" w:rsidRDefault="00D8574B">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3BD5817E"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D58941" w14:textId="77777777" w:rsidR="00776A1F" w:rsidRDefault="00D8574B">
            <w:pPr>
              <w:pStyle w:val="P68B1DB1-Normal23"/>
              <w:spacing w:after="0"/>
              <w:jc w:val="both"/>
              <w:rPr>
                <w:rFonts w:eastAsia="Calibri" w:cs="Calibri"/>
                <w:noProof/>
              </w:rPr>
            </w:pPr>
            <w:r>
              <w:rPr>
                <w:noProof/>
              </w:rPr>
              <w:t>Atbalstīti mājokļi Madeiras autonomajā reģionā</w:t>
            </w:r>
          </w:p>
        </w:tc>
      </w:tr>
      <w:tr w:rsidR="00776A1F" w14:paraId="29129C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6F57D8F" w14:textId="77777777" w:rsidR="00776A1F" w:rsidRDefault="00D8574B">
            <w:pPr>
              <w:pStyle w:val="P68B1DB1-Normal23"/>
              <w:spacing w:after="0"/>
              <w:jc w:val="center"/>
              <w:rPr>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62DEA51A" w14:textId="77777777" w:rsidR="00776A1F" w:rsidRDefault="00D8574B">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1270B23C"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726ED5" w14:textId="77777777" w:rsidR="00776A1F" w:rsidRDefault="00D8574B">
            <w:pPr>
              <w:pStyle w:val="P68B1DB1-Normal23"/>
              <w:spacing w:after="0"/>
              <w:jc w:val="both"/>
              <w:rPr>
                <w:rFonts w:eastAsia="Calibri" w:cs="Calibri"/>
                <w:noProof/>
              </w:rPr>
            </w:pPr>
            <w:r>
              <w:rPr>
                <w:noProof/>
              </w:rPr>
              <w:t>Privāto īpašnieku apdzīvoto mājokļu skaits, kas renovēti, tostarp ar uzlabotu energoefektivitāti</w:t>
            </w:r>
          </w:p>
        </w:tc>
      </w:tr>
      <w:tr w:rsidR="00776A1F" w14:paraId="18ACBA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04DA4C" w14:textId="77777777" w:rsidR="00776A1F" w:rsidRDefault="00D8574B">
            <w:pPr>
              <w:pStyle w:val="P68B1DB1-Normal23"/>
              <w:spacing w:after="0"/>
              <w:jc w:val="center"/>
              <w:rPr>
                <w:noProof/>
              </w:rPr>
            </w:pPr>
            <w:r>
              <w:rPr>
                <w:noProof/>
              </w:rPr>
              <w:t>2.30</w:t>
            </w:r>
          </w:p>
        </w:tc>
        <w:tc>
          <w:tcPr>
            <w:tcW w:w="1760" w:type="dxa"/>
            <w:tcBorders>
              <w:top w:val="nil"/>
              <w:left w:val="nil"/>
              <w:bottom w:val="single" w:sz="4" w:space="0" w:color="auto"/>
              <w:right w:val="single" w:sz="4" w:space="0" w:color="auto"/>
            </w:tcBorders>
            <w:shd w:val="clear" w:color="auto" w:fill="C4EFCE"/>
            <w:vAlign w:val="center"/>
            <w:hideMark/>
          </w:tcPr>
          <w:p w14:paraId="373778E4" w14:textId="77777777" w:rsidR="00776A1F" w:rsidRDefault="00D8574B">
            <w:pPr>
              <w:pStyle w:val="P68B1DB1-Normal23"/>
              <w:spacing w:after="0"/>
              <w:jc w:val="center"/>
              <w:rPr>
                <w:noProof/>
              </w:rPr>
            </w:pPr>
            <w:r>
              <w:rPr>
                <w:noProof/>
              </w:rPr>
              <w:t>Re-C02-i07-RAA</w:t>
            </w:r>
          </w:p>
        </w:tc>
        <w:tc>
          <w:tcPr>
            <w:tcW w:w="1520" w:type="dxa"/>
            <w:tcBorders>
              <w:top w:val="nil"/>
              <w:left w:val="nil"/>
              <w:bottom w:val="single" w:sz="4" w:space="0" w:color="auto"/>
              <w:right w:val="single" w:sz="4" w:space="0" w:color="auto"/>
            </w:tcBorders>
            <w:shd w:val="clear" w:color="auto" w:fill="C4EFCE"/>
            <w:vAlign w:val="center"/>
            <w:hideMark/>
          </w:tcPr>
          <w:p w14:paraId="66259027"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181364" w14:textId="77777777" w:rsidR="00776A1F" w:rsidRDefault="00D8574B">
            <w:pPr>
              <w:pStyle w:val="P68B1DB1-Normal23"/>
              <w:spacing w:after="0"/>
              <w:jc w:val="both"/>
              <w:rPr>
                <w:rFonts w:eastAsia="Calibri" w:cs="Calibri"/>
                <w:noProof/>
              </w:rPr>
            </w:pPr>
            <w:r>
              <w:rPr>
                <w:noProof/>
              </w:rPr>
              <w:t>Zemes gabalu infrastruktūra</w:t>
            </w:r>
          </w:p>
        </w:tc>
      </w:tr>
      <w:tr w:rsidR="00776A1F" w14:paraId="17A4FE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5779114" w14:textId="77777777" w:rsidR="00776A1F" w:rsidRDefault="00D8574B">
            <w:pPr>
              <w:pStyle w:val="P68B1DB1-Normal23"/>
              <w:spacing w:after="0"/>
              <w:jc w:val="center"/>
              <w:rPr>
                <w:noProof/>
              </w:rPr>
            </w:pPr>
            <w:r>
              <w:rPr>
                <w:noProof/>
              </w:rPr>
              <w:t>3.1</w:t>
            </w:r>
          </w:p>
        </w:tc>
        <w:tc>
          <w:tcPr>
            <w:tcW w:w="1760" w:type="dxa"/>
            <w:tcBorders>
              <w:top w:val="nil"/>
              <w:left w:val="nil"/>
              <w:bottom w:val="single" w:sz="4" w:space="0" w:color="auto"/>
              <w:right w:val="single" w:sz="4" w:space="0" w:color="auto"/>
            </w:tcBorders>
            <w:shd w:val="clear" w:color="auto" w:fill="C4EFCE"/>
            <w:vAlign w:val="center"/>
            <w:hideMark/>
          </w:tcPr>
          <w:p w14:paraId="470584AE" w14:textId="77777777" w:rsidR="00776A1F" w:rsidRDefault="00D8574B">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39BFEDF0"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17EB27" w14:textId="77777777" w:rsidR="00776A1F" w:rsidRDefault="00D8574B">
            <w:pPr>
              <w:pStyle w:val="P68B1DB1-Normal23"/>
              <w:spacing w:after="0"/>
              <w:jc w:val="both"/>
              <w:rPr>
                <w:rFonts w:eastAsia="Calibri" w:cs="Calibri"/>
                <w:noProof/>
              </w:rPr>
            </w:pPr>
            <w:r>
              <w:rPr>
                <w:noProof/>
              </w:rPr>
              <w:t>Elektrotransportlīdzekļu piegāde</w:t>
            </w:r>
          </w:p>
        </w:tc>
      </w:tr>
      <w:tr w:rsidR="00776A1F" w14:paraId="5728D53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FBBABBB" w14:textId="77777777" w:rsidR="00776A1F" w:rsidRDefault="00D8574B">
            <w:pPr>
              <w:pStyle w:val="P68B1DB1-Normal23"/>
              <w:spacing w:after="0"/>
              <w:jc w:val="center"/>
              <w:rPr>
                <w:noProof/>
              </w:rPr>
            </w:pPr>
            <w:r>
              <w:rPr>
                <w:noProof/>
              </w:rPr>
              <w:t>3.4</w:t>
            </w:r>
          </w:p>
        </w:tc>
        <w:tc>
          <w:tcPr>
            <w:tcW w:w="1760" w:type="dxa"/>
            <w:tcBorders>
              <w:top w:val="nil"/>
              <w:left w:val="nil"/>
              <w:bottom w:val="single" w:sz="4" w:space="0" w:color="auto"/>
              <w:right w:val="single" w:sz="4" w:space="0" w:color="auto"/>
            </w:tcBorders>
            <w:shd w:val="clear" w:color="auto" w:fill="C4EFCE"/>
            <w:vAlign w:val="center"/>
            <w:hideMark/>
          </w:tcPr>
          <w:p w14:paraId="4DB7F8C7" w14:textId="77777777" w:rsidR="00776A1F" w:rsidRDefault="00D8574B">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25CFCDF3"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1CAD15" w14:textId="77777777" w:rsidR="00776A1F" w:rsidRDefault="00D8574B">
            <w:pPr>
              <w:pStyle w:val="P68B1DB1-Normal23"/>
              <w:spacing w:after="0"/>
              <w:jc w:val="both"/>
              <w:rPr>
                <w:rFonts w:eastAsia="Calibri" w:cs="Calibri"/>
                <w:noProof/>
              </w:rPr>
            </w:pPr>
            <w:r>
              <w:rPr>
                <w:noProof/>
              </w:rPr>
              <w:t>Jaunu vietu izveide un esošo vietu atjaunošana sociālajās iestādēs</w:t>
            </w:r>
          </w:p>
        </w:tc>
      </w:tr>
      <w:tr w:rsidR="00776A1F" w14:paraId="7D873F1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89AAD3" w14:textId="77777777" w:rsidR="00776A1F" w:rsidRDefault="00D8574B">
            <w:pPr>
              <w:pStyle w:val="P68B1DB1-Normal23"/>
              <w:spacing w:after="0"/>
              <w:jc w:val="center"/>
              <w:rPr>
                <w:noProof/>
              </w:rPr>
            </w:pPr>
            <w:r>
              <w:rPr>
                <w:noProof/>
              </w:rPr>
              <w:t>3.5</w:t>
            </w:r>
          </w:p>
        </w:tc>
        <w:tc>
          <w:tcPr>
            <w:tcW w:w="1760" w:type="dxa"/>
            <w:tcBorders>
              <w:top w:val="nil"/>
              <w:left w:val="nil"/>
              <w:bottom w:val="single" w:sz="4" w:space="0" w:color="auto"/>
              <w:right w:val="single" w:sz="4" w:space="0" w:color="auto"/>
            </w:tcBorders>
            <w:shd w:val="clear" w:color="auto" w:fill="C4EFCE"/>
            <w:vAlign w:val="center"/>
            <w:hideMark/>
          </w:tcPr>
          <w:p w14:paraId="406B51CB" w14:textId="77777777" w:rsidR="00776A1F" w:rsidRDefault="00D8574B">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702DBD39"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C123CD" w14:textId="77777777" w:rsidR="00776A1F" w:rsidRDefault="00D8574B">
            <w:pPr>
              <w:pStyle w:val="P68B1DB1-Normal23"/>
              <w:spacing w:after="0"/>
              <w:jc w:val="both"/>
              <w:rPr>
                <w:rFonts w:eastAsia="Calibri" w:cs="Calibri"/>
                <w:noProof/>
              </w:rPr>
            </w:pPr>
            <w:r>
              <w:rPr>
                <w:noProof/>
              </w:rPr>
              <w:t>Mājas atbalsta pakalpojumu lietotāji un darbinieki, kas saņem piekļuvi planšetdatoriem un citām IT un sakaru iekārtām, tehniskās palīdzības aprīkojumam vai apmācībai.</w:t>
            </w:r>
          </w:p>
        </w:tc>
      </w:tr>
      <w:tr w:rsidR="00776A1F" w14:paraId="221C68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8D6553" w14:textId="77777777" w:rsidR="00776A1F" w:rsidRDefault="00D8574B">
            <w:pPr>
              <w:pStyle w:val="P68B1DB1-Normal23"/>
              <w:spacing w:after="0"/>
              <w:jc w:val="center"/>
              <w:rPr>
                <w:noProof/>
              </w:rPr>
            </w:pPr>
            <w:r>
              <w:rPr>
                <w:noProof/>
              </w:rPr>
              <w:t>3.13</w:t>
            </w:r>
          </w:p>
        </w:tc>
        <w:tc>
          <w:tcPr>
            <w:tcW w:w="1760" w:type="dxa"/>
            <w:tcBorders>
              <w:top w:val="nil"/>
              <w:left w:val="nil"/>
              <w:bottom w:val="single" w:sz="4" w:space="0" w:color="auto"/>
              <w:right w:val="single" w:sz="4" w:space="0" w:color="auto"/>
            </w:tcBorders>
            <w:shd w:val="clear" w:color="auto" w:fill="C4EFCE"/>
            <w:vAlign w:val="center"/>
            <w:hideMark/>
          </w:tcPr>
          <w:p w14:paraId="7374EBB4" w14:textId="77777777" w:rsidR="00776A1F" w:rsidRDefault="00D8574B">
            <w:pPr>
              <w:pStyle w:val="P68B1DB1-Normal23"/>
              <w:spacing w:after="0"/>
              <w:jc w:val="center"/>
              <w:rPr>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7834E53"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60C2C2" w14:textId="77777777" w:rsidR="00776A1F" w:rsidRDefault="00D8574B">
            <w:pPr>
              <w:pStyle w:val="P68B1DB1-Normal23"/>
              <w:spacing w:after="0"/>
              <w:jc w:val="both"/>
              <w:rPr>
                <w:rFonts w:eastAsia="Calibri" w:cs="Calibri"/>
                <w:noProof/>
              </w:rPr>
            </w:pPr>
            <w:r>
              <w:rPr>
                <w:noProof/>
              </w:rPr>
              <w:t>Jaunas vietas cilvēkiem ar invaliditāti aprūpes centros, kas atbalsta cilvēkus ar invaliditāti</w:t>
            </w:r>
          </w:p>
        </w:tc>
      </w:tr>
      <w:tr w:rsidR="00776A1F" w14:paraId="4ED34F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F29E92" w14:textId="77777777" w:rsidR="00776A1F" w:rsidRDefault="00D8574B">
            <w:pPr>
              <w:pStyle w:val="P68B1DB1-Normal23"/>
              <w:spacing w:after="0"/>
              <w:jc w:val="center"/>
              <w:rPr>
                <w:noProof/>
              </w:rPr>
            </w:pPr>
            <w:r>
              <w:rPr>
                <w:noProof/>
              </w:rPr>
              <w:t>3.28</w:t>
            </w:r>
          </w:p>
        </w:tc>
        <w:tc>
          <w:tcPr>
            <w:tcW w:w="1760" w:type="dxa"/>
            <w:tcBorders>
              <w:top w:val="nil"/>
              <w:left w:val="nil"/>
              <w:bottom w:val="single" w:sz="4" w:space="0" w:color="auto"/>
              <w:right w:val="single" w:sz="4" w:space="0" w:color="auto"/>
            </w:tcBorders>
            <w:shd w:val="clear" w:color="auto" w:fill="C4EFCE"/>
            <w:vAlign w:val="center"/>
            <w:hideMark/>
          </w:tcPr>
          <w:p w14:paraId="14BA29A6" w14:textId="77777777" w:rsidR="00776A1F" w:rsidRDefault="00D8574B">
            <w:pPr>
              <w:pStyle w:val="P68B1DB1-Normal23"/>
              <w:spacing w:after="0"/>
              <w:jc w:val="center"/>
              <w:rPr>
                <w:noProof/>
              </w:rPr>
            </w:pPr>
            <w:r>
              <w:rPr>
                <w:noProof/>
              </w:rPr>
              <w:t>Re-C03-i07-RAA</w:t>
            </w:r>
          </w:p>
        </w:tc>
        <w:tc>
          <w:tcPr>
            <w:tcW w:w="1520" w:type="dxa"/>
            <w:tcBorders>
              <w:top w:val="nil"/>
              <w:left w:val="nil"/>
              <w:bottom w:val="single" w:sz="4" w:space="0" w:color="auto"/>
              <w:right w:val="single" w:sz="4" w:space="0" w:color="auto"/>
            </w:tcBorders>
            <w:shd w:val="clear" w:color="auto" w:fill="C4EFCE"/>
            <w:vAlign w:val="center"/>
            <w:hideMark/>
          </w:tcPr>
          <w:p w14:paraId="44DC7A47" w14:textId="77777777" w:rsidR="00776A1F" w:rsidRDefault="00D8574B">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4BDFBE" w14:textId="77777777" w:rsidR="00776A1F" w:rsidRDefault="00D8574B">
            <w:pPr>
              <w:pStyle w:val="P68B1DB1-Normal23"/>
              <w:spacing w:after="0"/>
              <w:jc w:val="both"/>
              <w:rPr>
                <w:rFonts w:eastAsia="Calibri" w:cs="Calibri"/>
                <w:noProof/>
              </w:rPr>
            </w:pPr>
            <w:r>
              <w:rPr>
                <w:noProof/>
              </w:rPr>
              <w:t>Paplašinātas vai atjaunotas vietas aprūpes iestādēs</w:t>
            </w:r>
          </w:p>
        </w:tc>
      </w:tr>
      <w:tr w:rsidR="00776A1F" w14:paraId="528550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A61B90" w14:textId="77777777" w:rsidR="00776A1F" w:rsidRDefault="00D8574B">
            <w:pPr>
              <w:pStyle w:val="P68B1DB1-Normal23"/>
              <w:spacing w:after="0"/>
              <w:jc w:val="center"/>
              <w:rPr>
                <w:noProof/>
              </w:rPr>
            </w:pPr>
            <w:r>
              <w:rPr>
                <w:noProof/>
              </w:rPr>
              <w:t>3.30</w:t>
            </w:r>
          </w:p>
        </w:tc>
        <w:tc>
          <w:tcPr>
            <w:tcW w:w="1760" w:type="dxa"/>
            <w:tcBorders>
              <w:top w:val="nil"/>
              <w:left w:val="nil"/>
              <w:bottom w:val="single" w:sz="4" w:space="0" w:color="auto"/>
              <w:right w:val="single" w:sz="4" w:space="0" w:color="auto"/>
            </w:tcBorders>
            <w:shd w:val="clear" w:color="auto" w:fill="C4EFCE"/>
            <w:vAlign w:val="center"/>
            <w:hideMark/>
          </w:tcPr>
          <w:p w14:paraId="4E7C355C" w14:textId="77777777" w:rsidR="00776A1F" w:rsidRDefault="00D8574B">
            <w:pPr>
              <w:pStyle w:val="P68B1DB1-Normal23"/>
              <w:spacing w:after="0"/>
              <w:jc w:val="center"/>
              <w:rPr>
                <w:noProof/>
              </w:rPr>
            </w:pPr>
            <w:r>
              <w:rPr>
                <w:noProof/>
              </w:rPr>
              <w:t>Re-C03-r38</w:t>
            </w:r>
          </w:p>
        </w:tc>
        <w:tc>
          <w:tcPr>
            <w:tcW w:w="1520" w:type="dxa"/>
            <w:tcBorders>
              <w:top w:val="nil"/>
              <w:left w:val="nil"/>
              <w:bottom w:val="single" w:sz="4" w:space="0" w:color="auto"/>
              <w:right w:val="single" w:sz="4" w:space="0" w:color="auto"/>
            </w:tcBorders>
            <w:shd w:val="clear" w:color="auto" w:fill="C4EFCE"/>
            <w:vAlign w:val="center"/>
            <w:hideMark/>
          </w:tcPr>
          <w:p w14:paraId="0E17E04B" w14:textId="77777777" w:rsidR="00776A1F" w:rsidRDefault="00D8574B">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50456DE" w14:textId="77777777" w:rsidR="00776A1F" w:rsidRDefault="00D8574B">
            <w:pPr>
              <w:pStyle w:val="P68B1DB1-Normal23"/>
              <w:spacing w:after="0"/>
              <w:jc w:val="both"/>
              <w:rPr>
                <w:rFonts w:eastAsia="Calibri" w:cs="Calibri"/>
                <w:noProof/>
              </w:rPr>
            </w:pPr>
            <w:r>
              <w:rPr>
                <w:noProof/>
              </w:rPr>
              <w:t>Vienotā sociālā pabalsta (saskaņā ar pilsonības sociālās aizsardzības sistēmu) un Sociālo pabalstu kodeksa stāšanās spēkā</w:t>
            </w:r>
          </w:p>
        </w:tc>
      </w:tr>
      <w:tr w:rsidR="00776A1F" w14:paraId="3397C6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656E29" w14:textId="77777777" w:rsidR="00776A1F" w:rsidRDefault="00D8574B">
            <w:pPr>
              <w:pStyle w:val="P68B1DB1-Normal23"/>
              <w:spacing w:after="0"/>
              <w:jc w:val="center"/>
              <w:rPr>
                <w:rFonts w:eastAsia="Calibri" w:cs="Calibri"/>
                <w:noProof/>
              </w:rPr>
            </w:pPr>
            <w:r>
              <w:rPr>
                <w:noProof/>
              </w:rPr>
              <w:t>4.4</w:t>
            </w:r>
          </w:p>
        </w:tc>
        <w:tc>
          <w:tcPr>
            <w:tcW w:w="1760" w:type="dxa"/>
            <w:tcBorders>
              <w:top w:val="nil"/>
              <w:left w:val="nil"/>
              <w:bottom w:val="single" w:sz="4" w:space="0" w:color="auto"/>
              <w:right w:val="single" w:sz="4" w:space="0" w:color="auto"/>
            </w:tcBorders>
            <w:shd w:val="clear" w:color="auto" w:fill="C4EFCE"/>
            <w:vAlign w:val="center"/>
            <w:hideMark/>
          </w:tcPr>
          <w:p w14:paraId="514007D7" w14:textId="77777777" w:rsidR="00776A1F" w:rsidRDefault="00D8574B">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2079A0F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521FA99" w14:textId="77777777" w:rsidR="00776A1F" w:rsidRDefault="00D8574B">
            <w:pPr>
              <w:pStyle w:val="P68B1DB1-Normal23"/>
              <w:spacing w:after="0"/>
              <w:jc w:val="both"/>
              <w:rPr>
                <w:rFonts w:eastAsia="Calibri" w:cs="Calibri"/>
                <w:noProof/>
              </w:rPr>
            </w:pPr>
            <w:r>
              <w:rPr>
                <w:noProof/>
              </w:rPr>
              <w:t>Modernizētas tehnoloģiskās infrastruktūras nodrošināšana kultūras objektu tīklam</w:t>
            </w:r>
          </w:p>
        </w:tc>
      </w:tr>
      <w:tr w:rsidR="00776A1F" w14:paraId="22480C7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B94759" w14:textId="77777777" w:rsidR="00776A1F" w:rsidRDefault="00D8574B">
            <w:pPr>
              <w:pStyle w:val="P68B1DB1-Normal23"/>
              <w:spacing w:after="0"/>
              <w:jc w:val="center"/>
              <w:rPr>
                <w:rFonts w:eastAsia="Calibri" w:cs="Calibri"/>
                <w:noProof/>
              </w:rPr>
            </w:pPr>
            <w:r>
              <w:rPr>
                <w:noProof/>
              </w:rPr>
              <w:t>4.8</w:t>
            </w:r>
          </w:p>
        </w:tc>
        <w:tc>
          <w:tcPr>
            <w:tcW w:w="1760" w:type="dxa"/>
            <w:tcBorders>
              <w:top w:val="nil"/>
              <w:left w:val="nil"/>
              <w:bottom w:val="single" w:sz="4" w:space="0" w:color="auto"/>
              <w:right w:val="single" w:sz="4" w:space="0" w:color="auto"/>
            </w:tcBorders>
            <w:shd w:val="clear" w:color="auto" w:fill="C4EFCE"/>
            <w:vAlign w:val="center"/>
            <w:hideMark/>
          </w:tcPr>
          <w:p w14:paraId="3EF31C11" w14:textId="77777777" w:rsidR="00776A1F" w:rsidRDefault="00D8574B">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0F887FE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9ED46D" w14:textId="77777777" w:rsidR="00776A1F" w:rsidRDefault="00D8574B">
            <w:pPr>
              <w:pStyle w:val="P68B1DB1-Normal23"/>
              <w:spacing w:after="0"/>
              <w:jc w:val="both"/>
              <w:rPr>
                <w:rFonts w:eastAsia="Calibri" w:cs="Calibri"/>
                <w:noProof/>
              </w:rPr>
            </w:pPr>
            <w:r>
              <w:rPr>
                <w:noProof/>
              </w:rPr>
              <w:t>Kultūras mantojuma ēku un nacionālo teātru rehabilitācijas un saglabāšanas darbi</w:t>
            </w:r>
          </w:p>
        </w:tc>
      </w:tr>
      <w:tr w:rsidR="00776A1F" w14:paraId="6AE61A9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13649D" w14:textId="77777777" w:rsidR="00776A1F" w:rsidRDefault="00D8574B">
            <w:pPr>
              <w:pStyle w:val="P68B1DB1-Normal23"/>
              <w:spacing w:after="0"/>
              <w:jc w:val="center"/>
              <w:rPr>
                <w:rFonts w:eastAsia="Calibri" w:cs="Calibri"/>
                <w:noProof/>
              </w:rPr>
            </w:pPr>
            <w:r>
              <w:rPr>
                <w:noProof/>
              </w:rPr>
              <w:t>4.10</w:t>
            </w:r>
          </w:p>
        </w:tc>
        <w:tc>
          <w:tcPr>
            <w:tcW w:w="1760" w:type="dxa"/>
            <w:tcBorders>
              <w:top w:val="nil"/>
              <w:left w:val="nil"/>
              <w:bottom w:val="single" w:sz="4" w:space="0" w:color="auto"/>
              <w:right w:val="single" w:sz="4" w:space="0" w:color="auto"/>
            </w:tcBorders>
            <w:shd w:val="clear" w:color="auto" w:fill="C4EFCE"/>
            <w:vAlign w:val="center"/>
            <w:hideMark/>
          </w:tcPr>
          <w:p w14:paraId="20079FAC" w14:textId="77777777" w:rsidR="00776A1F" w:rsidRDefault="00D8574B">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5F854BA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B3E1B2" w14:textId="77777777" w:rsidR="00776A1F" w:rsidRDefault="00D8574B">
            <w:pPr>
              <w:pStyle w:val="P68B1DB1-Normal23"/>
              <w:spacing w:after="0"/>
              <w:jc w:val="both"/>
              <w:rPr>
                <w:rFonts w:eastAsia="Calibri" w:cs="Calibri"/>
                <w:noProof/>
              </w:rPr>
            </w:pPr>
            <w:r>
              <w:rPr>
                <w:noProof/>
              </w:rPr>
              <w:t>Aprīkojuma piegāde Sound Nacionālā arhīva uzstādīšanai un publisko laboratoriju tehnoloģiskajai modernizācijai</w:t>
            </w:r>
          </w:p>
        </w:tc>
      </w:tr>
      <w:tr w:rsidR="00776A1F" w14:paraId="26B43C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970426" w14:textId="77777777" w:rsidR="00776A1F" w:rsidRDefault="00D8574B">
            <w:pPr>
              <w:pStyle w:val="P68B1DB1-Normal23"/>
              <w:spacing w:after="0"/>
              <w:jc w:val="center"/>
              <w:rPr>
                <w:rFonts w:eastAsia="Calibri" w:cs="Calibri"/>
                <w:noProof/>
              </w:rPr>
            </w:pPr>
            <w:r>
              <w:rPr>
                <w:noProof/>
              </w:rPr>
              <w:t>4.12</w:t>
            </w:r>
          </w:p>
        </w:tc>
        <w:tc>
          <w:tcPr>
            <w:tcW w:w="1760" w:type="dxa"/>
            <w:tcBorders>
              <w:top w:val="nil"/>
              <w:left w:val="nil"/>
              <w:bottom w:val="single" w:sz="4" w:space="0" w:color="auto"/>
              <w:right w:val="single" w:sz="4" w:space="0" w:color="auto"/>
            </w:tcBorders>
            <w:shd w:val="clear" w:color="auto" w:fill="C4EFCE"/>
            <w:vAlign w:val="center"/>
            <w:hideMark/>
          </w:tcPr>
          <w:p w14:paraId="7486F1DB" w14:textId="77777777" w:rsidR="00776A1F" w:rsidRDefault="00D8574B">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77F94668"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10EFAB2" w14:textId="77777777" w:rsidR="00776A1F" w:rsidRDefault="00D8574B">
            <w:pPr>
              <w:pStyle w:val="P68B1DB1-Normal23"/>
              <w:spacing w:after="0"/>
              <w:jc w:val="both"/>
              <w:rPr>
                <w:rFonts w:eastAsia="Calibri" w:cs="Calibri"/>
                <w:noProof/>
              </w:rPr>
            </w:pPr>
            <w:r>
              <w:rPr>
                <w:noProof/>
              </w:rPr>
              <w:t>Sound Nacionālā arhīva būvniecības pabeigšana</w:t>
            </w:r>
          </w:p>
        </w:tc>
      </w:tr>
      <w:tr w:rsidR="00776A1F" w14:paraId="2415A55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7B4F29" w14:textId="77777777" w:rsidR="00776A1F" w:rsidRDefault="00D8574B">
            <w:pPr>
              <w:pStyle w:val="P68B1DB1-Normal23"/>
              <w:spacing w:after="0"/>
              <w:jc w:val="center"/>
              <w:rPr>
                <w:rFonts w:eastAsia="Calibri" w:cs="Calibri"/>
                <w:noProof/>
              </w:rPr>
            </w:pPr>
            <w:r>
              <w:rPr>
                <w:noProof/>
              </w:rPr>
              <w:t>5.36</w:t>
            </w:r>
          </w:p>
        </w:tc>
        <w:tc>
          <w:tcPr>
            <w:tcW w:w="1760" w:type="dxa"/>
            <w:tcBorders>
              <w:top w:val="nil"/>
              <w:left w:val="nil"/>
              <w:bottom w:val="single" w:sz="4" w:space="0" w:color="auto"/>
              <w:right w:val="single" w:sz="4" w:space="0" w:color="auto"/>
            </w:tcBorders>
            <w:shd w:val="clear" w:color="auto" w:fill="C4EFCE"/>
            <w:vAlign w:val="center"/>
            <w:hideMark/>
          </w:tcPr>
          <w:p w14:paraId="7498C044" w14:textId="77777777" w:rsidR="00776A1F" w:rsidRDefault="00D8574B">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2314F1F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930437" w14:textId="77777777" w:rsidR="00776A1F" w:rsidRDefault="00D8574B">
            <w:pPr>
              <w:pStyle w:val="P68B1DB1-Normal23"/>
              <w:spacing w:after="0"/>
              <w:jc w:val="both"/>
              <w:rPr>
                <w:rFonts w:eastAsia="Calibri" w:cs="Calibri"/>
                <w:noProof/>
              </w:rPr>
            </w:pPr>
            <w:r>
              <w:rPr>
                <w:noProof/>
              </w:rPr>
              <w:t>Pētniecības un attīstības programmas projektu pabeigšana valsts pārvaldē un jauni kursi masu tiešsaistes kursu valsts platformā (NAU)</w:t>
            </w:r>
          </w:p>
        </w:tc>
      </w:tr>
      <w:tr w:rsidR="00776A1F" w14:paraId="3F7C91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75FCDC" w14:textId="77777777" w:rsidR="00776A1F" w:rsidRDefault="00D8574B">
            <w:pPr>
              <w:pStyle w:val="P68B1DB1-Normal23"/>
              <w:spacing w:after="0"/>
              <w:jc w:val="center"/>
              <w:rPr>
                <w:rFonts w:eastAsia="Calibri" w:cs="Calibri"/>
                <w:noProof/>
              </w:rPr>
            </w:pPr>
            <w:r>
              <w:rPr>
                <w:noProof/>
              </w:rPr>
              <w:t>5.38</w:t>
            </w:r>
          </w:p>
        </w:tc>
        <w:tc>
          <w:tcPr>
            <w:tcW w:w="1760" w:type="dxa"/>
            <w:tcBorders>
              <w:top w:val="nil"/>
              <w:left w:val="nil"/>
              <w:bottom w:val="single" w:sz="4" w:space="0" w:color="auto"/>
              <w:right w:val="single" w:sz="4" w:space="0" w:color="auto"/>
            </w:tcBorders>
            <w:shd w:val="clear" w:color="auto" w:fill="C4EFCE"/>
            <w:vAlign w:val="center"/>
            <w:hideMark/>
          </w:tcPr>
          <w:p w14:paraId="62726B79" w14:textId="77777777" w:rsidR="00776A1F" w:rsidRDefault="00D8574B">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5A91DBF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193B7" w14:textId="18BBE676" w:rsidR="00776A1F" w:rsidRDefault="00D8574B">
            <w:pPr>
              <w:pStyle w:val="P68B1DB1-Normal23"/>
              <w:spacing w:after="0"/>
              <w:jc w:val="both"/>
              <w:rPr>
                <w:rFonts w:eastAsia="Calibri" w:cs="Calibri"/>
                <w:noProof/>
              </w:rPr>
            </w:pPr>
            <w:r>
              <w:rPr>
                <w:noProof/>
              </w:rPr>
              <w:t>Valsts progresīvās datošanas centra atbalsta infrastruktūras un datu centra pabeigšana</w:t>
            </w:r>
          </w:p>
        </w:tc>
      </w:tr>
      <w:tr w:rsidR="00776A1F" w14:paraId="0D66E2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DEE4D5" w14:textId="77777777" w:rsidR="00776A1F" w:rsidRDefault="00D8574B">
            <w:pPr>
              <w:pStyle w:val="P68B1DB1-Normal23"/>
              <w:spacing w:after="0"/>
              <w:jc w:val="center"/>
              <w:rPr>
                <w:rFonts w:eastAsia="Calibri" w:cs="Calibri"/>
                <w:noProof/>
              </w:rPr>
            </w:pPr>
            <w:r>
              <w:rPr>
                <w:noProof/>
              </w:rPr>
              <w:t>6.19</w:t>
            </w:r>
          </w:p>
        </w:tc>
        <w:tc>
          <w:tcPr>
            <w:tcW w:w="1760" w:type="dxa"/>
            <w:tcBorders>
              <w:top w:val="nil"/>
              <w:left w:val="nil"/>
              <w:bottom w:val="single" w:sz="4" w:space="0" w:color="auto"/>
              <w:right w:val="single" w:sz="4" w:space="0" w:color="auto"/>
            </w:tcBorders>
            <w:shd w:val="clear" w:color="auto" w:fill="C4EFCE"/>
            <w:vAlign w:val="center"/>
            <w:hideMark/>
          </w:tcPr>
          <w:p w14:paraId="09FD7927" w14:textId="77777777" w:rsidR="00776A1F" w:rsidRDefault="00D8574B">
            <w:pPr>
              <w:pStyle w:val="P68B1DB1-Normal23"/>
              <w:spacing w:after="0"/>
              <w:jc w:val="center"/>
              <w:rPr>
                <w:rFonts w:eastAsia="Calibri" w:cs="Calibri"/>
                <w:noProof/>
              </w:rPr>
            </w:pPr>
            <w:r>
              <w:rPr>
                <w:noProof/>
              </w:rPr>
              <w:t>Re-C06-i06</w:t>
            </w:r>
          </w:p>
        </w:tc>
        <w:tc>
          <w:tcPr>
            <w:tcW w:w="1520" w:type="dxa"/>
            <w:tcBorders>
              <w:top w:val="nil"/>
              <w:left w:val="nil"/>
              <w:bottom w:val="single" w:sz="4" w:space="0" w:color="auto"/>
              <w:right w:val="single" w:sz="4" w:space="0" w:color="auto"/>
            </w:tcBorders>
            <w:shd w:val="clear" w:color="auto" w:fill="C4EFCE"/>
            <w:vAlign w:val="center"/>
            <w:hideMark/>
          </w:tcPr>
          <w:p w14:paraId="5C1D825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1F28A3" w14:textId="77777777" w:rsidR="00776A1F" w:rsidRDefault="00D8574B">
            <w:pPr>
              <w:pStyle w:val="P68B1DB1-Normal23"/>
              <w:spacing w:after="0"/>
              <w:jc w:val="both"/>
              <w:rPr>
                <w:rFonts w:eastAsia="Calibri" w:cs="Calibri"/>
                <w:noProof/>
              </w:rPr>
            </w:pPr>
            <w:r>
              <w:rPr>
                <w:noProof/>
              </w:rPr>
              <w:t>Atbalsts pastāvīgiem līgumiem ar doktorantūras pētniekiem saskaņā ar FCT-Tenure un atbalsts pētniekiem saskaņā ar EPP Portugāli</w:t>
            </w:r>
          </w:p>
        </w:tc>
      </w:tr>
      <w:tr w:rsidR="00776A1F" w14:paraId="00F72F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1BDB7D" w14:textId="77777777" w:rsidR="00776A1F" w:rsidRDefault="00D8574B">
            <w:pPr>
              <w:pStyle w:val="P68B1DB1-Normal23"/>
              <w:spacing w:after="0"/>
              <w:jc w:val="center"/>
              <w:rPr>
                <w:rFonts w:eastAsia="Calibri" w:cs="Calibri"/>
                <w:noProof/>
              </w:rPr>
            </w:pPr>
            <w:r>
              <w:rPr>
                <w:noProof/>
              </w:rPr>
              <w:t>6.20</w:t>
            </w:r>
          </w:p>
        </w:tc>
        <w:tc>
          <w:tcPr>
            <w:tcW w:w="1760" w:type="dxa"/>
            <w:tcBorders>
              <w:top w:val="nil"/>
              <w:left w:val="nil"/>
              <w:bottom w:val="single" w:sz="4" w:space="0" w:color="auto"/>
              <w:right w:val="single" w:sz="4" w:space="0" w:color="auto"/>
            </w:tcBorders>
            <w:shd w:val="clear" w:color="auto" w:fill="C4EFCE"/>
            <w:vAlign w:val="center"/>
            <w:hideMark/>
          </w:tcPr>
          <w:p w14:paraId="2AC011E5" w14:textId="77777777" w:rsidR="00776A1F" w:rsidRDefault="00D8574B">
            <w:pPr>
              <w:pStyle w:val="P68B1DB1-Normal23"/>
              <w:spacing w:after="0"/>
              <w:jc w:val="center"/>
              <w:rPr>
                <w:rFonts w:eastAsia="Calibri" w:cs="Calibri"/>
                <w:noProof/>
              </w:rPr>
            </w:pPr>
            <w:r>
              <w:rPr>
                <w:noProof/>
              </w:rPr>
              <w:t>Re-C06-i06</w:t>
            </w:r>
          </w:p>
        </w:tc>
        <w:tc>
          <w:tcPr>
            <w:tcW w:w="1520" w:type="dxa"/>
            <w:tcBorders>
              <w:top w:val="nil"/>
              <w:left w:val="nil"/>
              <w:bottom w:val="single" w:sz="4" w:space="0" w:color="auto"/>
              <w:right w:val="single" w:sz="4" w:space="0" w:color="auto"/>
            </w:tcBorders>
            <w:shd w:val="clear" w:color="auto" w:fill="C4EFCE"/>
            <w:vAlign w:val="center"/>
            <w:hideMark/>
          </w:tcPr>
          <w:p w14:paraId="257B3C9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3D0EBEA" w14:textId="77777777" w:rsidR="00776A1F" w:rsidRDefault="00D8574B">
            <w:pPr>
              <w:pStyle w:val="P68B1DB1-Normal23"/>
              <w:spacing w:after="0"/>
              <w:jc w:val="both"/>
              <w:rPr>
                <w:rFonts w:eastAsia="Calibri" w:cs="Calibri"/>
                <w:noProof/>
              </w:rPr>
            </w:pPr>
            <w:r>
              <w:rPr>
                <w:noProof/>
              </w:rPr>
              <w:t>Starptautiskās partnerības zinātnes, tehnoloģiju un inovācijas jomā: Atbalstītās starptautiskās partnerības; Atbalstītie pētniecības un inovācijas projekti; Atbalstītā starptautiskā mobilitāte</w:t>
            </w:r>
          </w:p>
        </w:tc>
      </w:tr>
      <w:tr w:rsidR="00776A1F" w14:paraId="1808226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D9898C" w14:textId="77777777" w:rsidR="00776A1F" w:rsidRDefault="00D8574B">
            <w:pPr>
              <w:pStyle w:val="P68B1DB1-Normal23"/>
              <w:spacing w:after="0"/>
              <w:jc w:val="center"/>
              <w:rPr>
                <w:rFonts w:eastAsia="Calibri" w:cs="Calibri"/>
                <w:noProof/>
              </w:rPr>
            </w:pPr>
            <w:r>
              <w:rPr>
                <w:noProof/>
              </w:rPr>
              <w:t>6.21</w:t>
            </w:r>
          </w:p>
        </w:tc>
        <w:tc>
          <w:tcPr>
            <w:tcW w:w="1760" w:type="dxa"/>
            <w:tcBorders>
              <w:top w:val="nil"/>
              <w:left w:val="nil"/>
              <w:bottom w:val="single" w:sz="4" w:space="0" w:color="auto"/>
              <w:right w:val="single" w:sz="4" w:space="0" w:color="auto"/>
            </w:tcBorders>
            <w:shd w:val="clear" w:color="auto" w:fill="C4EFCE"/>
            <w:vAlign w:val="center"/>
            <w:hideMark/>
          </w:tcPr>
          <w:p w14:paraId="257E7C2E" w14:textId="77777777" w:rsidR="00776A1F" w:rsidRDefault="00D8574B">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006EB82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29BA4A5" w14:textId="2E25EB52" w:rsidR="00776A1F" w:rsidRDefault="00D8574B">
            <w:pPr>
              <w:pStyle w:val="P68B1DB1-Normal23"/>
              <w:spacing w:after="0"/>
              <w:jc w:val="both"/>
              <w:rPr>
                <w:rFonts w:eastAsia="Calibri" w:cs="Calibri"/>
                <w:noProof/>
              </w:rPr>
            </w:pPr>
            <w:r>
              <w:rPr>
                <w:noProof/>
              </w:rPr>
              <w:t>Agrārās zinātnes tehnoloģiskā un digitālā modernizācija: Agrārās zinātnes mācību programmas reforma, lauksaimniecības skolu atvēršana vidusskolēniem un speciālistu pārkvalifikācija</w:t>
            </w:r>
          </w:p>
        </w:tc>
      </w:tr>
      <w:tr w:rsidR="00776A1F" w14:paraId="2CF11C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1D7A14" w14:textId="77777777" w:rsidR="00776A1F" w:rsidRDefault="00D8574B">
            <w:pPr>
              <w:pStyle w:val="P68B1DB1-Normal23"/>
              <w:spacing w:after="0"/>
              <w:jc w:val="center"/>
              <w:rPr>
                <w:rFonts w:eastAsia="Calibri" w:cs="Calibri"/>
                <w:noProof/>
              </w:rPr>
            </w:pPr>
            <w:r>
              <w:rPr>
                <w:noProof/>
              </w:rPr>
              <w:t>6.22</w:t>
            </w:r>
          </w:p>
        </w:tc>
        <w:tc>
          <w:tcPr>
            <w:tcW w:w="1760" w:type="dxa"/>
            <w:tcBorders>
              <w:top w:val="nil"/>
              <w:left w:val="nil"/>
              <w:bottom w:val="single" w:sz="4" w:space="0" w:color="auto"/>
              <w:right w:val="single" w:sz="4" w:space="0" w:color="auto"/>
            </w:tcBorders>
            <w:shd w:val="clear" w:color="auto" w:fill="C4EFCE"/>
            <w:vAlign w:val="center"/>
            <w:hideMark/>
          </w:tcPr>
          <w:p w14:paraId="04E119E0" w14:textId="77777777" w:rsidR="00776A1F" w:rsidRDefault="00D8574B">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4AAA5A3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543139" w14:textId="77777777" w:rsidR="00776A1F" w:rsidRDefault="00D8574B">
            <w:pPr>
              <w:pStyle w:val="P68B1DB1-Normal23"/>
              <w:spacing w:after="0"/>
              <w:jc w:val="both"/>
              <w:rPr>
                <w:rFonts w:eastAsia="Calibri" w:cs="Calibri"/>
                <w:noProof/>
              </w:rPr>
            </w:pPr>
            <w:r>
              <w:rPr>
                <w:noProof/>
              </w:rPr>
              <w:t>Medicīnas modernizācija</w:t>
            </w:r>
          </w:p>
        </w:tc>
      </w:tr>
      <w:tr w:rsidR="00776A1F" w14:paraId="59F233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DEDDDF" w14:textId="77777777" w:rsidR="00776A1F" w:rsidRDefault="00D8574B">
            <w:pPr>
              <w:pStyle w:val="P68B1DB1-Normal23"/>
              <w:spacing w:after="0"/>
              <w:jc w:val="center"/>
              <w:rPr>
                <w:rFonts w:eastAsia="Calibri" w:cs="Calibri"/>
                <w:noProof/>
              </w:rPr>
            </w:pPr>
            <w:r>
              <w:rPr>
                <w:noProof/>
              </w:rPr>
              <w:t>6.23</w:t>
            </w:r>
          </w:p>
        </w:tc>
        <w:tc>
          <w:tcPr>
            <w:tcW w:w="1760" w:type="dxa"/>
            <w:tcBorders>
              <w:top w:val="nil"/>
              <w:left w:val="nil"/>
              <w:bottom w:val="single" w:sz="4" w:space="0" w:color="auto"/>
              <w:right w:val="single" w:sz="4" w:space="0" w:color="auto"/>
            </w:tcBorders>
            <w:shd w:val="clear" w:color="auto" w:fill="C4EFCE"/>
            <w:vAlign w:val="center"/>
            <w:hideMark/>
          </w:tcPr>
          <w:p w14:paraId="58F29485" w14:textId="77777777" w:rsidR="00776A1F" w:rsidRDefault="00D8574B">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6D388A5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20AF4F" w14:textId="77777777" w:rsidR="00776A1F" w:rsidRDefault="00D8574B">
            <w:pPr>
              <w:pStyle w:val="P68B1DB1-Normal23"/>
              <w:spacing w:after="0"/>
              <w:jc w:val="both"/>
              <w:rPr>
                <w:rFonts w:eastAsia="Calibri" w:cs="Calibri"/>
                <w:noProof/>
              </w:rPr>
            </w:pPr>
            <w:r>
              <w:rPr>
                <w:noProof/>
              </w:rPr>
              <w:t>Digitālo prasmju stiprināšana</w:t>
            </w:r>
          </w:p>
        </w:tc>
      </w:tr>
      <w:tr w:rsidR="00776A1F" w14:paraId="4628545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9D7342" w14:textId="77777777" w:rsidR="00776A1F" w:rsidRDefault="00D8574B">
            <w:pPr>
              <w:pStyle w:val="P68B1DB1-Normal23"/>
              <w:spacing w:after="0"/>
              <w:jc w:val="center"/>
              <w:rPr>
                <w:rFonts w:eastAsia="Calibri" w:cs="Calibri"/>
                <w:noProof/>
              </w:rPr>
            </w:pPr>
            <w:r>
              <w:rPr>
                <w:noProof/>
              </w:rPr>
              <w:t>6.25</w:t>
            </w:r>
          </w:p>
        </w:tc>
        <w:tc>
          <w:tcPr>
            <w:tcW w:w="1760" w:type="dxa"/>
            <w:tcBorders>
              <w:top w:val="nil"/>
              <w:left w:val="nil"/>
              <w:bottom w:val="single" w:sz="4" w:space="0" w:color="auto"/>
              <w:right w:val="single" w:sz="4" w:space="0" w:color="auto"/>
            </w:tcBorders>
            <w:shd w:val="clear" w:color="auto" w:fill="C4EFCE"/>
            <w:vAlign w:val="center"/>
            <w:hideMark/>
          </w:tcPr>
          <w:p w14:paraId="225B7648" w14:textId="77777777" w:rsidR="00776A1F" w:rsidRDefault="00D8574B">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29D570B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50E32E" w14:textId="77777777" w:rsidR="00776A1F" w:rsidRDefault="00D8574B">
            <w:pPr>
              <w:pStyle w:val="P68B1DB1-Normal23"/>
              <w:spacing w:after="0"/>
              <w:jc w:val="both"/>
              <w:rPr>
                <w:rFonts w:eastAsia="Calibri" w:cs="Calibri"/>
                <w:noProof/>
              </w:rPr>
            </w:pPr>
            <w:r>
              <w:rPr>
                <w:noProof/>
              </w:rPr>
              <w:t>Inovācija un pedagoģiskā modernizācija augstākajā izglītībā</w:t>
            </w:r>
          </w:p>
        </w:tc>
      </w:tr>
      <w:tr w:rsidR="00776A1F" w14:paraId="542E2DD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4389EE5" w14:textId="77777777" w:rsidR="00776A1F" w:rsidRDefault="00D8574B">
            <w:pPr>
              <w:pStyle w:val="P68B1DB1-Normal23"/>
              <w:spacing w:after="0"/>
              <w:jc w:val="center"/>
              <w:rPr>
                <w:rFonts w:eastAsia="Calibri" w:cs="Calibri"/>
                <w:noProof/>
              </w:rPr>
            </w:pPr>
            <w:r>
              <w:rPr>
                <w:noProof/>
              </w:rPr>
              <w:t>6.27</w:t>
            </w:r>
          </w:p>
        </w:tc>
        <w:tc>
          <w:tcPr>
            <w:tcW w:w="1760" w:type="dxa"/>
            <w:tcBorders>
              <w:top w:val="nil"/>
              <w:left w:val="nil"/>
              <w:bottom w:val="single" w:sz="4" w:space="0" w:color="auto"/>
              <w:right w:val="single" w:sz="4" w:space="0" w:color="auto"/>
            </w:tcBorders>
            <w:shd w:val="clear" w:color="auto" w:fill="C4EFCE"/>
            <w:vAlign w:val="center"/>
            <w:hideMark/>
          </w:tcPr>
          <w:p w14:paraId="5B347262" w14:textId="167A3DA3" w:rsidR="00776A1F" w:rsidRDefault="00D8574B">
            <w:pPr>
              <w:pStyle w:val="P68B1DB1-Normal23"/>
              <w:spacing w:after="0"/>
              <w:jc w:val="center"/>
              <w:rPr>
                <w:rFonts w:eastAsia="Calibri" w:cs="Calibri"/>
                <w:noProof/>
              </w:rPr>
            </w:pPr>
            <w:r>
              <w:rPr>
                <w:noProof/>
              </w:rPr>
              <w:t>Re-C06-i08-RAM</w:t>
            </w:r>
          </w:p>
        </w:tc>
        <w:tc>
          <w:tcPr>
            <w:tcW w:w="1520" w:type="dxa"/>
            <w:tcBorders>
              <w:top w:val="nil"/>
              <w:left w:val="nil"/>
              <w:bottom w:val="single" w:sz="4" w:space="0" w:color="auto"/>
              <w:right w:val="single" w:sz="4" w:space="0" w:color="auto"/>
            </w:tcBorders>
            <w:shd w:val="clear" w:color="auto" w:fill="C4EFCE"/>
            <w:vAlign w:val="center"/>
            <w:hideMark/>
          </w:tcPr>
          <w:p w14:paraId="0615067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FA626DF" w14:textId="77777777" w:rsidR="00776A1F" w:rsidRDefault="00D8574B">
            <w:pPr>
              <w:pStyle w:val="P68B1DB1-Normal23"/>
              <w:spacing w:after="0"/>
              <w:jc w:val="both"/>
              <w:rPr>
                <w:rFonts w:eastAsia="Calibri" w:cs="Calibri"/>
                <w:noProof/>
              </w:rPr>
            </w:pPr>
            <w:r>
              <w:rPr>
                <w:noProof/>
              </w:rPr>
              <w:t>Pabeigti CITMA ēkas paplašināšanas darbi</w:t>
            </w:r>
          </w:p>
        </w:tc>
      </w:tr>
      <w:tr w:rsidR="00776A1F" w14:paraId="22766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AA0D863" w14:textId="77777777" w:rsidR="00776A1F" w:rsidRDefault="00D8574B">
            <w:pPr>
              <w:pStyle w:val="P68B1DB1-Normal23"/>
              <w:spacing w:after="0"/>
              <w:jc w:val="center"/>
              <w:rPr>
                <w:rFonts w:eastAsia="Calibri" w:cs="Calibri"/>
                <w:noProof/>
              </w:rPr>
            </w:pPr>
            <w:r>
              <w:rPr>
                <w:noProof/>
              </w:rPr>
              <w:t>7.15</w:t>
            </w:r>
          </w:p>
        </w:tc>
        <w:tc>
          <w:tcPr>
            <w:tcW w:w="1760" w:type="dxa"/>
            <w:tcBorders>
              <w:top w:val="nil"/>
              <w:left w:val="nil"/>
              <w:bottom w:val="single" w:sz="4" w:space="0" w:color="auto"/>
              <w:right w:val="single" w:sz="4" w:space="0" w:color="auto"/>
            </w:tcBorders>
            <w:shd w:val="clear" w:color="auto" w:fill="C4EFCE"/>
            <w:vAlign w:val="center"/>
            <w:hideMark/>
          </w:tcPr>
          <w:p w14:paraId="579A148C" w14:textId="77777777" w:rsidR="00776A1F" w:rsidRDefault="00D8574B">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4D131CB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4295B7" w14:textId="77777777" w:rsidR="00776A1F" w:rsidRDefault="00D8574B">
            <w:pPr>
              <w:pStyle w:val="P68B1DB1-Normal23"/>
              <w:spacing w:after="0"/>
              <w:jc w:val="both"/>
              <w:rPr>
                <w:rFonts w:eastAsia="Calibri" w:cs="Calibri"/>
                <w:noProof/>
              </w:rPr>
            </w:pPr>
            <w:r>
              <w:rPr>
                <w:noProof/>
              </w:rPr>
              <w:t>Uzbūvētie vai atjaunotie ceļi</w:t>
            </w:r>
          </w:p>
        </w:tc>
      </w:tr>
      <w:tr w:rsidR="00776A1F" w14:paraId="718FC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7A7A1F" w14:textId="77777777" w:rsidR="00776A1F" w:rsidRDefault="00D8574B">
            <w:pPr>
              <w:pStyle w:val="P68B1DB1-Normal23"/>
              <w:spacing w:after="0"/>
              <w:jc w:val="center"/>
              <w:rPr>
                <w:rFonts w:eastAsia="Calibri" w:cs="Calibri"/>
                <w:noProof/>
              </w:rPr>
            </w:pPr>
            <w:r>
              <w:rPr>
                <w:noProof/>
              </w:rPr>
              <w:t>9.2</w:t>
            </w:r>
          </w:p>
        </w:tc>
        <w:tc>
          <w:tcPr>
            <w:tcW w:w="1760" w:type="dxa"/>
            <w:tcBorders>
              <w:top w:val="nil"/>
              <w:left w:val="nil"/>
              <w:bottom w:val="single" w:sz="4" w:space="0" w:color="auto"/>
              <w:right w:val="single" w:sz="4" w:space="0" w:color="auto"/>
            </w:tcBorders>
            <w:shd w:val="clear" w:color="auto" w:fill="C4EFCE"/>
            <w:vAlign w:val="center"/>
            <w:hideMark/>
          </w:tcPr>
          <w:p w14:paraId="59ABCBA1" w14:textId="77777777" w:rsidR="00776A1F" w:rsidRDefault="00D8574B">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2EAFCD8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96DBA45" w14:textId="77777777" w:rsidR="00776A1F" w:rsidRDefault="00D8574B">
            <w:pPr>
              <w:pStyle w:val="P68B1DB1-Normal23"/>
              <w:spacing w:after="0"/>
              <w:jc w:val="both"/>
              <w:rPr>
                <w:rFonts w:eastAsia="Calibri" w:cs="Calibri"/>
                <w:noProof/>
              </w:rPr>
            </w:pPr>
            <w:r>
              <w:rPr>
                <w:noProof/>
              </w:rPr>
              <w:t>Tīkla intervences pabeigšana, lai samazinātu ūdens zudumus (SM1)</w:t>
            </w:r>
          </w:p>
        </w:tc>
      </w:tr>
      <w:tr w:rsidR="00776A1F" w14:paraId="37AC4E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E10FD" w14:textId="77777777" w:rsidR="00776A1F" w:rsidRDefault="00D8574B">
            <w:pPr>
              <w:pStyle w:val="P68B1DB1-Normal23"/>
              <w:spacing w:after="0"/>
              <w:jc w:val="center"/>
              <w:rPr>
                <w:rFonts w:eastAsia="Calibri" w:cs="Calibri"/>
                <w:noProof/>
              </w:rPr>
            </w:pPr>
            <w:r>
              <w:rPr>
                <w:noProof/>
              </w:rPr>
              <w:t>9.3</w:t>
            </w:r>
          </w:p>
        </w:tc>
        <w:tc>
          <w:tcPr>
            <w:tcW w:w="1760" w:type="dxa"/>
            <w:tcBorders>
              <w:top w:val="nil"/>
              <w:left w:val="nil"/>
              <w:bottom w:val="single" w:sz="4" w:space="0" w:color="auto"/>
              <w:right w:val="single" w:sz="4" w:space="0" w:color="auto"/>
            </w:tcBorders>
            <w:shd w:val="clear" w:color="auto" w:fill="C4EFCE"/>
            <w:vAlign w:val="center"/>
            <w:hideMark/>
          </w:tcPr>
          <w:p w14:paraId="237E8E0F" w14:textId="77777777" w:rsidR="00776A1F" w:rsidRDefault="00D8574B">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91C884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A3DEEE" w14:textId="77777777" w:rsidR="00776A1F" w:rsidRDefault="00D8574B">
            <w:pPr>
              <w:pStyle w:val="P68B1DB1-Normal23"/>
              <w:spacing w:after="0"/>
              <w:jc w:val="both"/>
              <w:rPr>
                <w:rFonts w:eastAsia="Calibri" w:cs="Calibri"/>
                <w:noProof/>
              </w:rPr>
            </w:pPr>
            <w:r>
              <w:rPr>
                <w:noProof/>
              </w:rPr>
              <w:t>Zemes platību modernizācija kolektīvai hidrolauksaimnieciskai izmantošanai un individuālai apūdeņošanai (SM2)</w:t>
            </w:r>
          </w:p>
        </w:tc>
      </w:tr>
      <w:tr w:rsidR="00776A1F" w14:paraId="6F7B77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5D3E67" w14:textId="77777777" w:rsidR="00776A1F" w:rsidRDefault="00D8574B">
            <w:pPr>
              <w:pStyle w:val="P68B1DB1-Normal23"/>
              <w:spacing w:after="0"/>
              <w:jc w:val="center"/>
              <w:rPr>
                <w:rFonts w:eastAsia="Calibri" w:cs="Calibri"/>
                <w:noProof/>
              </w:rPr>
            </w:pPr>
            <w:r>
              <w:rPr>
                <w:noProof/>
              </w:rPr>
              <w:t>9.4</w:t>
            </w:r>
          </w:p>
        </w:tc>
        <w:tc>
          <w:tcPr>
            <w:tcW w:w="1760" w:type="dxa"/>
            <w:tcBorders>
              <w:top w:val="nil"/>
              <w:left w:val="nil"/>
              <w:bottom w:val="single" w:sz="4" w:space="0" w:color="auto"/>
              <w:right w:val="single" w:sz="4" w:space="0" w:color="auto"/>
            </w:tcBorders>
            <w:shd w:val="clear" w:color="auto" w:fill="C4EFCE"/>
            <w:vAlign w:val="center"/>
            <w:hideMark/>
          </w:tcPr>
          <w:p w14:paraId="5C2FE0DD" w14:textId="77777777" w:rsidR="00776A1F" w:rsidRDefault="00D8574B">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33D26A42"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33600" w14:textId="77777777" w:rsidR="00776A1F" w:rsidRDefault="00D8574B">
            <w:pPr>
              <w:pStyle w:val="P68B1DB1-Normal23"/>
              <w:spacing w:after="0"/>
              <w:jc w:val="both"/>
              <w:rPr>
                <w:rFonts w:eastAsia="Calibri" w:cs="Calibri"/>
                <w:noProof/>
              </w:rPr>
            </w:pPr>
            <w:r>
              <w:rPr>
                <w:noProof/>
              </w:rPr>
              <w:t>Attīrīšanas iekārtu skaits, lai nodrošinātu attīrīto notekūdeņu ražošanu un pilnveidi (SM4)</w:t>
            </w:r>
          </w:p>
        </w:tc>
      </w:tr>
      <w:tr w:rsidR="00776A1F" w14:paraId="1D13C9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A5C54B" w14:textId="77777777" w:rsidR="00776A1F" w:rsidRDefault="00D8574B">
            <w:pPr>
              <w:pStyle w:val="P68B1DB1-Normal23"/>
              <w:spacing w:after="0"/>
              <w:jc w:val="center"/>
              <w:rPr>
                <w:rFonts w:eastAsia="Calibri" w:cs="Calibri"/>
                <w:noProof/>
              </w:rPr>
            </w:pPr>
            <w:r>
              <w:rPr>
                <w:noProof/>
              </w:rPr>
              <w:t>9.6</w:t>
            </w:r>
          </w:p>
        </w:tc>
        <w:tc>
          <w:tcPr>
            <w:tcW w:w="1760" w:type="dxa"/>
            <w:tcBorders>
              <w:top w:val="nil"/>
              <w:left w:val="nil"/>
              <w:bottom w:val="single" w:sz="4" w:space="0" w:color="auto"/>
              <w:right w:val="single" w:sz="4" w:space="0" w:color="auto"/>
            </w:tcBorders>
            <w:shd w:val="clear" w:color="auto" w:fill="C4EFCE"/>
            <w:vAlign w:val="center"/>
            <w:hideMark/>
          </w:tcPr>
          <w:p w14:paraId="688EB844" w14:textId="77777777" w:rsidR="00776A1F" w:rsidRDefault="00D8574B">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64009CE"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C4FC67" w14:textId="77777777" w:rsidR="00776A1F" w:rsidRDefault="00D8574B">
            <w:pPr>
              <w:pStyle w:val="P68B1DB1-Normal23"/>
              <w:spacing w:after="0"/>
              <w:jc w:val="both"/>
              <w:rPr>
                <w:rFonts w:eastAsia="Calibri" w:cs="Calibri"/>
                <w:noProof/>
              </w:rPr>
            </w:pPr>
            <w:r>
              <w:rPr>
                <w:noProof/>
              </w:rPr>
              <w:t>Ieguves uzsākšana Guadiana, pilnībā ievērojot ietekmes uz vidi novērtējuma (SM5) noteiktos rezultātus un nosacījumus</w:t>
            </w:r>
          </w:p>
        </w:tc>
      </w:tr>
      <w:tr w:rsidR="00776A1F" w14:paraId="00AC9B8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2E6A91" w14:textId="77777777" w:rsidR="00776A1F" w:rsidRDefault="00D8574B">
            <w:pPr>
              <w:pStyle w:val="P68B1DB1-Normal23"/>
              <w:spacing w:after="0"/>
              <w:jc w:val="center"/>
              <w:rPr>
                <w:rFonts w:eastAsia="Calibri" w:cs="Calibri"/>
                <w:noProof/>
              </w:rPr>
            </w:pPr>
            <w:r>
              <w:rPr>
                <w:noProof/>
              </w:rPr>
              <w:t>9.8</w:t>
            </w:r>
          </w:p>
        </w:tc>
        <w:tc>
          <w:tcPr>
            <w:tcW w:w="1760" w:type="dxa"/>
            <w:tcBorders>
              <w:top w:val="nil"/>
              <w:left w:val="nil"/>
              <w:bottom w:val="single" w:sz="4" w:space="0" w:color="auto"/>
              <w:right w:val="single" w:sz="4" w:space="0" w:color="auto"/>
            </w:tcBorders>
            <w:shd w:val="clear" w:color="auto" w:fill="C4EFCE"/>
            <w:vAlign w:val="center"/>
            <w:hideMark/>
          </w:tcPr>
          <w:p w14:paraId="5EBB0488" w14:textId="77777777" w:rsidR="00776A1F" w:rsidRDefault="00D8574B">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7A9B6AA"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4D168C1" w14:textId="0C32D8AF" w:rsidR="00776A1F" w:rsidRDefault="00D8574B">
            <w:pPr>
              <w:pStyle w:val="P68B1DB1-Normal23"/>
              <w:spacing w:after="0"/>
              <w:jc w:val="both"/>
              <w:rPr>
                <w:rFonts w:eastAsia="Calibri" w:cs="Calibri"/>
                <w:noProof/>
              </w:rPr>
            </w:pPr>
            <w:r>
              <w:rPr>
                <w:noProof/>
              </w:rPr>
              <w:t>Atsāļošanas pasākuma darbības uzsākšana, pilnībā ievērojot ietekmes uz vidi novērtējumā (SM6) noteiktos rezultātus un nosacījumus</w:t>
            </w:r>
          </w:p>
        </w:tc>
      </w:tr>
      <w:tr w:rsidR="00776A1F" w14:paraId="2BDB91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D6E3E7" w14:textId="77777777" w:rsidR="00776A1F" w:rsidRDefault="00D8574B">
            <w:pPr>
              <w:pStyle w:val="P68B1DB1-Normal23"/>
              <w:spacing w:after="0"/>
              <w:jc w:val="center"/>
              <w:rPr>
                <w:rFonts w:eastAsia="Calibri" w:cs="Calibri"/>
                <w:noProof/>
              </w:rPr>
            </w:pPr>
            <w:r>
              <w:rPr>
                <w:noProof/>
              </w:rPr>
              <w:t>10.10</w:t>
            </w:r>
          </w:p>
        </w:tc>
        <w:tc>
          <w:tcPr>
            <w:tcW w:w="1760" w:type="dxa"/>
            <w:tcBorders>
              <w:top w:val="nil"/>
              <w:left w:val="nil"/>
              <w:bottom w:val="single" w:sz="4" w:space="0" w:color="auto"/>
              <w:right w:val="single" w:sz="4" w:space="0" w:color="auto"/>
            </w:tcBorders>
            <w:shd w:val="clear" w:color="auto" w:fill="C4EFCE"/>
            <w:vAlign w:val="center"/>
            <w:hideMark/>
          </w:tcPr>
          <w:p w14:paraId="66F203A9" w14:textId="77777777" w:rsidR="00776A1F" w:rsidRDefault="00D8574B">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6D83619A"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44450C5" w14:textId="77777777" w:rsidR="00776A1F" w:rsidRDefault="00D8574B">
            <w:pPr>
              <w:pStyle w:val="P68B1DB1-Normal23"/>
              <w:spacing w:after="0"/>
              <w:jc w:val="both"/>
              <w:rPr>
                <w:rFonts w:eastAsia="Calibri" w:cs="Calibri"/>
                <w:noProof/>
              </w:rPr>
            </w:pPr>
            <w:r>
              <w:rPr>
                <w:noProof/>
              </w:rPr>
              <w:t xml:space="preserve">Ar jūru saistītā eksperimentālās pētniecības un izstrādes centra darbības uzsākšana Azoru salās (MARTEC centrs) </w:t>
            </w:r>
          </w:p>
        </w:tc>
      </w:tr>
      <w:tr w:rsidR="00776A1F" w14:paraId="12909A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610000" w14:textId="77777777" w:rsidR="00776A1F" w:rsidRDefault="00D8574B">
            <w:pPr>
              <w:pStyle w:val="P68B1DB1-Normal23"/>
              <w:spacing w:after="0"/>
              <w:jc w:val="center"/>
              <w:rPr>
                <w:rFonts w:eastAsia="Calibri" w:cs="Calibri"/>
                <w:noProof/>
              </w:rPr>
            </w:pPr>
            <w:r>
              <w:rPr>
                <w:noProof/>
              </w:rPr>
              <w:t>10.11</w:t>
            </w:r>
          </w:p>
        </w:tc>
        <w:tc>
          <w:tcPr>
            <w:tcW w:w="1760" w:type="dxa"/>
            <w:tcBorders>
              <w:top w:val="nil"/>
              <w:left w:val="nil"/>
              <w:bottom w:val="single" w:sz="4" w:space="0" w:color="auto"/>
              <w:right w:val="single" w:sz="4" w:space="0" w:color="auto"/>
            </w:tcBorders>
            <w:shd w:val="clear" w:color="auto" w:fill="C4EFCE"/>
            <w:vAlign w:val="center"/>
            <w:hideMark/>
          </w:tcPr>
          <w:p w14:paraId="2149C41D" w14:textId="77777777" w:rsidR="00776A1F" w:rsidRDefault="00D8574B">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5F54449"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D495D64" w14:textId="77777777" w:rsidR="00776A1F" w:rsidRDefault="00D8574B">
            <w:pPr>
              <w:pStyle w:val="P68B1DB1-Normal23"/>
              <w:spacing w:after="0"/>
              <w:jc w:val="both"/>
              <w:rPr>
                <w:rFonts w:eastAsia="Calibri" w:cs="Calibri"/>
                <w:noProof/>
              </w:rPr>
            </w:pPr>
            <w:r>
              <w:rPr>
                <w:noProof/>
              </w:rPr>
              <w:t>Divu moduļu piegāde jaunajam pētniecības kuģim</w:t>
            </w:r>
          </w:p>
        </w:tc>
      </w:tr>
      <w:tr w:rsidR="00776A1F" w14:paraId="58CCDB4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70AF37" w14:textId="77777777" w:rsidR="00776A1F" w:rsidRDefault="00D8574B">
            <w:pPr>
              <w:pStyle w:val="P68B1DB1-Normal23"/>
              <w:spacing w:after="0"/>
              <w:jc w:val="center"/>
              <w:rPr>
                <w:rFonts w:eastAsia="Calibri" w:cs="Calibri"/>
                <w:noProof/>
              </w:rPr>
            </w:pPr>
            <w:r>
              <w:rPr>
                <w:noProof/>
              </w:rPr>
              <w:t>10.12</w:t>
            </w:r>
          </w:p>
        </w:tc>
        <w:tc>
          <w:tcPr>
            <w:tcW w:w="1760" w:type="dxa"/>
            <w:tcBorders>
              <w:top w:val="nil"/>
              <w:left w:val="nil"/>
              <w:bottom w:val="single" w:sz="4" w:space="0" w:color="auto"/>
              <w:right w:val="single" w:sz="4" w:space="0" w:color="auto"/>
            </w:tcBorders>
            <w:shd w:val="clear" w:color="auto" w:fill="C4EFCE"/>
            <w:vAlign w:val="center"/>
            <w:hideMark/>
          </w:tcPr>
          <w:p w14:paraId="0DFEBA2F" w14:textId="77777777" w:rsidR="00776A1F" w:rsidRDefault="00D8574B">
            <w:pPr>
              <w:pStyle w:val="P68B1DB1-Normal23"/>
              <w:spacing w:after="0"/>
              <w:jc w:val="center"/>
              <w:rPr>
                <w:rFonts w:eastAsia="Calibri" w:cs="Calibri"/>
                <w:noProof/>
              </w:rPr>
            </w:pPr>
            <w:r>
              <w:rPr>
                <w:noProof/>
              </w:rPr>
              <w:t>TC-C10-i05-RAA</w:t>
            </w:r>
          </w:p>
        </w:tc>
        <w:tc>
          <w:tcPr>
            <w:tcW w:w="1520" w:type="dxa"/>
            <w:tcBorders>
              <w:top w:val="nil"/>
              <w:left w:val="nil"/>
              <w:bottom w:val="single" w:sz="4" w:space="0" w:color="auto"/>
              <w:right w:val="single" w:sz="4" w:space="0" w:color="auto"/>
            </w:tcBorders>
            <w:shd w:val="clear" w:color="auto" w:fill="C4EFCE"/>
            <w:vAlign w:val="center"/>
            <w:hideMark/>
          </w:tcPr>
          <w:p w14:paraId="0039517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F68158" w14:textId="77777777" w:rsidR="00776A1F" w:rsidRDefault="00D8574B">
            <w:pPr>
              <w:pStyle w:val="P68B1DB1-Normal23"/>
              <w:spacing w:after="0"/>
              <w:jc w:val="both"/>
              <w:rPr>
                <w:rFonts w:eastAsia="Calibri" w:cs="Calibri"/>
                <w:noProof/>
              </w:rPr>
            </w:pPr>
            <w:r>
              <w:rPr>
                <w:noProof/>
              </w:rPr>
              <w:t xml:space="preserve">Projektu pabeigšana zivsaimniecības un akvakultūras nozarē </w:t>
            </w:r>
          </w:p>
        </w:tc>
      </w:tr>
      <w:tr w:rsidR="00776A1F" w14:paraId="675CEDE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604C72C" w14:textId="77777777" w:rsidR="00776A1F" w:rsidRDefault="00D8574B">
            <w:pPr>
              <w:pStyle w:val="P68B1DB1-Normal23"/>
              <w:spacing w:after="0"/>
              <w:jc w:val="center"/>
              <w:rPr>
                <w:rFonts w:eastAsia="Calibri" w:cs="Calibri"/>
                <w:noProof/>
              </w:rPr>
            </w:pPr>
            <w:r>
              <w:rPr>
                <w:noProof/>
              </w:rPr>
              <w:t>10.14</w:t>
            </w:r>
          </w:p>
        </w:tc>
        <w:tc>
          <w:tcPr>
            <w:tcW w:w="1760" w:type="dxa"/>
            <w:tcBorders>
              <w:top w:val="nil"/>
              <w:left w:val="nil"/>
              <w:bottom w:val="single" w:sz="4" w:space="0" w:color="auto"/>
              <w:right w:val="single" w:sz="4" w:space="0" w:color="auto"/>
            </w:tcBorders>
            <w:shd w:val="clear" w:color="auto" w:fill="C4EFCE"/>
            <w:vAlign w:val="center"/>
            <w:hideMark/>
          </w:tcPr>
          <w:p w14:paraId="4059CC69" w14:textId="77777777" w:rsidR="00776A1F" w:rsidRDefault="00D8574B">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5003A16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6549ECD" w14:textId="77777777" w:rsidR="00776A1F" w:rsidRDefault="00D8574B">
            <w:pPr>
              <w:pStyle w:val="P68B1DB1-Normal23"/>
              <w:spacing w:after="0"/>
              <w:jc w:val="both"/>
              <w:rPr>
                <w:rFonts w:eastAsia="Calibri" w:cs="Calibri"/>
                <w:noProof/>
              </w:rPr>
            </w:pPr>
            <w:r>
              <w:rPr>
                <w:noProof/>
              </w:rPr>
              <w:t>Energoefektīva daudzfunkcionāla pētniecības kuģa piegāde</w:t>
            </w:r>
          </w:p>
        </w:tc>
      </w:tr>
      <w:tr w:rsidR="00776A1F" w14:paraId="782F16D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1F58B5" w14:textId="77777777" w:rsidR="00776A1F" w:rsidRDefault="00D8574B">
            <w:pPr>
              <w:pStyle w:val="P68B1DB1-Normal23"/>
              <w:spacing w:after="0"/>
              <w:jc w:val="center"/>
              <w:rPr>
                <w:rFonts w:eastAsia="Calibri" w:cs="Calibri"/>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149B14E3" w14:textId="77777777" w:rsidR="00776A1F" w:rsidRDefault="00D8574B">
            <w:pPr>
              <w:pStyle w:val="P68B1DB1-Normal23"/>
              <w:spacing w:after="0"/>
              <w:jc w:val="center"/>
              <w:rPr>
                <w:rFonts w:eastAsia="Calibri" w:cs="Calibri"/>
                <w:noProof/>
              </w:rPr>
            </w:pPr>
            <w:r>
              <w:rPr>
                <w:noProof/>
              </w:rPr>
              <w:t>TC-C14-i01</w:t>
            </w:r>
          </w:p>
        </w:tc>
        <w:tc>
          <w:tcPr>
            <w:tcW w:w="1520" w:type="dxa"/>
            <w:tcBorders>
              <w:top w:val="nil"/>
              <w:left w:val="nil"/>
              <w:bottom w:val="single" w:sz="4" w:space="0" w:color="auto"/>
              <w:right w:val="single" w:sz="4" w:space="0" w:color="auto"/>
            </w:tcBorders>
            <w:shd w:val="clear" w:color="auto" w:fill="C4EFCE"/>
            <w:vAlign w:val="center"/>
            <w:hideMark/>
          </w:tcPr>
          <w:p w14:paraId="1C7D092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3D40777" w14:textId="77777777" w:rsidR="00776A1F" w:rsidRDefault="00D8574B">
            <w:pPr>
              <w:pStyle w:val="P68B1DB1-Normal23"/>
              <w:spacing w:after="0"/>
              <w:jc w:val="both"/>
              <w:rPr>
                <w:rFonts w:eastAsia="Calibri" w:cs="Calibri"/>
                <w:noProof/>
              </w:rPr>
            </w:pPr>
            <w:r>
              <w:rPr>
                <w:noProof/>
              </w:rPr>
              <w:t>Atjaunīgā ūdeņraža un atjaunīgās gāzes ražošanas papildu jauda</w:t>
            </w:r>
          </w:p>
        </w:tc>
      </w:tr>
      <w:tr w:rsidR="00776A1F" w14:paraId="6E3719A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C92FF" w14:textId="77777777" w:rsidR="00776A1F" w:rsidRDefault="00D8574B">
            <w:pPr>
              <w:pStyle w:val="P68B1DB1-Normal23"/>
              <w:spacing w:after="0"/>
              <w:jc w:val="center"/>
              <w:rPr>
                <w:rFonts w:eastAsia="Calibri" w:cs="Calibri"/>
                <w:noProof/>
              </w:rPr>
            </w:pPr>
            <w:r>
              <w:rPr>
                <w:noProof/>
              </w:rPr>
              <w:t>14.11</w:t>
            </w:r>
          </w:p>
        </w:tc>
        <w:tc>
          <w:tcPr>
            <w:tcW w:w="1760" w:type="dxa"/>
            <w:tcBorders>
              <w:top w:val="nil"/>
              <w:left w:val="nil"/>
              <w:bottom w:val="single" w:sz="4" w:space="0" w:color="auto"/>
              <w:right w:val="single" w:sz="4" w:space="0" w:color="auto"/>
            </w:tcBorders>
            <w:shd w:val="clear" w:color="auto" w:fill="C4EFCE"/>
            <w:vAlign w:val="center"/>
            <w:hideMark/>
          </w:tcPr>
          <w:p w14:paraId="48F00665" w14:textId="77777777" w:rsidR="00776A1F" w:rsidRDefault="00D8574B">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3B322EA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F348DF8" w14:textId="77777777" w:rsidR="00776A1F" w:rsidRDefault="00D8574B">
            <w:pPr>
              <w:pStyle w:val="P68B1DB1-Normal23"/>
              <w:spacing w:after="0"/>
              <w:jc w:val="both"/>
              <w:rPr>
                <w:rFonts w:eastAsia="Calibri" w:cs="Calibri"/>
                <w:noProof/>
              </w:rPr>
            </w:pPr>
            <w:r>
              <w:rPr>
                <w:noProof/>
              </w:rPr>
              <w:t>Papildu un atjaunotā uzstādītā ģeotermālā ražošanas jauda</w:t>
            </w:r>
          </w:p>
        </w:tc>
      </w:tr>
      <w:tr w:rsidR="00776A1F" w14:paraId="5FD819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F8B68" w14:textId="77777777" w:rsidR="00776A1F" w:rsidRDefault="00D8574B">
            <w:pPr>
              <w:pStyle w:val="P68B1DB1-Normal23"/>
              <w:spacing w:after="0"/>
              <w:jc w:val="center"/>
              <w:rPr>
                <w:rFonts w:eastAsia="Calibri" w:cs="Calibri"/>
                <w:noProof/>
              </w:rPr>
            </w:pPr>
            <w:r>
              <w:rPr>
                <w:noProof/>
              </w:rPr>
              <w:t>14.13</w:t>
            </w:r>
          </w:p>
        </w:tc>
        <w:tc>
          <w:tcPr>
            <w:tcW w:w="1760" w:type="dxa"/>
            <w:tcBorders>
              <w:top w:val="nil"/>
              <w:left w:val="nil"/>
              <w:bottom w:val="single" w:sz="4" w:space="0" w:color="auto"/>
              <w:right w:val="single" w:sz="4" w:space="0" w:color="auto"/>
            </w:tcBorders>
            <w:shd w:val="clear" w:color="auto" w:fill="C4EFCE"/>
            <w:vAlign w:val="center"/>
            <w:hideMark/>
          </w:tcPr>
          <w:p w14:paraId="64F40519" w14:textId="77777777" w:rsidR="00776A1F" w:rsidRDefault="00D8574B">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007474A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AB61EA" w14:textId="77777777" w:rsidR="00776A1F" w:rsidRDefault="00D8574B">
            <w:pPr>
              <w:pStyle w:val="P68B1DB1-Normal23"/>
              <w:spacing w:after="0"/>
              <w:jc w:val="both"/>
              <w:rPr>
                <w:rFonts w:eastAsia="Calibri" w:cs="Calibri"/>
                <w:noProof/>
              </w:rPr>
            </w:pPr>
            <w:r>
              <w:rPr>
                <w:noProof/>
              </w:rPr>
              <w:t>Jaunas akumulatoru enerģijas uzkrāšanas sistēmas un energovadības sistēmas ARA</w:t>
            </w:r>
          </w:p>
        </w:tc>
      </w:tr>
      <w:tr w:rsidR="00776A1F" w14:paraId="3D2D7C2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5885B6" w14:textId="77777777" w:rsidR="00776A1F" w:rsidRDefault="00D8574B">
            <w:pPr>
              <w:pStyle w:val="P68B1DB1-Normal23"/>
              <w:spacing w:after="0"/>
              <w:jc w:val="center"/>
              <w:rPr>
                <w:rFonts w:eastAsia="Calibri" w:cs="Calibri"/>
                <w:noProof/>
              </w:rPr>
            </w:pPr>
            <w:r>
              <w:rPr>
                <w:noProof/>
              </w:rPr>
              <w:t>15.3</w:t>
            </w:r>
          </w:p>
        </w:tc>
        <w:tc>
          <w:tcPr>
            <w:tcW w:w="1760" w:type="dxa"/>
            <w:tcBorders>
              <w:top w:val="nil"/>
              <w:left w:val="nil"/>
              <w:bottom w:val="single" w:sz="4" w:space="0" w:color="auto"/>
              <w:right w:val="single" w:sz="4" w:space="0" w:color="auto"/>
            </w:tcBorders>
            <w:shd w:val="clear" w:color="auto" w:fill="C4EFCE"/>
            <w:vAlign w:val="center"/>
            <w:hideMark/>
          </w:tcPr>
          <w:p w14:paraId="5F0E4652" w14:textId="77777777" w:rsidR="00776A1F" w:rsidRDefault="00D8574B">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41ACA24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D9D0D7" w14:textId="77777777" w:rsidR="00776A1F" w:rsidRDefault="00D8574B">
            <w:pPr>
              <w:pStyle w:val="P68B1DB1-Normal23"/>
              <w:spacing w:after="0"/>
              <w:jc w:val="both"/>
              <w:rPr>
                <w:rFonts w:eastAsia="Calibri" w:cs="Calibri"/>
                <w:noProof/>
              </w:rPr>
            </w:pPr>
            <w:r>
              <w:rPr>
                <w:noProof/>
              </w:rPr>
              <w:t>Pabeigta Lisabonas metro tīkla paplašināšana</w:t>
            </w:r>
          </w:p>
        </w:tc>
      </w:tr>
      <w:tr w:rsidR="00776A1F" w14:paraId="7EB0F83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501D3C5" w14:textId="77777777" w:rsidR="00776A1F" w:rsidRDefault="00D8574B">
            <w:pPr>
              <w:pStyle w:val="P68B1DB1-Normal23"/>
              <w:spacing w:after="0"/>
              <w:jc w:val="center"/>
              <w:rPr>
                <w:rFonts w:eastAsia="Calibri" w:cs="Calibri"/>
                <w:noProof/>
              </w:rPr>
            </w:pPr>
            <w:r>
              <w:rPr>
                <w:noProof/>
              </w:rPr>
              <w:t>15.6</w:t>
            </w:r>
          </w:p>
        </w:tc>
        <w:tc>
          <w:tcPr>
            <w:tcW w:w="1760" w:type="dxa"/>
            <w:tcBorders>
              <w:top w:val="nil"/>
              <w:left w:val="nil"/>
              <w:bottom w:val="single" w:sz="4" w:space="0" w:color="auto"/>
              <w:right w:val="single" w:sz="4" w:space="0" w:color="auto"/>
            </w:tcBorders>
            <w:shd w:val="clear" w:color="auto" w:fill="C4EFCE"/>
            <w:vAlign w:val="center"/>
            <w:hideMark/>
          </w:tcPr>
          <w:p w14:paraId="0225E4FE" w14:textId="77777777" w:rsidR="00776A1F" w:rsidRDefault="00D8574B">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02CE8F2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955E14C" w14:textId="77777777" w:rsidR="00776A1F" w:rsidRDefault="00D8574B">
            <w:pPr>
              <w:pStyle w:val="P68B1DB1-Normal23"/>
              <w:spacing w:after="0"/>
              <w:jc w:val="both"/>
              <w:rPr>
                <w:rFonts w:eastAsia="Calibri" w:cs="Calibri"/>
                <w:noProof/>
              </w:rPr>
            </w:pPr>
            <w:r>
              <w:rPr>
                <w:noProof/>
              </w:rPr>
              <w:t>Porto Metro tīkla paplašināšana pabeigta</w:t>
            </w:r>
          </w:p>
        </w:tc>
      </w:tr>
      <w:tr w:rsidR="00776A1F" w14:paraId="312282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2E7552" w14:textId="77777777" w:rsidR="00776A1F" w:rsidRDefault="00D8574B">
            <w:pPr>
              <w:pStyle w:val="P68B1DB1-Normal23"/>
              <w:spacing w:after="0"/>
              <w:jc w:val="center"/>
              <w:rPr>
                <w:rFonts w:eastAsia="Calibri" w:cs="Calibri"/>
                <w:noProof/>
              </w:rPr>
            </w:pPr>
            <w:r>
              <w:rPr>
                <w:noProof/>
              </w:rPr>
              <w:t>15.16</w:t>
            </w:r>
          </w:p>
        </w:tc>
        <w:tc>
          <w:tcPr>
            <w:tcW w:w="1760" w:type="dxa"/>
            <w:tcBorders>
              <w:top w:val="nil"/>
              <w:left w:val="nil"/>
              <w:bottom w:val="single" w:sz="4" w:space="0" w:color="auto"/>
              <w:right w:val="single" w:sz="4" w:space="0" w:color="auto"/>
            </w:tcBorders>
            <w:shd w:val="clear" w:color="auto" w:fill="C4EFCE"/>
            <w:vAlign w:val="center"/>
            <w:hideMark/>
          </w:tcPr>
          <w:p w14:paraId="1F57BF01" w14:textId="77777777" w:rsidR="00776A1F" w:rsidRDefault="00D8574B">
            <w:pPr>
              <w:pStyle w:val="P68B1DB1-Normal23"/>
              <w:spacing w:after="0"/>
              <w:jc w:val="center"/>
              <w:rPr>
                <w:rFonts w:eastAsia="Calibri" w:cs="Calibri"/>
                <w:noProof/>
              </w:rPr>
            </w:pPr>
            <w:r>
              <w:rPr>
                <w:noProof/>
              </w:rPr>
              <w:t>TC-C15-i06</w:t>
            </w:r>
          </w:p>
        </w:tc>
        <w:tc>
          <w:tcPr>
            <w:tcW w:w="1520" w:type="dxa"/>
            <w:tcBorders>
              <w:top w:val="nil"/>
              <w:left w:val="nil"/>
              <w:bottom w:val="single" w:sz="4" w:space="0" w:color="auto"/>
              <w:right w:val="single" w:sz="4" w:space="0" w:color="auto"/>
            </w:tcBorders>
            <w:shd w:val="clear" w:color="auto" w:fill="C4EFCE"/>
            <w:vAlign w:val="center"/>
            <w:hideMark/>
          </w:tcPr>
          <w:p w14:paraId="044758A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2045CC" w14:textId="77777777" w:rsidR="00776A1F" w:rsidRDefault="00D8574B">
            <w:pPr>
              <w:pStyle w:val="P68B1DB1-Normal23"/>
              <w:spacing w:after="0"/>
              <w:jc w:val="both"/>
              <w:rPr>
                <w:rFonts w:eastAsia="Calibri" w:cs="Calibri"/>
                <w:noProof/>
              </w:rPr>
            </w:pPr>
            <w:r>
              <w:rPr>
                <w:noProof/>
              </w:rPr>
              <w:t>Dzelzceļa līnijas ar elektroniskām signalizācijas sistēmām nomainītas</w:t>
            </w:r>
          </w:p>
        </w:tc>
      </w:tr>
      <w:tr w:rsidR="00776A1F" w14:paraId="702497F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52F7C6" w14:textId="525B27D9" w:rsidR="00776A1F" w:rsidRDefault="00D8574B">
            <w:pPr>
              <w:pStyle w:val="P68B1DB1-Normal23"/>
              <w:spacing w:after="0"/>
              <w:jc w:val="center"/>
              <w:rPr>
                <w:rFonts w:eastAsia="Calibri" w:cs="Calibri"/>
                <w:noProof/>
              </w:rPr>
            </w:pPr>
            <w:r>
              <w:rPr>
                <w:noProof/>
              </w:rPr>
              <w:t>16.18</w:t>
            </w:r>
          </w:p>
        </w:tc>
        <w:tc>
          <w:tcPr>
            <w:tcW w:w="1760" w:type="dxa"/>
            <w:tcBorders>
              <w:top w:val="nil"/>
              <w:left w:val="nil"/>
              <w:bottom w:val="single" w:sz="4" w:space="0" w:color="auto"/>
              <w:right w:val="single" w:sz="4" w:space="0" w:color="auto"/>
            </w:tcBorders>
            <w:shd w:val="clear" w:color="auto" w:fill="C4EFCE"/>
            <w:vAlign w:val="center"/>
          </w:tcPr>
          <w:p w14:paraId="1DF82366" w14:textId="0E1489C0" w:rsidR="00776A1F" w:rsidRDefault="00D8574B">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tcPr>
          <w:p w14:paraId="5372C9EF" w14:textId="44F53D0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5B9B368" w14:textId="0F330AD1" w:rsidR="00776A1F" w:rsidRDefault="00D8574B">
            <w:pPr>
              <w:pStyle w:val="P68B1DB1-Normal23"/>
              <w:spacing w:after="0"/>
              <w:jc w:val="both"/>
              <w:rPr>
                <w:rFonts w:eastAsia="Calibri" w:cs="Calibri"/>
                <w:noProof/>
              </w:rPr>
            </w:pPr>
            <w:r>
              <w:rPr>
                <w:noProof/>
              </w:rPr>
              <w:t>Uzņēmumu digitālās pārkārtošanās veicināšanas sistēmas ietvaros atbalstīto projektu skaits</w:t>
            </w:r>
          </w:p>
        </w:tc>
      </w:tr>
      <w:tr w:rsidR="00776A1F" w14:paraId="51C61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E69F07" w14:textId="77777777" w:rsidR="00776A1F" w:rsidRDefault="00D8574B">
            <w:pPr>
              <w:pStyle w:val="P68B1DB1-Normal23"/>
              <w:spacing w:after="0"/>
              <w:jc w:val="center"/>
              <w:rPr>
                <w:rFonts w:eastAsia="Calibri" w:cs="Calibri"/>
                <w:noProof/>
              </w:rPr>
            </w:pPr>
            <w:r>
              <w:rPr>
                <w:noProof/>
              </w:rPr>
              <w:t>16.19</w:t>
            </w:r>
          </w:p>
        </w:tc>
        <w:tc>
          <w:tcPr>
            <w:tcW w:w="1760" w:type="dxa"/>
            <w:tcBorders>
              <w:top w:val="nil"/>
              <w:left w:val="nil"/>
              <w:bottom w:val="single" w:sz="4" w:space="0" w:color="auto"/>
              <w:right w:val="single" w:sz="4" w:space="0" w:color="auto"/>
            </w:tcBorders>
            <w:shd w:val="clear" w:color="auto" w:fill="C4EFCE"/>
            <w:vAlign w:val="center"/>
            <w:hideMark/>
          </w:tcPr>
          <w:p w14:paraId="116F9920" w14:textId="147B6CDA" w:rsidR="00776A1F" w:rsidRDefault="00D8574B">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hideMark/>
          </w:tcPr>
          <w:p w14:paraId="01522257"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FC228C" w14:textId="77777777" w:rsidR="00776A1F" w:rsidRDefault="00D8574B">
            <w:pPr>
              <w:pStyle w:val="P68B1DB1-Normal23"/>
              <w:spacing w:after="0"/>
              <w:jc w:val="both"/>
              <w:rPr>
                <w:rFonts w:eastAsia="Calibri" w:cs="Calibri"/>
                <w:noProof/>
              </w:rPr>
            </w:pPr>
            <w:r>
              <w:rPr>
                <w:noProof/>
              </w:rPr>
              <w:t>Paplašināti vai aprīkoti zinātnes un tehnoloģiju parki</w:t>
            </w:r>
          </w:p>
        </w:tc>
      </w:tr>
      <w:tr w:rsidR="00776A1F" w14:paraId="2CA2E8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8D8219" w14:textId="77777777" w:rsidR="00776A1F" w:rsidRDefault="00D8574B">
            <w:pPr>
              <w:pStyle w:val="P68B1DB1-Normal23"/>
              <w:spacing w:after="0"/>
              <w:jc w:val="center"/>
              <w:rPr>
                <w:rFonts w:eastAsia="Calibri" w:cs="Calibri"/>
                <w:noProof/>
              </w:rPr>
            </w:pPr>
            <w:r>
              <w:rPr>
                <w:noProof/>
              </w:rPr>
              <w:t>17.13</w:t>
            </w:r>
          </w:p>
        </w:tc>
        <w:tc>
          <w:tcPr>
            <w:tcW w:w="1760" w:type="dxa"/>
            <w:tcBorders>
              <w:top w:val="nil"/>
              <w:left w:val="nil"/>
              <w:bottom w:val="single" w:sz="4" w:space="0" w:color="auto"/>
              <w:right w:val="single" w:sz="4" w:space="0" w:color="auto"/>
            </w:tcBorders>
            <w:shd w:val="clear" w:color="auto" w:fill="C4EFCE"/>
            <w:vAlign w:val="center"/>
            <w:hideMark/>
          </w:tcPr>
          <w:p w14:paraId="27C4D240" w14:textId="77777777" w:rsidR="00776A1F" w:rsidRDefault="00D8574B">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44C29A9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8B0AB27" w14:textId="77777777" w:rsidR="00776A1F" w:rsidRDefault="00D8574B">
            <w:pPr>
              <w:pStyle w:val="P68B1DB1-Normal23"/>
              <w:spacing w:after="0"/>
              <w:jc w:val="both"/>
              <w:rPr>
                <w:rFonts w:eastAsia="Calibri" w:cs="Calibri"/>
                <w:noProof/>
              </w:rPr>
            </w:pPr>
            <w:r>
              <w:rPr>
                <w:noProof/>
              </w:rPr>
              <w:t>Sistema de Gestão de Património Imobiliário Público (SIGPIP) īstenošanas pabeigšana un valstij piederošu transportlīdzekļu informācijas sistēmu modernizācija</w:t>
            </w:r>
          </w:p>
        </w:tc>
      </w:tr>
      <w:tr w:rsidR="00776A1F" w14:paraId="17F0D9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B9E321" w14:textId="77777777" w:rsidR="00776A1F" w:rsidRDefault="00D8574B">
            <w:pPr>
              <w:pStyle w:val="P68B1DB1-Normal23"/>
              <w:spacing w:after="0"/>
              <w:jc w:val="center"/>
              <w:rPr>
                <w:rFonts w:eastAsia="Calibri" w:cs="Calibri"/>
                <w:noProof/>
              </w:rPr>
            </w:pPr>
            <w:r>
              <w:rPr>
                <w:noProof/>
              </w:rPr>
              <w:t>17.25</w:t>
            </w:r>
          </w:p>
        </w:tc>
        <w:tc>
          <w:tcPr>
            <w:tcW w:w="1760" w:type="dxa"/>
            <w:tcBorders>
              <w:top w:val="nil"/>
              <w:left w:val="nil"/>
              <w:bottom w:val="single" w:sz="4" w:space="0" w:color="auto"/>
              <w:right w:val="single" w:sz="4" w:space="0" w:color="auto"/>
            </w:tcBorders>
            <w:shd w:val="clear" w:color="auto" w:fill="C4EFCE"/>
            <w:vAlign w:val="center"/>
            <w:hideMark/>
          </w:tcPr>
          <w:p w14:paraId="764B0F33" w14:textId="482904A7" w:rsidR="00776A1F" w:rsidRDefault="00D8574B">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389309C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BEB9645" w14:textId="77777777" w:rsidR="00776A1F" w:rsidRDefault="00D8574B">
            <w:pPr>
              <w:pStyle w:val="P68B1DB1-Normal23"/>
              <w:spacing w:after="0"/>
              <w:jc w:val="both"/>
              <w:rPr>
                <w:rFonts w:eastAsia="Calibri" w:cs="Calibri"/>
                <w:noProof/>
              </w:rPr>
            </w:pPr>
            <w:r>
              <w:rPr>
                <w:noProof/>
              </w:rPr>
              <w:t>Tiesību akta par nodokļiem stāšanās spēkā — atvieglojumi</w:t>
            </w:r>
          </w:p>
        </w:tc>
      </w:tr>
      <w:tr w:rsidR="00776A1F" w14:paraId="3C4237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E7A1BE" w14:textId="77777777" w:rsidR="00776A1F" w:rsidRDefault="00D8574B">
            <w:pPr>
              <w:pStyle w:val="P68B1DB1-Normal23"/>
              <w:spacing w:after="0"/>
              <w:jc w:val="center"/>
              <w:rPr>
                <w:rFonts w:eastAsia="Calibri" w:cs="Calibri"/>
                <w:noProof/>
              </w:rPr>
            </w:pPr>
            <w:r>
              <w:rPr>
                <w:noProof/>
              </w:rPr>
              <w:t>19.2</w:t>
            </w:r>
          </w:p>
        </w:tc>
        <w:tc>
          <w:tcPr>
            <w:tcW w:w="1760" w:type="dxa"/>
            <w:tcBorders>
              <w:top w:val="nil"/>
              <w:left w:val="nil"/>
              <w:bottom w:val="single" w:sz="4" w:space="0" w:color="auto"/>
              <w:right w:val="single" w:sz="4" w:space="0" w:color="auto"/>
            </w:tcBorders>
            <w:shd w:val="clear" w:color="auto" w:fill="C4EFCE"/>
            <w:vAlign w:val="center"/>
            <w:hideMark/>
          </w:tcPr>
          <w:p w14:paraId="0A34BFE8" w14:textId="77777777" w:rsidR="00776A1F" w:rsidRDefault="00D8574B">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24B2DE8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0ECFAE" w14:textId="77777777" w:rsidR="00776A1F" w:rsidRDefault="00D8574B">
            <w:pPr>
              <w:pStyle w:val="P68B1DB1-Normal23"/>
              <w:spacing w:after="0"/>
              <w:jc w:val="both"/>
              <w:rPr>
                <w:rFonts w:eastAsia="Calibri" w:cs="Calibri"/>
                <w:noProof/>
              </w:rPr>
            </w:pPr>
            <w:r>
              <w:rPr>
                <w:noProof/>
              </w:rPr>
              <w:t>Sabiedriskie pakalpojumi, kas pieejami vienkāršotā un saskaņotā veidā pa dažādiem kanāliem</w:t>
            </w:r>
          </w:p>
        </w:tc>
      </w:tr>
      <w:tr w:rsidR="00776A1F" w14:paraId="30CE9A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60BB9A" w14:textId="77777777" w:rsidR="00776A1F" w:rsidRDefault="00D8574B">
            <w:pPr>
              <w:pStyle w:val="P68B1DB1-Normal23"/>
              <w:spacing w:after="0"/>
              <w:jc w:val="center"/>
              <w:rPr>
                <w:rFonts w:eastAsia="Calibri" w:cs="Calibri"/>
                <w:noProof/>
              </w:rPr>
            </w:pPr>
            <w:r>
              <w:rPr>
                <w:noProof/>
              </w:rPr>
              <w:t>19.3</w:t>
            </w:r>
          </w:p>
        </w:tc>
        <w:tc>
          <w:tcPr>
            <w:tcW w:w="1760" w:type="dxa"/>
            <w:tcBorders>
              <w:top w:val="nil"/>
              <w:left w:val="nil"/>
              <w:bottom w:val="single" w:sz="4" w:space="0" w:color="auto"/>
              <w:right w:val="single" w:sz="4" w:space="0" w:color="auto"/>
            </w:tcBorders>
            <w:shd w:val="clear" w:color="auto" w:fill="C4EFCE"/>
            <w:vAlign w:val="center"/>
            <w:hideMark/>
          </w:tcPr>
          <w:p w14:paraId="4109E567" w14:textId="77777777" w:rsidR="00776A1F" w:rsidRDefault="00D8574B">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33B26DD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F2BDD1D" w14:textId="77777777" w:rsidR="00776A1F" w:rsidRDefault="00D8574B">
            <w:pPr>
              <w:pStyle w:val="P68B1DB1-Normal23"/>
              <w:spacing w:after="0"/>
              <w:jc w:val="both"/>
              <w:rPr>
                <w:rFonts w:eastAsia="Calibri" w:cs="Calibri"/>
                <w:noProof/>
              </w:rPr>
            </w:pPr>
            <w:r>
              <w:rPr>
                <w:noProof/>
              </w:rPr>
              <w:t>Ieviests jauns konsulārās pārvaldības modelis</w:t>
            </w:r>
          </w:p>
        </w:tc>
      </w:tr>
      <w:tr w:rsidR="00776A1F" w14:paraId="33DF1D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172D3C" w14:textId="77777777" w:rsidR="00776A1F" w:rsidRDefault="00D8574B">
            <w:pPr>
              <w:pStyle w:val="P68B1DB1-Normal23"/>
              <w:spacing w:after="0"/>
              <w:jc w:val="center"/>
              <w:rPr>
                <w:rFonts w:eastAsia="Calibri" w:cs="Calibri"/>
                <w:noProof/>
              </w:rPr>
            </w:pPr>
            <w:r>
              <w:rPr>
                <w:noProof/>
              </w:rPr>
              <w:t>19.5</w:t>
            </w:r>
          </w:p>
        </w:tc>
        <w:tc>
          <w:tcPr>
            <w:tcW w:w="1760" w:type="dxa"/>
            <w:tcBorders>
              <w:top w:val="nil"/>
              <w:left w:val="nil"/>
              <w:bottom w:val="single" w:sz="4" w:space="0" w:color="auto"/>
              <w:right w:val="single" w:sz="4" w:space="0" w:color="auto"/>
            </w:tcBorders>
            <w:shd w:val="clear" w:color="auto" w:fill="C4EFCE"/>
            <w:vAlign w:val="center"/>
            <w:hideMark/>
          </w:tcPr>
          <w:p w14:paraId="712F0553" w14:textId="77777777" w:rsidR="00776A1F" w:rsidRDefault="00D8574B">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33EC39A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6C0A98" w14:textId="77777777" w:rsidR="00776A1F" w:rsidRDefault="00D8574B">
            <w:pPr>
              <w:pStyle w:val="P68B1DB1-Normal23"/>
              <w:spacing w:after="0"/>
              <w:jc w:val="both"/>
              <w:rPr>
                <w:rFonts w:eastAsia="Calibri" w:cs="Calibri"/>
                <w:noProof/>
              </w:rPr>
            </w:pPr>
            <w:r>
              <w:rPr>
                <w:noProof/>
              </w:rPr>
              <w:t>Publiskie pakalpojumi, kas ir droši pieejami, izmantojot elektronisko identitāti un ievērojot vienreizējas iesniegšanas principu</w:t>
            </w:r>
          </w:p>
        </w:tc>
      </w:tr>
      <w:tr w:rsidR="00776A1F" w14:paraId="1C29A3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8208A8" w14:textId="77777777" w:rsidR="00776A1F" w:rsidRDefault="00D8574B">
            <w:pPr>
              <w:pStyle w:val="P68B1DB1-Normal23"/>
              <w:spacing w:after="0"/>
              <w:jc w:val="center"/>
              <w:rPr>
                <w:rFonts w:eastAsia="Calibri" w:cs="Calibri"/>
                <w:noProof/>
              </w:rPr>
            </w:pPr>
            <w:r>
              <w:rPr>
                <w:noProof/>
              </w:rPr>
              <w:t>19.6</w:t>
            </w:r>
          </w:p>
        </w:tc>
        <w:tc>
          <w:tcPr>
            <w:tcW w:w="1760" w:type="dxa"/>
            <w:tcBorders>
              <w:top w:val="nil"/>
              <w:left w:val="nil"/>
              <w:bottom w:val="single" w:sz="4" w:space="0" w:color="auto"/>
              <w:right w:val="single" w:sz="4" w:space="0" w:color="auto"/>
            </w:tcBorders>
            <w:shd w:val="clear" w:color="auto" w:fill="C4EFCE"/>
            <w:vAlign w:val="center"/>
            <w:hideMark/>
          </w:tcPr>
          <w:p w14:paraId="4492DF36" w14:textId="77777777" w:rsidR="00776A1F" w:rsidRDefault="00D8574B">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5189EDB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7149D1" w14:textId="77777777" w:rsidR="00776A1F" w:rsidRDefault="00D8574B">
            <w:pPr>
              <w:pStyle w:val="P68B1DB1-Normal23"/>
              <w:spacing w:after="0"/>
              <w:jc w:val="both"/>
              <w:rPr>
                <w:rFonts w:eastAsia="Calibri" w:cs="Calibri"/>
                <w:noProof/>
              </w:rPr>
            </w:pPr>
            <w:r>
              <w:rPr>
                <w:noProof/>
              </w:rPr>
              <w:t>Teritoriālā informācijas infrastruktūra</w:t>
            </w:r>
          </w:p>
        </w:tc>
      </w:tr>
      <w:tr w:rsidR="00776A1F" w14:paraId="30AE8A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7537A4" w14:textId="77777777" w:rsidR="00776A1F" w:rsidRDefault="00D8574B">
            <w:pPr>
              <w:pStyle w:val="P68B1DB1-Normal23"/>
              <w:spacing w:after="0"/>
              <w:jc w:val="center"/>
              <w:rPr>
                <w:rFonts w:eastAsia="Calibri" w:cs="Calibri"/>
                <w:noProof/>
              </w:rPr>
            </w:pPr>
            <w:r>
              <w:rPr>
                <w:noProof/>
              </w:rPr>
              <w:t>19.7</w:t>
            </w:r>
          </w:p>
        </w:tc>
        <w:tc>
          <w:tcPr>
            <w:tcW w:w="1760" w:type="dxa"/>
            <w:tcBorders>
              <w:top w:val="nil"/>
              <w:left w:val="nil"/>
              <w:bottom w:val="single" w:sz="4" w:space="0" w:color="auto"/>
              <w:right w:val="single" w:sz="4" w:space="0" w:color="auto"/>
            </w:tcBorders>
            <w:shd w:val="clear" w:color="auto" w:fill="C4EFCE"/>
            <w:vAlign w:val="center"/>
            <w:hideMark/>
          </w:tcPr>
          <w:p w14:paraId="1FE43E03" w14:textId="77777777" w:rsidR="00776A1F" w:rsidRDefault="00D8574B">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122BABBF"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6869C5" w14:textId="77777777" w:rsidR="00776A1F" w:rsidRDefault="00D8574B">
            <w:pPr>
              <w:pStyle w:val="P68B1DB1-Normal23"/>
              <w:spacing w:after="0"/>
              <w:jc w:val="both"/>
              <w:rPr>
                <w:rFonts w:eastAsia="Calibri" w:cs="Calibri"/>
                <w:noProof/>
              </w:rPr>
            </w:pPr>
            <w:r>
              <w:rPr>
                <w:noProof/>
              </w:rPr>
              <w:t>IT speciālistu apmācība kiberdrošības un informācijas drošības spēju stiprināšanai</w:t>
            </w:r>
          </w:p>
        </w:tc>
      </w:tr>
      <w:tr w:rsidR="00776A1F" w14:paraId="1999A62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47034" w14:textId="77777777" w:rsidR="00776A1F" w:rsidRDefault="00D8574B">
            <w:pPr>
              <w:pStyle w:val="P68B1DB1-Normal23"/>
              <w:spacing w:after="0"/>
              <w:jc w:val="center"/>
              <w:rPr>
                <w:rFonts w:eastAsia="Calibri" w:cs="Calibri"/>
                <w:noProof/>
              </w:rPr>
            </w:pPr>
            <w:r>
              <w:rPr>
                <w:noProof/>
              </w:rPr>
              <w:t>19.8</w:t>
            </w:r>
          </w:p>
        </w:tc>
        <w:tc>
          <w:tcPr>
            <w:tcW w:w="1760" w:type="dxa"/>
            <w:tcBorders>
              <w:top w:val="nil"/>
              <w:left w:val="nil"/>
              <w:bottom w:val="single" w:sz="4" w:space="0" w:color="auto"/>
              <w:right w:val="single" w:sz="4" w:space="0" w:color="auto"/>
            </w:tcBorders>
            <w:shd w:val="clear" w:color="auto" w:fill="C4EFCE"/>
            <w:vAlign w:val="center"/>
            <w:hideMark/>
          </w:tcPr>
          <w:p w14:paraId="32214705" w14:textId="77777777" w:rsidR="00776A1F" w:rsidRDefault="00D8574B">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41AE534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BD70B5" w14:textId="77777777" w:rsidR="00776A1F" w:rsidRDefault="00D8574B">
            <w:pPr>
              <w:pStyle w:val="P68B1DB1-Normal23"/>
              <w:spacing w:after="0"/>
              <w:jc w:val="both"/>
              <w:rPr>
                <w:rFonts w:eastAsia="Calibri" w:cs="Calibri"/>
                <w:noProof/>
              </w:rPr>
            </w:pPr>
            <w:r>
              <w:rPr>
                <w:noProof/>
              </w:rPr>
              <w:t>Portugāles kriptogrāfijas risinājuma pieņemšana valsts iestādēs</w:t>
            </w:r>
          </w:p>
        </w:tc>
      </w:tr>
      <w:tr w:rsidR="00776A1F" w14:paraId="441991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87C3D7" w14:textId="77777777" w:rsidR="00776A1F" w:rsidRDefault="00D8574B">
            <w:pPr>
              <w:pStyle w:val="P68B1DB1-Normal23"/>
              <w:spacing w:after="0"/>
              <w:jc w:val="center"/>
              <w:rPr>
                <w:rFonts w:eastAsia="Calibri" w:cs="Calibri"/>
                <w:noProof/>
              </w:rPr>
            </w:pPr>
            <w:r>
              <w:rPr>
                <w:noProof/>
              </w:rPr>
              <w:t>19.9</w:t>
            </w:r>
          </w:p>
        </w:tc>
        <w:tc>
          <w:tcPr>
            <w:tcW w:w="1760" w:type="dxa"/>
            <w:tcBorders>
              <w:top w:val="nil"/>
              <w:left w:val="nil"/>
              <w:bottom w:val="single" w:sz="4" w:space="0" w:color="auto"/>
              <w:right w:val="single" w:sz="4" w:space="0" w:color="auto"/>
            </w:tcBorders>
            <w:shd w:val="clear" w:color="auto" w:fill="C4EFCE"/>
            <w:vAlign w:val="center"/>
            <w:hideMark/>
          </w:tcPr>
          <w:p w14:paraId="1170E640" w14:textId="77777777" w:rsidR="00776A1F" w:rsidRDefault="00D8574B">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333DE23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1D38D1" w14:textId="77777777" w:rsidR="00776A1F" w:rsidRDefault="00D8574B">
            <w:pPr>
              <w:pStyle w:val="P68B1DB1-Normal23"/>
              <w:spacing w:after="0"/>
              <w:jc w:val="both"/>
              <w:rPr>
                <w:rFonts w:eastAsia="Calibri" w:cs="Calibri"/>
                <w:noProof/>
              </w:rPr>
            </w:pPr>
            <w:r>
              <w:rPr>
                <w:noProof/>
              </w:rPr>
              <w:t>Nacionālā kiberdrošības satvara īstenošana</w:t>
            </w:r>
          </w:p>
        </w:tc>
      </w:tr>
      <w:tr w:rsidR="00776A1F" w14:paraId="07AB23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DD90FD" w14:textId="77777777" w:rsidR="00776A1F" w:rsidRDefault="00D8574B">
            <w:pPr>
              <w:pStyle w:val="P68B1DB1-Normal23"/>
              <w:spacing w:after="0"/>
              <w:jc w:val="center"/>
              <w:rPr>
                <w:rFonts w:eastAsia="Calibri" w:cs="Calibri"/>
                <w:noProof/>
              </w:rPr>
            </w:pPr>
            <w:r>
              <w:rPr>
                <w:noProof/>
              </w:rPr>
              <w:t>19.10</w:t>
            </w:r>
          </w:p>
        </w:tc>
        <w:tc>
          <w:tcPr>
            <w:tcW w:w="1760" w:type="dxa"/>
            <w:tcBorders>
              <w:top w:val="nil"/>
              <w:left w:val="nil"/>
              <w:bottom w:val="single" w:sz="4" w:space="0" w:color="auto"/>
              <w:right w:val="single" w:sz="4" w:space="0" w:color="auto"/>
            </w:tcBorders>
            <w:shd w:val="clear" w:color="auto" w:fill="C4EFCE"/>
            <w:vAlign w:val="center"/>
            <w:hideMark/>
          </w:tcPr>
          <w:p w14:paraId="060FEC6A" w14:textId="77777777" w:rsidR="00776A1F" w:rsidRDefault="00D8574B">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2BED625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E1A606" w14:textId="77777777" w:rsidR="00776A1F" w:rsidRDefault="00D8574B">
            <w:pPr>
              <w:pStyle w:val="P68B1DB1-Normal23"/>
              <w:spacing w:after="0"/>
              <w:jc w:val="both"/>
              <w:rPr>
                <w:rFonts w:eastAsia="Calibri" w:cs="Calibri"/>
                <w:noProof/>
              </w:rPr>
            </w:pPr>
            <w:r>
              <w:rPr>
                <w:noProof/>
              </w:rPr>
              <w:t>Kiberdrošības un informācijas drošības iestāžu izveides pabeigšana</w:t>
            </w:r>
          </w:p>
        </w:tc>
      </w:tr>
      <w:tr w:rsidR="00776A1F" w14:paraId="760DEC5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8D01BA" w14:textId="77777777" w:rsidR="00776A1F" w:rsidRDefault="00D8574B">
            <w:pPr>
              <w:pStyle w:val="P68B1DB1-Normal23"/>
              <w:spacing w:after="0"/>
              <w:jc w:val="center"/>
              <w:rPr>
                <w:rFonts w:eastAsia="Calibri" w:cs="Calibri"/>
                <w:noProof/>
              </w:rPr>
            </w:pPr>
            <w:r>
              <w:rPr>
                <w:noProof/>
              </w:rPr>
              <w:t>19.15</w:t>
            </w:r>
          </w:p>
        </w:tc>
        <w:tc>
          <w:tcPr>
            <w:tcW w:w="1760" w:type="dxa"/>
            <w:tcBorders>
              <w:top w:val="nil"/>
              <w:left w:val="nil"/>
              <w:bottom w:val="single" w:sz="4" w:space="0" w:color="auto"/>
              <w:right w:val="single" w:sz="4" w:space="0" w:color="auto"/>
            </w:tcBorders>
            <w:shd w:val="clear" w:color="auto" w:fill="C4EFCE"/>
            <w:vAlign w:val="center"/>
            <w:hideMark/>
          </w:tcPr>
          <w:p w14:paraId="7B8807DF" w14:textId="77777777" w:rsidR="00776A1F" w:rsidRDefault="00D8574B">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2CA2E4E8"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0346B88" w14:textId="77777777" w:rsidR="00776A1F" w:rsidRDefault="00D8574B">
            <w:pPr>
              <w:pStyle w:val="P68B1DB1-Normal23"/>
              <w:spacing w:after="0"/>
              <w:jc w:val="both"/>
              <w:rPr>
                <w:rFonts w:eastAsia="Calibri" w:cs="Calibri"/>
                <w:noProof/>
              </w:rPr>
            </w:pPr>
            <w:r>
              <w:rPr>
                <w:noProof/>
              </w:rPr>
              <w:t>Stiprināt valdības IT tīkla pārvaldības centru (RING)</w:t>
            </w:r>
          </w:p>
        </w:tc>
      </w:tr>
      <w:tr w:rsidR="00776A1F" w14:paraId="792CC6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2FA3D7" w14:textId="77777777" w:rsidR="00776A1F" w:rsidRDefault="00D8574B">
            <w:pPr>
              <w:pStyle w:val="P68B1DB1-Normal23"/>
              <w:spacing w:after="0"/>
              <w:jc w:val="center"/>
              <w:rPr>
                <w:rFonts w:eastAsia="Calibri" w:cs="Calibri"/>
                <w:noProof/>
              </w:rPr>
            </w:pPr>
            <w:r>
              <w:rPr>
                <w:noProof/>
              </w:rPr>
              <w:t>19.21</w:t>
            </w:r>
          </w:p>
        </w:tc>
        <w:tc>
          <w:tcPr>
            <w:tcW w:w="1760" w:type="dxa"/>
            <w:tcBorders>
              <w:top w:val="nil"/>
              <w:left w:val="nil"/>
              <w:bottom w:val="single" w:sz="4" w:space="0" w:color="auto"/>
              <w:right w:val="single" w:sz="4" w:space="0" w:color="auto"/>
            </w:tcBorders>
            <w:shd w:val="clear" w:color="auto" w:fill="C4EFCE"/>
            <w:vAlign w:val="center"/>
            <w:hideMark/>
          </w:tcPr>
          <w:p w14:paraId="31AD2AD3" w14:textId="77777777" w:rsidR="00776A1F" w:rsidRDefault="00D8574B">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5B50B19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B934D6" w14:textId="77777777" w:rsidR="00776A1F" w:rsidRDefault="00D8574B">
            <w:pPr>
              <w:pStyle w:val="P68B1DB1-Normal23"/>
              <w:spacing w:after="0"/>
              <w:jc w:val="both"/>
              <w:rPr>
                <w:rFonts w:eastAsia="Calibri" w:cs="Calibri"/>
                <w:noProof/>
              </w:rPr>
            </w:pPr>
            <w:r>
              <w:rPr>
                <w:noProof/>
              </w:rPr>
              <w:t>Valsts pārvaldes darbinieku apmācība</w:t>
            </w:r>
          </w:p>
        </w:tc>
      </w:tr>
      <w:tr w:rsidR="00776A1F" w14:paraId="4D1F4A1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D407EF" w14:textId="77777777" w:rsidR="00776A1F" w:rsidRDefault="00D8574B">
            <w:pPr>
              <w:pStyle w:val="P68B1DB1-Normal23"/>
              <w:spacing w:after="0"/>
              <w:jc w:val="center"/>
              <w:rPr>
                <w:rFonts w:eastAsia="Calibri" w:cs="Calibri"/>
                <w:noProof/>
              </w:rPr>
            </w:pPr>
            <w:r>
              <w:rPr>
                <w:noProof/>
              </w:rPr>
              <w:t>19.26</w:t>
            </w:r>
          </w:p>
        </w:tc>
        <w:tc>
          <w:tcPr>
            <w:tcW w:w="1760" w:type="dxa"/>
            <w:tcBorders>
              <w:top w:val="nil"/>
              <w:left w:val="nil"/>
              <w:bottom w:val="single" w:sz="4" w:space="0" w:color="auto"/>
              <w:right w:val="single" w:sz="4" w:space="0" w:color="auto"/>
            </w:tcBorders>
            <w:shd w:val="clear" w:color="auto" w:fill="C4EFCE"/>
            <w:vAlign w:val="center"/>
            <w:hideMark/>
          </w:tcPr>
          <w:p w14:paraId="724124BA" w14:textId="77777777" w:rsidR="00776A1F" w:rsidRDefault="00D8574B">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482AE9A8"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52B610" w14:textId="0A982997" w:rsidR="00776A1F" w:rsidRDefault="00D8574B">
            <w:pPr>
              <w:pStyle w:val="P68B1DB1-Normal23"/>
              <w:spacing w:after="0"/>
              <w:jc w:val="both"/>
              <w:rPr>
                <w:rFonts w:eastAsia="Calibri" w:cs="Calibri"/>
                <w:noProof/>
              </w:rPr>
            </w:pPr>
            <w:r>
              <w:rPr>
                <w:noProof/>
              </w:rPr>
              <w:t>Lojas do Cidadão un Espaços cidadão</w:t>
            </w:r>
          </w:p>
        </w:tc>
      </w:tr>
      <w:tr w:rsidR="00776A1F" w14:paraId="0A6C160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46A6318" w14:textId="77777777" w:rsidR="00776A1F" w:rsidRDefault="00D8574B">
            <w:pPr>
              <w:pStyle w:val="P68B1DB1-Normal23"/>
              <w:spacing w:after="0"/>
              <w:jc w:val="center"/>
              <w:rPr>
                <w:rFonts w:eastAsia="Calibri" w:cs="Calibri"/>
                <w:noProof/>
              </w:rPr>
            </w:pPr>
            <w:r>
              <w:rPr>
                <w:noProof/>
              </w:rPr>
              <w:t>19.35</w:t>
            </w:r>
          </w:p>
        </w:tc>
        <w:tc>
          <w:tcPr>
            <w:tcW w:w="1760" w:type="dxa"/>
            <w:tcBorders>
              <w:top w:val="nil"/>
              <w:left w:val="nil"/>
              <w:bottom w:val="single" w:sz="4" w:space="0" w:color="auto"/>
              <w:right w:val="single" w:sz="4" w:space="0" w:color="auto"/>
            </w:tcBorders>
            <w:shd w:val="clear" w:color="auto" w:fill="C4EFCE"/>
            <w:vAlign w:val="center"/>
            <w:hideMark/>
          </w:tcPr>
          <w:p w14:paraId="40686A88" w14:textId="77777777" w:rsidR="00776A1F" w:rsidRDefault="00D8574B">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00CBC2F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0261BB" w14:textId="77777777" w:rsidR="00776A1F" w:rsidRDefault="00D8574B">
            <w:pPr>
              <w:pStyle w:val="P68B1DB1-Normal23"/>
              <w:spacing w:after="0"/>
              <w:jc w:val="both"/>
              <w:rPr>
                <w:rFonts w:eastAsia="Calibri" w:cs="Calibri"/>
                <w:noProof/>
              </w:rPr>
            </w:pPr>
            <w:r>
              <w:rPr>
                <w:noProof/>
              </w:rPr>
              <w:t>Viedās teritorijas: Pilsētu pārvaldības platformas, digitālie dvīņi un publiskās politikas infopanelis</w:t>
            </w:r>
          </w:p>
        </w:tc>
      </w:tr>
      <w:tr w:rsidR="00776A1F" w14:paraId="680F3C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9600BD" w14:textId="77777777" w:rsidR="00776A1F" w:rsidRDefault="00D8574B">
            <w:pPr>
              <w:pStyle w:val="P68B1DB1-Normal23"/>
              <w:spacing w:after="0"/>
              <w:jc w:val="center"/>
              <w:rPr>
                <w:rFonts w:eastAsia="Calibri" w:cs="Calibri"/>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8A75452" w14:textId="77777777" w:rsidR="00776A1F" w:rsidRDefault="00D8574B">
            <w:pPr>
              <w:pStyle w:val="P68B1DB1-Normal23"/>
              <w:spacing w:after="0"/>
              <w:jc w:val="center"/>
              <w:rPr>
                <w:rFonts w:eastAsia="Calibri" w:cs="Calibri"/>
                <w:noProof/>
              </w:rPr>
            </w:pPr>
            <w:r>
              <w:rPr>
                <w:noProof/>
              </w:rPr>
              <w:t>RP-C21-i01</w:t>
            </w:r>
          </w:p>
        </w:tc>
        <w:tc>
          <w:tcPr>
            <w:tcW w:w="1520" w:type="dxa"/>
            <w:tcBorders>
              <w:top w:val="nil"/>
              <w:left w:val="nil"/>
              <w:bottom w:val="single" w:sz="4" w:space="0" w:color="auto"/>
              <w:right w:val="single" w:sz="4" w:space="0" w:color="auto"/>
            </w:tcBorders>
            <w:shd w:val="clear" w:color="auto" w:fill="C4EFCE"/>
            <w:vAlign w:val="center"/>
            <w:hideMark/>
          </w:tcPr>
          <w:p w14:paraId="765AC78B"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A62612" w14:textId="77777777" w:rsidR="00776A1F" w:rsidRDefault="00D8574B">
            <w:pPr>
              <w:pStyle w:val="P68B1DB1-Normal23"/>
              <w:spacing w:after="0"/>
              <w:jc w:val="both"/>
              <w:rPr>
                <w:rFonts w:eastAsia="Calibri" w:cs="Calibri"/>
                <w:noProof/>
              </w:rPr>
            </w:pPr>
            <w:r>
              <w:rPr>
                <w:noProof/>
              </w:rPr>
              <w:t>Finansiāls atbalsts vienkāršotiem rūpniecības dekarbonizācijas projektiem</w:t>
            </w:r>
          </w:p>
        </w:tc>
      </w:tr>
      <w:tr w:rsidR="00776A1F" w14:paraId="0AB05DD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98C020" w14:textId="77777777" w:rsidR="00776A1F" w:rsidRDefault="00D8574B">
            <w:pPr>
              <w:pStyle w:val="P68B1DB1-Normal23"/>
              <w:spacing w:after="0"/>
              <w:jc w:val="center"/>
              <w:rPr>
                <w:rFonts w:eastAsia="Calibri" w:cs="Calibri"/>
                <w:noProof/>
              </w:rPr>
            </w:pPr>
            <w:r>
              <w:rPr>
                <w:noProof/>
              </w:rPr>
              <w:t>21.4</w:t>
            </w:r>
          </w:p>
        </w:tc>
        <w:tc>
          <w:tcPr>
            <w:tcW w:w="1760" w:type="dxa"/>
            <w:tcBorders>
              <w:top w:val="nil"/>
              <w:left w:val="nil"/>
              <w:bottom w:val="single" w:sz="4" w:space="0" w:color="auto"/>
              <w:right w:val="single" w:sz="4" w:space="0" w:color="auto"/>
            </w:tcBorders>
            <w:shd w:val="clear" w:color="auto" w:fill="C4EFCE"/>
            <w:vAlign w:val="center"/>
            <w:hideMark/>
          </w:tcPr>
          <w:p w14:paraId="1E0F5355" w14:textId="77777777" w:rsidR="00776A1F" w:rsidRDefault="00D8574B">
            <w:pPr>
              <w:pStyle w:val="P68B1DB1-Normal23"/>
              <w:spacing w:after="0"/>
              <w:jc w:val="center"/>
              <w:rPr>
                <w:rFonts w:eastAsia="Calibri" w:cs="Calibri"/>
                <w:noProof/>
              </w:rPr>
            </w:pPr>
            <w:r>
              <w:rPr>
                <w:noProof/>
              </w:rPr>
              <w:t>RP-C21-i03</w:t>
            </w:r>
          </w:p>
        </w:tc>
        <w:tc>
          <w:tcPr>
            <w:tcW w:w="1520" w:type="dxa"/>
            <w:tcBorders>
              <w:top w:val="nil"/>
              <w:left w:val="nil"/>
              <w:bottom w:val="single" w:sz="4" w:space="0" w:color="auto"/>
              <w:right w:val="single" w:sz="4" w:space="0" w:color="auto"/>
            </w:tcBorders>
            <w:shd w:val="clear" w:color="auto" w:fill="C4EFCE"/>
            <w:vAlign w:val="center"/>
            <w:hideMark/>
          </w:tcPr>
          <w:p w14:paraId="4CFCB73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0CF8C5" w14:textId="77777777" w:rsidR="00776A1F" w:rsidRDefault="00D8574B">
            <w:pPr>
              <w:pStyle w:val="P68B1DB1-Normal23"/>
              <w:spacing w:after="0"/>
              <w:jc w:val="both"/>
              <w:rPr>
                <w:rFonts w:eastAsia="Calibri" w:cs="Calibri"/>
                <w:noProof/>
              </w:rPr>
            </w:pPr>
            <w:r>
              <w:rPr>
                <w:noProof/>
              </w:rPr>
              <w:t>Pakalpojumu ēku energoefektivitātes renovācija</w:t>
            </w:r>
          </w:p>
        </w:tc>
      </w:tr>
      <w:tr w:rsidR="00776A1F" w14:paraId="7AE3C13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0D6E8E" w14:textId="77777777" w:rsidR="00776A1F" w:rsidRDefault="00D8574B">
            <w:pPr>
              <w:pStyle w:val="P68B1DB1-Normal23"/>
              <w:spacing w:after="0"/>
              <w:jc w:val="center"/>
              <w:rPr>
                <w:rFonts w:eastAsia="Calibri" w:cs="Calibri"/>
                <w:noProof/>
              </w:rPr>
            </w:pPr>
            <w:r>
              <w:rPr>
                <w:noProof/>
              </w:rPr>
              <w:t>21.13</w:t>
            </w:r>
          </w:p>
        </w:tc>
        <w:tc>
          <w:tcPr>
            <w:tcW w:w="1760" w:type="dxa"/>
            <w:tcBorders>
              <w:top w:val="nil"/>
              <w:left w:val="nil"/>
              <w:bottom w:val="single" w:sz="4" w:space="0" w:color="auto"/>
              <w:right w:val="single" w:sz="4" w:space="0" w:color="auto"/>
            </w:tcBorders>
            <w:shd w:val="clear" w:color="auto" w:fill="C4EFCE"/>
            <w:vAlign w:val="center"/>
            <w:hideMark/>
          </w:tcPr>
          <w:p w14:paraId="3D5708D0" w14:textId="77777777" w:rsidR="00776A1F" w:rsidRDefault="00D8574B">
            <w:pPr>
              <w:pStyle w:val="P68B1DB1-Normal23"/>
              <w:spacing w:after="0"/>
              <w:jc w:val="center"/>
              <w:rPr>
                <w:rFonts w:eastAsia="Calibri" w:cs="Calibri"/>
                <w:noProof/>
              </w:rPr>
            </w:pPr>
            <w:r>
              <w:rPr>
                <w:noProof/>
              </w:rPr>
              <w:t>RP-C21-i05</w:t>
            </w:r>
          </w:p>
        </w:tc>
        <w:tc>
          <w:tcPr>
            <w:tcW w:w="1520" w:type="dxa"/>
            <w:tcBorders>
              <w:top w:val="nil"/>
              <w:left w:val="nil"/>
              <w:bottom w:val="single" w:sz="4" w:space="0" w:color="auto"/>
              <w:right w:val="single" w:sz="4" w:space="0" w:color="auto"/>
            </w:tcBorders>
            <w:shd w:val="clear" w:color="auto" w:fill="C4EFCE"/>
            <w:vAlign w:val="center"/>
            <w:hideMark/>
          </w:tcPr>
          <w:p w14:paraId="4EF9FB7D"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731C1C6" w14:textId="77777777" w:rsidR="00776A1F" w:rsidRDefault="00D8574B">
            <w:pPr>
              <w:pStyle w:val="P68B1DB1-Normal23"/>
              <w:spacing w:after="0"/>
              <w:jc w:val="both"/>
              <w:rPr>
                <w:rFonts w:eastAsia="Calibri" w:cs="Calibri"/>
                <w:noProof/>
              </w:rPr>
            </w:pPr>
            <w:r>
              <w:rPr>
                <w:noProof/>
              </w:rPr>
              <w:t>Piecu industriālo projektu pabeigšana stratēģisko tehnoloģiju jomā klimata pārkārtošanai</w:t>
            </w:r>
          </w:p>
        </w:tc>
      </w:tr>
      <w:tr w:rsidR="00776A1F" w14:paraId="46B66D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773CBC" w14:textId="77777777" w:rsidR="00776A1F" w:rsidRDefault="00D8574B">
            <w:pPr>
              <w:pStyle w:val="P68B1DB1-Normal23"/>
              <w:spacing w:after="0"/>
              <w:jc w:val="center"/>
              <w:rPr>
                <w:rFonts w:eastAsia="Calibri" w:cs="Calibri"/>
                <w:noProof/>
              </w:rPr>
            </w:pPr>
            <w:r>
              <w:rPr>
                <w:noProof/>
              </w:rPr>
              <w:t>21.25</w:t>
            </w:r>
          </w:p>
        </w:tc>
        <w:tc>
          <w:tcPr>
            <w:tcW w:w="1760" w:type="dxa"/>
            <w:tcBorders>
              <w:top w:val="nil"/>
              <w:left w:val="nil"/>
              <w:bottom w:val="single" w:sz="4" w:space="0" w:color="auto"/>
              <w:right w:val="single" w:sz="4" w:space="0" w:color="auto"/>
            </w:tcBorders>
            <w:shd w:val="clear" w:color="auto" w:fill="C4EFCE"/>
            <w:vAlign w:val="center"/>
            <w:hideMark/>
          </w:tcPr>
          <w:p w14:paraId="0F61BA2A" w14:textId="0F7A2382" w:rsidR="00776A1F" w:rsidRDefault="00D8574B">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332F83C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DF0458" w14:textId="77777777" w:rsidR="00776A1F" w:rsidRDefault="00D8574B">
            <w:pPr>
              <w:pStyle w:val="P68B1DB1-Normal23"/>
              <w:spacing w:after="0"/>
              <w:jc w:val="both"/>
              <w:rPr>
                <w:rFonts w:eastAsia="Calibri" w:cs="Calibri"/>
                <w:noProof/>
              </w:rPr>
            </w:pPr>
            <w:r>
              <w:rPr>
                <w:noProof/>
              </w:rPr>
              <w:t>Atjaunīgā ūdeņraža un atjaunīgās gāzes ražošanas papildu jauda</w:t>
            </w:r>
          </w:p>
        </w:tc>
      </w:tr>
      <w:tr w:rsidR="00776A1F" w14:paraId="7AE9352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8FBC31" w14:textId="77777777" w:rsidR="00776A1F" w:rsidRDefault="00D8574B">
            <w:pPr>
              <w:pStyle w:val="P68B1DB1-Normal23"/>
              <w:spacing w:after="0"/>
              <w:jc w:val="center"/>
              <w:rPr>
                <w:rFonts w:eastAsia="Calibri" w:cs="Calibri"/>
                <w:noProof/>
              </w:rPr>
            </w:pPr>
            <w:r>
              <w:rPr>
                <w:noProof/>
              </w:rPr>
              <w:t>21.27</w:t>
            </w:r>
          </w:p>
        </w:tc>
        <w:tc>
          <w:tcPr>
            <w:tcW w:w="1760" w:type="dxa"/>
            <w:tcBorders>
              <w:top w:val="nil"/>
              <w:left w:val="nil"/>
              <w:bottom w:val="single" w:sz="4" w:space="0" w:color="auto"/>
              <w:right w:val="single" w:sz="4" w:space="0" w:color="auto"/>
            </w:tcBorders>
            <w:shd w:val="clear" w:color="auto" w:fill="C4EFCE"/>
            <w:vAlign w:val="center"/>
            <w:hideMark/>
          </w:tcPr>
          <w:p w14:paraId="28339159" w14:textId="7DD243E3" w:rsidR="00776A1F" w:rsidRDefault="00D8574B">
            <w:pPr>
              <w:pStyle w:val="P68B1DB1-Normal23"/>
              <w:spacing w:after="0"/>
              <w:jc w:val="center"/>
              <w:rPr>
                <w:rFonts w:eastAsia="Calibri" w:cs="Calibri"/>
                <w:noProof/>
              </w:rPr>
            </w:pPr>
            <w:r>
              <w:rPr>
                <w:noProof/>
              </w:rPr>
              <w:t>RP-C21-i07</w:t>
            </w:r>
          </w:p>
        </w:tc>
        <w:tc>
          <w:tcPr>
            <w:tcW w:w="1520" w:type="dxa"/>
            <w:tcBorders>
              <w:top w:val="nil"/>
              <w:left w:val="nil"/>
              <w:bottom w:val="single" w:sz="4" w:space="0" w:color="auto"/>
              <w:right w:val="single" w:sz="4" w:space="0" w:color="auto"/>
            </w:tcBorders>
            <w:shd w:val="clear" w:color="auto" w:fill="C4EFCE"/>
            <w:vAlign w:val="center"/>
            <w:hideMark/>
          </w:tcPr>
          <w:p w14:paraId="5D5BCC3C"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5B70FE3" w14:textId="2301AE6C" w:rsidR="00776A1F" w:rsidRDefault="00D8574B">
            <w:pPr>
              <w:pStyle w:val="P68B1DB1-Normal23"/>
              <w:spacing w:after="0"/>
              <w:jc w:val="both"/>
              <w:rPr>
                <w:rFonts w:eastAsia="Calibri" w:cs="Calibri"/>
                <w:noProof/>
              </w:rPr>
            </w:pPr>
            <w:r>
              <w:rPr>
                <w:noProof/>
              </w:rPr>
              <w:t>Jūras vēja enerģijas tehnisko pētījumu pabeigšana</w:t>
            </w:r>
          </w:p>
        </w:tc>
      </w:tr>
      <w:tr w:rsidR="00776A1F" w14:paraId="407BDDC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A81FA2" w14:textId="77777777" w:rsidR="00776A1F" w:rsidRDefault="00D8574B">
            <w:pPr>
              <w:pStyle w:val="P68B1DB1-Normal23"/>
              <w:spacing w:after="0"/>
              <w:jc w:val="center"/>
              <w:rPr>
                <w:rFonts w:eastAsia="Calibri" w:cs="Calibri"/>
                <w:noProof/>
              </w:rPr>
            </w:pPr>
            <w:r>
              <w:rPr>
                <w:noProof/>
              </w:rPr>
              <w:t>21.33</w:t>
            </w:r>
          </w:p>
        </w:tc>
        <w:tc>
          <w:tcPr>
            <w:tcW w:w="1760" w:type="dxa"/>
            <w:tcBorders>
              <w:top w:val="nil"/>
              <w:left w:val="nil"/>
              <w:bottom w:val="single" w:sz="4" w:space="0" w:color="auto"/>
              <w:right w:val="single" w:sz="4" w:space="0" w:color="auto"/>
            </w:tcBorders>
            <w:shd w:val="clear" w:color="auto" w:fill="C4EFCE"/>
            <w:vAlign w:val="center"/>
            <w:hideMark/>
          </w:tcPr>
          <w:p w14:paraId="4FD27260" w14:textId="4C1DF387" w:rsidR="00776A1F" w:rsidRDefault="00D8574B">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7AB5A0"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96926B" w14:textId="77777777" w:rsidR="00776A1F" w:rsidRDefault="00D8574B">
            <w:pPr>
              <w:pStyle w:val="P68B1DB1-Normal23"/>
              <w:spacing w:after="0"/>
              <w:jc w:val="both"/>
              <w:rPr>
                <w:rFonts w:eastAsia="Calibri" w:cs="Calibri"/>
                <w:noProof/>
              </w:rPr>
            </w:pPr>
            <w:r>
              <w:rPr>
                <w:noProof/>
              </w:rPr>
              <w:t>Atjaunīgās enerģijas ražošanas vienībās uzstādītās jaudas palielināšana pašpatēriņam un uzstādītās uzkrāšanas jaudas palielināšana</w:t>
            </w:r>
          </w:p>
        </w:tc>
      </w:tr>
      <w:tr w:rsidR="00776A1F" w14:paraId="40AE930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AF8CD86" w14:textId="77777777" w:rsidR="00776A1F" w:rsidRDefault="00D8574B">
            <w:pPr>
              <w:pStyle w:val="P68B1DB1-Normal23"/>
              <w:spacing w:after="0"/>
              <w:jc w:val="center"/>
              <w:rPr>
                <w:rFonts w:eastAsia="Calibri" w:cs="Calibri"/>
                <w:noProof/>
              </w:rPr>
            </w:pPr>
            <w:r>
              <w:rPr>
                <w:noProof/>
              </w:rPr>
              <w:t>21.36</w:t>
            </w:r>
          </w:p>
        </w:tc>
        <w:tc>
          <w:tcPr>
            <w:tcW w:w="1760" w:type="dxa"/>
            <w:tcBorders>
              <w:top w:val="nil"/>
              <w:left w:val="nil"/>
              <w:bottom w:val="single" w:sz="4" w:space="0" w:color="auto"/>
              <w:right w:val="single" w:sz="4" w:space="0" w:color="auto"/>
            </w:tcBorders>
            <w:shd w:val="clear" w:color="auto" w:fill="C4EFCE"/>
            <w:vAlign w:val="center"/>
            <w:hideMark/>
          </w:tcPr>
          <w:p w14:paraId="65F17587" w14:textId="24D99CE2" w:rsidR="00776A1F" w:rsidRDefault="00D8574B">
            <w:pPr>
              <w:pStyle w:val="P68B1DB1-Normal23"/>
              <w:spacing w:after="0"/>
              <w:jc w:val="center"/>
              <w:rPr>
                <w:rFonts w:eastAsia="Calibri" w:cs="Calibri"/>
                <w:noProof/>
              </w:rPr>
            </w:pPr>
            <w:r>
              <w:rPr>
                <w:noProof/>
              </w:rPr>
              <w:t>RP-C21-i12</w:t>
            </w:r>
          </w:p>
        </w:tc>
        <w:tc>
          <w:tcPr>
            <w:tcW w:w="1520" w:type="dxa"/>
            <w:tcBorders>
              <w:top w:val="nil"/>
              <w:left w:val="nil"/>
              <w:bottom w:val="single" w:sz="4" w:space="0" w:color="auto"/>
              <w:right w:val="single" w:sz="4" w:space="0" w:color="auto"/>
            </w:tcBorders>
            <w:shd w:val="clear" w:color="auto" w:fill="C4EFCE"/>
            <w:vAlign w:val="center"/>
            <w:hideMark/>
          </w:tcPr>
          <w:p w14:paraId="7B36B2F3"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7C1E97" w14:textId="77777777" w:rsidR="00776A1F" w:rsidRDefault="00D8574B">
            <w:pPr>
              <w:pStyle w:val="P68B1DB1-Normal23"/>
              <w:spacing w:after="0"/>
              <w:jc w:val="both"/>
              <w:rPr>
                <w:rFonts w:eastAsia="Calibri" w:cs="Calibri"/>
                <w:noProof/>
              </w:rPr>
            </w:pPr>
            <w:r>
              <w:rPr>
                <w:noProof/>
              </w:rPr>
              <w:t>Tādu jaunu bezemisiju (elektrisko vai ūdeņraža) autobusu iegāde, kurus izmanto sabiedriskajam transportam</w:t>
            </w:r>
          </w:p>
        </w:tc>
      </w:tr>
      <w:tr w:rsidR="00776A1F" w14:paraId="4BDD8A3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4C0782" w14:textId="77777777" w:rsidR="00776A1F" w:rsidRDefault="00D8574B">
            <w:pPr>
              <w:pStyle w:val="P68B1DB1-Normal23"/>
              <w:spacing w:after="0"/>
              <w:jc w:val="center"/>
              <w:rPr>
                <w:rFonts w:eastAsia="Calibri" w:cs="Calibri"/>
                <w:noProof/>
              </w:rPr>
            </w:pPr>
            <w:r>
              <w:rPr>
                <w:noProof/>
              </w:rPr>
              <w:t>21.37</w:t>
            </w:r>
          </w:p>
        </w:tc>
        <w:tc>
          <w:tcPr>
            <w:tcW w:w="1760" w:type="dxa"/>
            <w:tcBorders>
              <w:top w:val="nil"/>
              <w:left w:val="nil"/>
              <w:bottom w:val="single" w:sz="4" w:space="0" w:color="auto"/>
              <w:right w:val="single" w:sz="4" w:space="0" w:color="auto"/>
            </w:tcBorders>
            <w:shd w:val="clear" w:color="auto" w:fill="C4EFCE"/>
            <w:vAlign w:val="center"/>
            <w:hideMark/>
          </w:tcPr>
          <w:p w14:paraId="73C8B906" w14:textId="298D8B93" w:rsidR="00776A1F" w:rsidRDefault="00D8574B">
            <w:pPr>
              <w:pStyle w:val="P68B1DB1-Normal23"/>
              <w:spacing w:after="0"/>
              <w:jc w:val="center"/>
              <w:rPr>
                <w:rFonts w:eastAsia="Calibri" w:cs="Calibri"/>
                <w:noProof/>
              </w:rPr>
            </w:pPr>
            <w:r>
              <w:rPr>
                <w:noProof/>
              </w:rPr>
              <w:t>RP-C21-i13-RAM</w:t>
            </w:r>
          </w:p>
        </w:tc>
        <w:tc>
          <w:tcPr>
            <w:tcW w:w="1520" w:type="dxa"/>
            <w:tcBorders>
              <w:top w:val="nil"/>
              <w:left w:val="nil"/>
              <w:bottom w:val="single" w:sz="4" w:space="0" w:color="auto"/>
              <w:right w:val="single" w:sz="4" w:space="0" w:color="auto"/>
            </w:tcBorders>
            <w:shd w:val="clear" w:color="auto" w:fill="C4EFCE"/>
            <w:vAlign w:val="center"/>
            <w:hideMark/>
          </w:tcPr>
          <w:p w14:paraId="766F213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05A8643" w14:textId="77777777" w:rsidR="00776A1F" w:rsidRDefault="00D8574B">
            <w:pPr>
              <w:pStyle w:val="P68B1DB1-Normal23"/>
              <w:spacing w:after="0"/>
              <w:jc w:val="both"/>
              <w:rPr>
                <w:rFonts w:eastAsia="Calibri" w:cs="Calibri"/>
                <w:noProof/>
              </w:rPr>
            </w:pPr>
            <w:r>
              <w:rPr>
                <w:noProof/>
              </w:rPr>
              <w:t>Tādu jaunu bezemisiju (elektrisko vai ūdeņraža) autobusu iegāde, kurus izmanto sabiedriskajam transportam un tūrisma pakalpojumiem, un elektrotransportlīdzekļu iegāde, kas aizstāj lūžņu transportlīdzekļus</w:t>
            </w:r>
          </w:p>
        </w:tc>
      </w:tr>
      <w:tr w:rsidR="00776A1F" w14:paraId="5FC25D8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0D0E18" w14:textId="77777777" w:rsidR="00776A1F" w:rsidRDefault="00D8574B">
            <w:pPr>
              <w:pStyle w:val="P68B1DB1-Normal23"/>
              <w:spacing w:after="0"/>
              <w:jc w:val="center"/>
              <w:rPr>
                <w:rFonts w:eastAsia="Calibri" w:cs="Calibri"/>
                <w:noProof/>
              </w:rPr>
            </w:pPr>
            <w:r>
              <w:rPr>
                <w:noProof/>
              </w:rPr>
              <w:t>21.39</w:t>
            </w:r>
          </w:p>
        </w:tc>
        <w:tc>
          <w:tcPr>
            <w:tcW w:w="1760" w:type="dxa"/>
            <w:tcBorders>
              <w:top w:val="nil"/>
              <w:left w:val="nil"/>
              <w:bottom w:val="single" w:sz="4" w:space="0" w:color="auto"/>
              <w:right w:val="single" w:sz="4" w:space="0" w:color="auto"/>
            </w:tcBorders>
            <w:shd w:val="clear" w:color="auto" w:fill="C4EFCE"/>
            <w:vAlign w:val="center"/>
            <w:hideMark/>
          </w:tcPr>
          <w:p w14:paraId="48E27095" w14:textId="5DA60FB6" w:rsidR="00776A1F" w:rsidRDefault="00D8574B">
            <w:pPr>
              <w:pStyle w:val="P68B1DB1-Normal23"/>
              <w:spacing w:after="0"/>
              <w:jc w:val="center"/>
              <w:rPr>
                <w:rFonts w:eastAsia="Calibri" w:cs="Calibri"/>
                <w:noProof/>
              </w:rPr>
            </w:pPr>
            <w:r>
              <w:rPr>
                <w:noProof/>
              </w:rPr>
              <w:t>RP-C21-i14</w:t>
            </w:r>
          </w:p>
        </w:tc>
        <w:tc>
          <w:tcPr>
            <w:tcW w:w="1520" w:type="dxa"/>
            <w:tcBorders>
              <w:top w:val="nil"/>
              <w:left w:val="nil"/>
              <w:bottom w:val="single" w:sz="4" w:space="0" w:color="auto"/>
              <w:right w:val="single" w:sz="4" w:space="0" w:color="auto"/>
            </w:tcBorders>
            <w:shd w:val="clear" w:color="auto" w:fill="C4EFCE"/>
            <w:vAlign w:val="center"/>
            <w:hideMark/>
          </w:tcPr>
          <w:p w14:paraId="3205D102"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2FFB24" w14:textId="77777777" w:rsidR="00776A1F" w:rsidRDefault="00D8574B">
            <w:pPr>
              <w:pStyle w:val="P68B1DB1-Normal23"/>
              <w:spacing w:after="0"/>
              <w:jc w:val="both"/>
              <w:rPr>
                <w:rFonts w:eastAsia="Calibri" w:cs="Calibri"/>
                <w:noProof/>
              </w:rPr>
            </w:pPr>
            <w:r>
              <w:rPr>
                <w:noProof/>
              </w:rPr>
              <w:t>Divu autobusu ātrā tranzīta līniju būvniecība Bragā</w:t>
            </w:r>
          </w:p>
        </w:tc>
      </w:tr>
      <w:tr w:rsidR="00776A1F" w14:paraId="3E530F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E8A1E5E" w14:textId="77777777" w:rsidR="00776A1F" w:rsidRDefault="00D8574B">
            <w:pPr>
              <w:pStyle w:val="P68B1DB1-Normal23"/>
              <w:spacing w:after="0"/>
              <w:jc w:val="center"/>
              <w:rPr>
                <w:rFonts w:eastAsia="Calibri" w:cs="Calibri"/>
                <w:noProof/>
              </w:rPr>
            </w:pPr>
            <w:r>
              <w:rPr>
                <w:noProof/>
              </w:rPr>
              <w:t>21.43</w:t>
            </w:r>
          </w:p>
        </w:tc>
        <w:tc>
          <w:tcPr>
            <w:tcW w:w="1760" w:type="dxa"/>
            <w:tcBorders>
              <w:top w:val="nil"/>
              <w:left w:val="nil"/>
              <w:bottom w:val="single" w:sz="4" w:space="0" w:color="auto"/>
              <w:right w:val="single" w:sz="4" w:space="0" w:color="auto"/>
            </w:tcBorders>
            <w:shd w:val="clear" w:color="auto" w:fill="C4EFCE"/>
            <w:vAlign w:val="center"/>
            <w:hideMark/>
          </w:tcPr>
          <w:p w14:paraId="53BBC354" w14:textId="6D59C203" w:rsidR="00776A1F" w:rsidRDefault="00D8574B">
            <w:pPr>
              <w:pStyle w:val="P68B1DB1-Normal23"/>
              <w:spacing w:after="0"/>
              <w:jc w:val="center"/>
              <w:rPr>
                <w:rFonts w:eastAsia="Calibri" w:cs="Calibri"/>
                <w:noProof/>
              </w:rPr>
            </w:pPr>
            <w:r>
              <w:rPr>
                <w:noProof/>
              </w:rPr>
              <w:t>RP-C21-i16</w:t>
            </w:r>
          </w:p>
        </w:tc>
        <w:tc>
          <w:tcPr>
            <w:tcW w:w="1520" w:type="dxa"/>
            <w:tcBorders>
              <w:top w:val="nil"/>
              <w:left w:val="nil"/>
              <w:bottom w:val="single" w:sz="4" w:space="0" w:color="auto"/>
              <w:right w:val="single" w:sz="4" w:space="0" w:color="auto"/>
            </w:tcBorders>
            <w:shd w:val="clear" w:color="auto" w:fill="C4EFCE"/>
            <w:vAlign w:val="center"/>
            <w:hideMark/>
          </w:tcPr>
          <w:p w14:paraId="65415CC8"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915ABF" w14:textId="42D35AB7" w:rsidR="00776A1F" w:rsidRDefault="00D8574B">
            <w:pPr>
              <w:pStyle w:val="P68B1DB1-Normal23"/>
              <w:spacing w:after="0"/>
              <w:jc w:val="both"/>
              <w:rPr>
                <w:rFonts w:eastAsia="Calibri" w:cs="Calibri"/>
                <w:noProof/>
              </w:rPr>
            </w:pPr>
            <w:r>
              <w:rPr>
                <w:noProof/>
              </w:rPr>
              <w:t>Funikulāra uzbūve</w:t>
            </w:r>
          </w:p>
        </w:tc>
      </w:tr>
      <w:tr w:rsidR="00776A1F" w14:paraId="69534CE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75525F" w14:textId="77777777" w:rsidR="00776A1F" w:rsidRDefault="00776A1F">
            <w:pPr>
              <w:spacing w:after="0"/>
              <w:jc w:val="center"/>
              <w:rPr>
                <w:rFonts w:ascii="Calibri" w:eastAsia="Calibri"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hideMark/>
          </w:tcPr>
          <w:p w14:paraId="16E5C887" w14:textId="77777777" w:rsidR="00776A1F" w:rsidRDefault="00776A1F">
            <w:pPr>
              <w:spacing w:after="0"/>
              <w:jc w:val="center"/>
              <w:rPr>
                <w:rFonts w:ascii="Calibri" w:eastAsia="Calibri" w:hAnsi="Calibri" w:cs="Calibri"/>
                <w:noProof/>
                <w:sz w:val="16"/>
              </w:rPr>
            </w:pPr>
          </w:p>
        </w:tc>
        <w:tc>
          <w:tcPr>
            <w:tcW w:w="1520" w:type="dxa"/>
            <w:tcBorders>
              <w:top w:val="nil"/>
              <w:left w:val="nil"/>
              <w:bottom w:val="single" w:sz="4" w:space="0" w:color="auto"/>
              <w:right w:val="single" w:sz="4" w:space="0" w:color="auto"/>
            </w:tcBorders>
            <w:shd w:val="clear" w:color="auto" w:fill="C4EFCE"/>
            <w:vAlign w:val="center"/>
            <w:hideMark/>
          </w:tcPr>
          <w:p w14:paraId="084A977F"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tcBorders>
              <w:top w:val="nil"/>
              <w:left w:val="nil"/>
              <w:bottom w:val="single" w:sz="4" w:space="0" w:color="auto"/>
              <w:right w:val="single" w:sz="4" w:space="0" w:color="auto"/>
            </w:tcBorders>
            <w:shd w:val="clear" w:color="auto" w:fill="C4EFCE"/>
            <w:vAlign w:val="center"/>
            <w:hideMark/>
          </w:tcPr>
          <w:p w14:paraId="30A29C4F" w14:textId="5D4F15E5" w:rsidR="00776A1F" w:rsidRDefault="00D8574B">
            <w:pPr>
              <w:pStyle w:val="P68B1DB1-Normal25"/>
              <w:spacing w:after="0" w:line="240" w:lineRule="auto"/>
              <w:jc w:val="center"/>
              <w:rPr>
                <w:rFonts w:cs="Calibri"/>
                <w:noProof/>
              </w:rPr>
            </w:pPr>
            <w:r>
              <w:rPr>
                <w:noProof/>
              </w:rPr>
              <w:t xml:space="preserve"> 2 030 690 350 EUR </w:t>
            </w:r>
          </w:p>
        </w:tc>
      </w:tr>
    </w:tbl>
    <w:p w14:paraId="4422C564" w14:textId="77777777" w:rsidR="00776A1F" w:rsidRDefault="00776A1F">
      <w:pPr>
        <w:keepNext/>
        <w:spacing w:before="40" w:after="0" w:line="259" w:lineRule="auto"/>
        <w:ind w:left="360"/>
        <w:jc w:val="both"/>
        <w:outlineLvl w:val="1"/>
        <w:rPr>
          <w:rFonts w:ascii="Times New Roman" w:eastAsiaTheme="majorEastAsia" w:hAnsi="Times New Roman" w:cs="Times New Roman"/>
          <w:b/>
          <w:noProof/>
          <w:sz w:val="24"/>
          <w:u w:val="single"/>
        </w:rPr>
      </w:pPr>
    </w:p>
    <w:p w14:paraId="118A5FEC" w14:textId="77777777" w:rsidR="00776A1F" w:rsidRDefault="00D8574B">
      <w:pPr>
        <w:pStyle w:val="P68B1DB1-Normal3"/>
        <w:keepNext/>
        <w:numPr>
          <w:ilvl w:val="0"/>
          <w:numId w:val="19"/>
        </w:numPr>
        <w:spacing w:before="40" w:after="0" w:line="259" w:lineRule="auto"/>
        <w:jc w:val="both"/>
        <w:outlineLvl w:val="1"/>
        <w:rPr>
          <w:rFonts w:eastAsiaTheme="majorEastAsia" w:cs="Times New Roman"/>
          <w:noProof/>
        </w:rPr>
      </w:pPr>
      <w:r>
        <w:rPr>
          <w:noProof/>
        </w:rPr>
        <w:t xml:space="preserve">Aizdevums </w:t>
      </w:r>
    </w:p>
    <w:p w14:paraId="6BCD5950" w14:textId="77777777" w:rsidR="00776A1F" w:rsidRDefault="00D8574B">
      <w:pPr>
        <w:pStyle w:val="P68B1DB1-Normal4"/>
        <w:keepNext/>
        <w:spacing w:before="40" w:after="0" w:line="259" w:lineRule="auto"/>
        <w:jc w:val="both"/>
        <w:rPr>
          <w:rFonts w:eastAsiaTheme="minorEastAsia" w:cs="Times New Roman"/>
          <w:noProof/>
        </w:rPr>
      </w:pPr>
      <w:r>
        <w:rPr>
          <w:noProof/>
        </w:rPr>
        <w:t>Maksājumus, kas minēti 3. panta 2. punktā, organizē šādi:</w:t>
      </w:r>
    </w:p>
    <w:p w14:paraId="3FE85171" w14:textId="77777777" w:rsidR="00776A1F" w:rsidRDefault="00776A1F">
      <w:pPr>
        <w:keepNext/>
        <w:spacing w:after="160" w:line="259" w:lineRule="auto"/>
        <w:ind w:left="360"/>
        <w:contextualSpacing/>
        <w:jc w:val="both"/>
        <w:rPr>
          <w:rFonts w:ascii="Times New Roman" w:eastAsiaTheme="minorEastAsia" w:hAnsi="Times New Roman" w:cs="Times New Roman"/>
          <w:noProof/>
          <w:sz w:val="24"/>
        </w:rPr>
      </w:pPr>
    </w:p>
    <w:p w14:paraId="4E892DCC"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Pirmais maksājuma pieprasījums (aizdevuma atbalsts):</w:t>
      </w:r>
    </w:p>
    <w:p w14:paraId="7FAECB77"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074834ED" w14:textId="77777777">
        <w:trPr>
          <w:trHeight w:val="509"/>
          <w:tblHeader/>
        </w:trPr>
        <w:tc>
          <w:tcPr>
            <w:tcW w:w="1200" w:type="dxa"/>
            <w:vMerge w:val="restart"/>
            <w:shd w:val="clear" w:color="auto" w:fill="BDD7EE"/>
            <w:vAlign w:val="center"/>
            <w:hideMark/>
          </w:tcPr>
          <w:p w14:paraId="6FC084B2"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47AF933B"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35B00DEF"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3E1358F3"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69B5D785" w14:textId="77777777">
        <w:trPr>
          <w:trHeight w:val="509"/>
        </w:trPr>
        <w:tc>
          <w:tcPr>
            <w:tcW w:w="1200" w:type="dxa"/>
            <w:vMerge/>
            <w:vAlign w:val="center"/>
            <w:hideMark/>
          </w:tcPr>
          <w:p w14:paraId="782328FC"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77E830EC"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21A9C4CC"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08EF91B7" w14:textId="77777777" w:rsidR="00776A1F" w:rsidRDefault="00776A1F">
            <w:pPr>
              <w:spacing w:after="0" w:line="240" w:lineRule="auto"/>
              <w:rPr>
                <w:rFonts w:ascii="Times New Roman" w:eastAsia="Times New Roman" w:hAnsi="Times New Roman" w:cs="Times New Roman"/>
                <w:noProof/>
                <w:sz w:val="20"/>
              </w:rPr>
            </w:pPr>
          </w:p>
        </w:tc>
      </w:tr>
      <w:tr w:rsidR="00776A1F" w14:paraId="231581F7" w14:textId="77777777">
        <w:trPr>
          <w:trHeight w:val="440"/>
        </w:trPr>
        <w:tc>
          <w:tcPr>
            <w:tcW w:w="1200" w:type="dxa"/>
            <w:shd w:val="clear" w:color="auto" w:fill="C4EFCE"/>
            <w:vAlign w:val="center"/>
            <w:hideMark/>
          </w:tcPr>
          <w:p w14:paraId="0019F272" w14:textId="77777777" w:rsidR="00776A1F" w:rsidRDefault="00D8574B">
            <w:pPr>
              <w:pStyle w:val="P68B1DB1-Normal23"/>
              <w:spacing w:after="0" w:line="240" w:lineRule="auto"/>
              <w:jc w:val="center"/>
              <w:rPr>
                <w:rFonts w:eastAsia="Times New Roman" w:cs="Calibri"/>
                <w:noProof/>
              </w:rPr>
            </w:pPr>
            <w:r>
              <w:rPr>
                <w:noProof/>
              </w:rPr>
              <w:t>5.23</w:t>
            </w:r>
          </w:p>
        </w:tc>
        <w:tc>
          <w:tcPr>
            <w:tcW w:w="1760" w:type="dxa"/>
            <w:shd w:val="clear" w:color="auto" w:fill="C4EFCE"/>
            <w:vAlign w:val="center"/>
            <w:hideMark/>
          </w:tcPr>
          <w:p w14:paraId="7E76ACD1" w14:textId="77777777" w:rsidR="00776A1F" w:rsidRDefault="00D8574B">
            <w:pPr>
              <w:pStyle w:val="P68B1DB1-Normal23"/>
              <w:spacing w:after="0" w:line="240" w:lineRule="auto"/>
              <w:jc w:val="center"/>
              <w:rPr>
                <w:rFonts w:eastAsia="Times New Roman" w:cs="Calibri"/>
                <w:noProof/>
              </w:rPr>
            </w:pPr>
            <w:r>
              <w:rPr>
                <w:noProof/>
              </w:rPr>
              <w:t>Re-C05-r10 </w:t>
            </w:r>
          </w:p>
        </w:tc>
        <w:tc>
          <w:tcPr>
            <w:tcW w:w="1520" w:type="dxa"/>
            <w:shd w:val="clear" w:color="auto" w:fill="C4EFCE"/>
            <w:vAlign w:val="center"/>
            <w:hideMark/>
          </w:tcPr>
          <w:p w14:paraId="29D0D0FA" w14:textId="77777777" w:rsidR="00776A1F" w:rsidRDefault="00D8574B">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AEDE275" w14:textId="77777777" w:rsidR="00776A1F" w:rsidRDefault="00D8574B">
            <w:pPr>
              <w:pStyle w:val="P68B1DB1-Normal23"/>
              <w:spacing w:after="0" w:line="240" w:lineRule="auto"/>
              <w:jc w:val="both"/>
              <w:rPr>
                <w:rFonts w:eastAsia="Times New Roman" w:cs="Calibri"/>
                <w:noProof/>
              </w:rPr>
            </w:pPr>
            <w:r>
              <w:rPr>
                <w:noProof/>
              </w:rPr>
              <w:t>Regulas, ar ko nosaka Banco Português de Fomento (BPF) darbības un statūtus, stāšanās spēkā</w:t>
            </w:r>
          </w:p>
        </w:tc>
      </w:tr>
      <w:tr w:rsidR="00776A1F" w14:paraId="31564C75" w14:textId="77777777">
        <w:trPr>
          <w:trHeight w:val="440"/>
        </w:trPr>
        <w:tc>
          <w:tcPr>
            <w:tcW w:w="1200" w:type="dxa"/>
            <w:shd w:val="clear" w:color="auto" w:fill="C4EFCE"/>
            <w:vAlign w:val="center"/>
            <w:hideMark/>
          </w:tcPr>
          <w:p w14:paraId="0B27A3F2" w14:textId="77777777" w:rsidR="00776A1F" w:rsidRDefault="00D8574B">
            <w:pPr>
              <w:pStyle w:val="P68B1DB1-Normal23"/>
              <w:spacing w:after="0" w:line="240" w:lineRule="auto"/>
              <w:jc w:val="center"/>
              <w:rPr>
                <w:rFonts w:eastAsia="Times New Roman" w:cs="Calibri"/>
                <w:noProof/>
              </w:rPr>
            </w:pPr>
            <w:r>
              <w:rPr>
                <w:noProof/>
              </w:rPr>
              <w:t>5.27</w:t>
            </w:r>
          </w:p>
        </w:tc>
        <w:tc>
          <w:tcPr>
            <w:tcW w:w="1760" w:type="dxa"/>
            <w:shd w:val="clear" w:color="auto" w:fill="C4EFCE"/>
            <w:vAlign w:val="center"/>
            <w:hideMark/>
          </w:tcPr>
          <w:p w14:paraId="0AC92BC5" w14:textId="77777777" w:rsidR="00776A1F" w:rsidRDefault="00D8574B">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62A0E886" w14:textId="77777777" w:rsidR="00776A1F" w:rsidRDefault="00D8574B">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52055337" w14:textId="77777777" w:rsidR="00776A1F" w:rsidRDefault="00D8574B">
            <w:pPr>
              <w:pStyle w:val="P68B1DB1-Normal23"/>
              <w:spacing w:after="0" w:line="240" w:lineRule="auto"/>
              <w:jc w:val="both"/>
              <w:rPr>
                <w:rFonts w:eastAsia="Times New Roman" w:cs="Calibri"/>
                <w:noProof/>
              </w:rPr>
            </w:pPr>
            <w:r>
              <w:rPr>
                <w:noProof/>
              </w:rPr>
              <w:t xml:space="preserve">Stājas spēkā dekrētlikums, kas reglamentē BPF kapitalizācijas pasākumu </w:t>
            </w:r>
          </w:p>
        </w:tc>
      </w:tr>
      <w:tr w:rsidR="00776A1F" w14:paraId="5DC5E664" w14:textId="77777777">
        <w:trPr>
          <w:trHeight w:val="440"/>
        </w:trPr>
        <w:tc>
          <w:tcPr>
            <w:tcW w:w="1200" w:type="dxa"/>
            <w:shd w:val="clear" w:color="auto" w:fill="C4EFCE"/>
            <w:vAlign w:val="center"/>
            <w:hideMark/>
          </w:tcPr>
          <w:p w14:paraId="56BFF86C" w14:textId="77777777" w:rsidR="00776A1F" w:rsidRDefault="00D8574B">
            <w:pPr>
              <w:pStyle w:val="P68B1DB1-Normal23"/>
              <w:spacing w:after="0" w:line="240" w:lineRule="auto"/>
              <w:jc w:val="center"/>
              <w:rPr>
                <w:rFonts w:eastAsia="Times New Roman" w:cs="Calibri"/>
                <w:noProof/>
              </w:rPr>
            </w:pPr>
            <w:r>
              <w:rPr>
                <w:noProof/>
              </w:rPr>
              <w:t>5.28</w:t>
            </w:r>
          </w:p>
        </w:tc>
        <w:tc>
          <w:tcPr>
            <w:tcW w:w="1760" w:type="dxa"/>
            <w:shd w:val="clear" w:color="auto" w:fill="C4EFCE"/>
            <w:vAlign w:val="center"/>
            <w:hideMark/>
          </w:tcPr>
          <w:p w14:paraId="1DAA31DC" w14:textId="77777777" w:rsidR="00776A1F" w:rsidRDefault="00D8574B">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25478A9B" w14:textId="77777777" w:rsidR="00776A1F" w:rsidRDefault="00D8574B">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49D334D" w14:textId="77777777" w:rsidR="00776A1F" w:rsidRDefault="00D8574B">
            <w:pPr>
              <w:pStyle w:val="P68B1DB1-Normal23"/>
              <w:spacing w:after="0" w:line="240" w:lineRule="auto"/>
              <w:jc w:val="both"/>
              <w:rPr>
                <w:rFonts w:eastAsia="Times New Roman" w:cs="Calibri"/>
                <w:noProof/>
              </w:rPr>
            </w:pPr>
            <w:r>
              <w:rPr>
                <w:noProof/>
              </w:rPr>
              <w:t>Ieguldījumu politikas izstrāde (kapitalizācija) un pieņemšana, ko veic transportlīdzekļu pārvaldītājs</w:t>
            </w:r>
          </w:p>
        </w:tc>
      </w:tr>
      <w:tr w:rsidR="00776A1F" w14:paraId="3FD88BF5" w14:textId="77777777">
        <w:trPr>
          <w:trHeight w:val="440"/>
        </w:trPr>
        <w:tc>
          <w:tcPr>
            <w:tcW w:w="1200" w:type="dxa"/>
            <w:shd w:val="clear" w:color="auto" w:fill="C4EFCE"/>
            <w:vAlign w:val="center"/>
            <w:hideMark/>
          </w:tcPr>
          <w:p w14:paraId="0C2466DE"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B8B12A3"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156D5B3"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0B510FD1" w14:textId="63EA3829" w:rsidR="00776A1F" w:rsidRDefault="00D8574B">
            <w:pPr>
              <w:pStyle w:val="P68B1DB1-Normal25"/>
              <w:spacing w:after="0" w:line="240" w:lineRule="auto"/>
              <w:jc w:val="center"/>
              <w:rPr>
                <w:rFonts w:cs="Calibri"/>
                <w:noProof/>
              </w:rPr>
            </w:pPr>
            <w:r>
              <w:rPr>
                <w:noProof/>
              </w:rPr>
              <w:t xml:space="preserve">700 000 000 EUR </w:t>
            </w:r>
          </w:p>
        </w:tc>
      </w:tr>
    </w:tbl>
    <w:p w14:paraId="717E1755" w14:textId="77777777" w:rsidR="00776A1F" w:rsidRDefault="00776A1F">
      <w:pPr>
        <w:keepNext/>
        <w:spacing w:after="160" w:line="259" w:lineRule="auto"/>
        <w:contextualSpacing/>
        <w:jc w:val="both"/>
        <w:rPr>
          <w:rFonts w:ascii="Times New Roman" w:eastAsiaTheme="minorEastAsia" w:hAnsi="Times New Roman" w:cs="Times New Roman"/>
          <w:noProof/>
          <w:sz w:val="24"/>
        </w:rPr>
      </w:pPr>
    </w:p>
    <w:p w14:paraId="0D521636" w14:textId="77777777" w:rsidR="00776A1F" w:rsidRDefault="00776A1F">
      <w:pPr>
        <w:keepNext/>
        <w:spacing w:after="160" w:line="259" w:lineRule="auto"/>
        <w:contextualSpacing/>
        <w:jc w:val="both"/>
        <w:rPr>
          <w:rFonts w:ascii="Times New Roman" w:eastAsiaTheme="minorEastAsia" w:hAnsi="Times New Roman" w:cs="Times New Roman"/>
          <w:noProof/>
          <w:sz w:val="24"/>
        </w:rPr>
      </w:pPr>
    </w:p>
    <w:p w14:paraId="212AD2B0"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Otrais maksājuma pieprasījums (aizdevuma atbalsts): </w:t>
      </w:r>
    </w:p>
    <w:p w14:paraId="02E15ED7"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0EB2FB8A" w14:textId="77777777">
        <w:trPr>
          <w:trHeight w:val="509"/>
        </w:trPr>
        <w:tc>
          <w:tcPr>
            <w:tcW w:w="1200" w:type="dxa"/>
            <w:vMerge w:val="restart"/>
            <w:shd w:val="clear" w:color="auto" w:fill="BDD7EE"/>
            <w:vAlign w:val="center"/>
            <w:hideMark/>
          </w:tcPr>
          <w:p w14:paraId="1B001ABA"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6E0E0306"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2A96E987"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7A89ACB1"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23B562DF" w14:textId="77777777">
        <w:trPr>
          <w:trHeight w:val="509"/>
        </w:trPr>
        <w:tc>
          <w:tcPr>
            <w:tcW w:w="1200" w:type="dxa"/>
            <w:vMerge/>
            <w:vAlign w:val="center"/>
            <w:hideMark/>
          </w:tcPr>
          <w:p w14:paraId="03688CB7"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5CEB0911"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3FC7C10B"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6D45A41A" w14:textId="77777777" w:rsidR="00776A1F" w:rsidRDefault="00776A1F">
            <w:pPr>
              <w:spacing w:after="0" w:line="240" w:lineRule="auto"/>
              <w:rPr>
                <w:rFonts w:ascii="Times New Roman" w:eastAsia="Times New Roman" w:hAnsi="Times New Roman" w:cs="Times New Roman"/>
                <w:noProof/>
                <w:sz w:val="20"/>
              </w:rPr>
            </w:pPr>
          </w:p>
        </w:tc>
      </w:tr>
      <w:tr w:rsidR="00776A1F" w14:paraId="1570ABB6" w14:textId="77777777">
        <w:trPr>
          <w:trHeight w:val="440"/>
        </w:trPr>
        <w:tc>
          <w:tcPr>
            <w:tcW w:w="1200" w:type="dxa"/>
            <w:shd w:val="clear" w:color="auto" w:fill="C4EFCE"/>
            <w:vAlign w:val="center"/>
            <w:hideMark/>
          </w:tcPr>
          <w:p w14:paraId="009ECE5F" w14:textId="77777777" w:rsidR="00776A1F" w:rsidRDefault="00D8574B">
            <w:pPr>
              <w:pStyle w:val="P68B1DB1-Normal23"/>
              <w:spacing w:after="0" w:line="240" w:lineRule="auto"/>
              <w:jc w:val="center"/>
              <w:rPr>
                <w:rFonts w:eastAsia="Times New Roman" w:cs="Calibri"/>
                <w:noProof/>
              </w:rPr>
            </w:pPr>
            <w:r>
              <w:rPr>
                <w:noProof/>
              </w:rPr>
              <w:t>5.30</w:t>
            </w:r>
          </w:p>
        </w:tc>
        <w:tc>
          <w:tcPr>
            <w:tcW w:w="1760" w:type="dxa"/>
            <w:shd w:val="clear" w:color="auto" w:fill="C4EFCE"/>
            <w:vAlign w:val="center"/>
            <w:hideMark/>
          </w:tcPr>
          <w:p w14:paraId="675FBF51" w14:textId="77777777" w:rsidR="00776A1F" w:rsidRDefault="00D8574B">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5F3B7817" w14:textId="77777777" w:rsidR="00776A1F" w:rsidRDefault="00D8574B">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077B04B8" w14:textId="77777777" w:rsidR="00776A1F" w:rsidRDefault="00D8574B">
            <w:pPr>
              <w:pStyle w:val="P68B1DB1-Normal23"/>
              <w:spacing w:after="0" w:line="240" w:lineRule="auto"/>
              <w:jc w:val="both"/>
              <w:rPr>
                <w:rFonts w:eastAsia="Times New Roman" w:cs="Calibri"/>
                <w:noProof/>
              </w:rPr>
            </w:pPr>
            <w:r>
              <w:rPr>
                <w:noProof/>
              </w:rPr>
              <w:t>Paziņojums Eiropas Komisijai par BPF pīlāru novērtējuma sekmīgu nokārtošanu</w:t>
            </w:r>
          </w:p>
        </w:tc>
      </w:tr>
      <w:tr w:rsidR="00776A1F" w14:paraId="4F63CB2A" w14:textId="77777777">
        <w:trPr>
          <w:trHeight w:val="440"/>
        </w:trPr>
        <w:tc>
          <w:tcPr>
            <w:tcW w:w="1200" w:type="dxa"/>
            <w:shd w:val="clear" w:color="auto" w:fill="C4EFCE"/>
            <w:vAlign w:val="center"/>
            <w:hideMark/>
          </w:tcPr>
          <w:p w14:paraId="1E7826AF" w14:textId="77777777" w:rsidR="00776A1F" w:rsidRDefault="00D8574B">
            <w:pPr>
              <w:pStyle w:val="P68B1DB1-Normal23"/>
              <w:spacing w:after="0" w:line="240" w:lineRule="auto"/>
              <w:jc w:val="center"/>
              <w:rPr>
                <w:rFonts w:eastAsia="Times New Roman" w:cs="Calibri"/>
                <w:noProof/>
              </w:rPr>
            </w:pPr>
            <w:r>
              <w:rPr>
                <w:noProof/>
              </w:rPr>
              <w:t>5.31</w:t>
            </w:r>
          </w:p>
        </w:tc>
        <w:tc>
          <w:tcPr>
            <w:tcW w:w="1760" w:type="dxa"/>
            <w:shd w:val="clear" w:color="auto" w:fill="C4EFCE"/>
            <w:vAlign w:val="center"/>
            <w:hideMark/>
          </w:tcPr>
          <w:p w14:paraId="0270B895" w14:textId="77777777" w:rsidR="00776A1F" w:rsidRDefault="00D8574B">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3965D7AA" w14:textId="77777777" w:rsidR="00776A1F" w:rsidRDefault="00D8574B">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130F5CB2" w14:textId="77777777" w:rsidR="00776A1F" w:rsidRDefault="00D8574B">
            <w:pPr>
              <w:pStyle w:val="P68B1DB1-Normal23"/>
              <w:spacing w:after="0" w:line="240" w:lineRule="auto"/>
              <w:jc w:val="both"/>
              <w:rPr>
                <w:rFonts w:eastAsia="Times New Roman" w:cs="Calibri"/>
                <w:noProof/>
              </w:rPr>
            </w:pPr>
            <w:r>
              <w:rPr>
                <w:noProof/>
              </w:rPr>
              <w:t>Portugāles valdības kapitāla pārvedums BPF EUR 250000000 apmērā un BPF ieguldījumu politikas pieņemšana</w:t>
            </w:r>
          </w:p>
        </w:tc>
      </w:tr>
      <w:tr w:rsidR="00776A1F" w14:paraId="5DF0FC8C" w14:textId="77777777">
        <w:trPr>
          <w:trHeight w:val="440"/>
        </w:trPr>
        <w:tc>
          <w:tcPr>
            <w:tcW w:w="1200" w:type="dxa"/>
            <w:shd w:val="clear" w:color="auto" w:fill="C4EFCE"/>
            <w:vAlign w:val="center"/>
            <w:hideMark/>
          </w:tcPr>
          <w:p w14:paraId="4275F46E"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422F0890"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216845AB"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3845844B" w14:textId="3DC80B07" w:rsidR="00776A1F" w:rsidRDefault="00D8574B">
            <w:pPr>
              <w:pStyle w:val="P68B1DB1-Normal25"/>
              <w:spacing w:after="0" w:line="240" w:lineRule="auto"/>
              <w:jc w:val="center"/>
              <w:rPr>
                <w:rFonts w:cs="Calibri"/>
                <w:noProof/>
              </w:rPr>
            </w:pPr>
            <w:r>
              <w:rPr>
                <w:noProof/>
              </w:rPr>
              <w:t xml:space="preserve">125 000 000 EUR </w:t>
            </w:r>
          </w:p>
        </w:tc>
      </w:tr>
    </w:tbl>
    <w:p w14:paraId="011575C2"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2F53405C"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27D8DBB2"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Trešais maksājuma pieprasījums (aizdevuma atbalsts): </w:t>
      </w:r>
    </w:p>
    <w:p w14:paraId="45710B93"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56F1D039" w14:textId="77777777">
        <w:trPr>
          <w:trHeight w:val="509"/>
          <w:tblHeader/>
        </w:trPr>
        <w:tc>
          <w:tcPr>
            <w:tcW w:w="1200" w:type="dxa"/>
            <w:vMerge w:val="restart"/>
            <w:shd w:val="clear" w:color="auto" w:fill="BDD7EE"/>
            <w:vAlign w:val="center"/>
            <w:hideMark/>
          </w:tcPr>
          <w:p w14:paraId="1CD5E8AC" w14:textId="77777777" w:rsidR="00776A1F" w:rsidRDefault="00D8574B">
            <w:pPr>
              <w:pStyle w:val="P68B1DB1-Normal22"/>
              <w:keepNext/>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554BDD9C" w14:textId="77777777" w:rsidR="00776A1F" w:rsidRDefault="00D8574B">
            <w:pPr>
              <w:pStyle w:val="P68B1DB1-Normal22"/>
              <w:keepNext/>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5A817C51" w14:textId="77777777" w:rsidR="00776A1F" w:rsidRDefault="00D8574B">
            <w:pPr>
              <w:pStyle w:val="P68B1DB1-Normal22"/>
              <w:keepNext/>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348B16AE" w14:textId="77777777" w:rsidR="00776A1F" w:rsidRDefault="00D8574B">
            <w:pPr>
              <w:pStyle w:val="P68B1DB1-Normal22"/>
              <w:keepNext/>
              <w:spacing w:after="0" w:line="240" w:lineRule="auto"/>
              <w:jc w:val="center"/>
              <w:rPr>
                <w:rFonts w:eastAsia="Times New Roman" w:cs="Times New Roman"/>
                <w:noProof/>
              </w:rPr>
            </w:pPr>
            <w:r>
              <w:rPr>
                <w:noProof/>
              </w:rPr>
              <w:t>Uzvārds</w:t>
            </w:r>
          </w:p>
        </w:tc>
      </w:tr>
      <w:tr w:rsidR="00776A1F" w14:paraId="54C48B88" w14:textId="77777777">
        <w:trPr>
          <w:trHeight w:val="509"/>
          <w:tblHeader/>
        </w:trPr>
        <w:tc>
          <w:tcPr>
            <w:tcW w:w="1200" w:type="dxa"/>
            <w:vMerge/>
            <w:vAlign w:val="center"/>
            <w:hideMark/>
          </w:tcPr>
          <w:p w14:paraId="15CE11B2"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1D899E3A"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4387D244"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4C9A4136" w14:textId="77777777" w:rsidR="00776A1F" w:rsidRDefault="00776A1F">
            <w:pPr>
              <w:spacing w:after="0" w:line="240" w:lineRule="auto"/>
              <w:rPr>
                <w:rFonts w:ascii="Times New Roman" w:eastAsia="Times New Roman" w:hAnsi="Times New Roman" w:cs="Times New Roman"/>
                <w:noProof/>
                <w:sz w:val="20"/>
              </w:rPr>
            </w:pPr>
          </w:p>
        </w:tc>
      </w:tr>
      <w:tr w:rsidR="00776A1F" w14:paraId="30E391F9" w14:textId="77777777">
        <w:trPr>
          <w:trHeight w:val="440"/>
        </w:trPr>
        <w:tc>
          <w:tcPr>
            <w:tcW w:w="1200" w:type="dxa"/>
            <w:shd w:val="clear" w:color="auto" w:fill="C4EFCE"/>
            <w:vAlign w:val="center"/>
          </w:tcPr>
          <w:p w14:paraId="1329D539" w14:textId="77777777" w:rsidR="00776A1F" w:rsidRDefault="00D8574B">
            <w:pPr>
              <w:pStyle w:val="P68B1DB1-Normal23"/>
              <w:spacing w:after="0"/>
              <w:jc w:val="center"/>
              <w:rPr>
                <w:noProof/>
              </w:rPr>
            </w:pPr>
            <w:r>
              <w:rPr>
                <w:noProof/>
              </w:rPr>
              <w:t>2.20</w:t>
            </w:r>
          </w:p>
        </w:tc>
        <w:tc>
          <w:tcPr>
            <w:tcW w:w="1760" w:type="dxa"/>
            <w:shd w:val="clear" w:color="auto" w:fill="C4EFCE"/>
            <w:vAlign w:val="center"/>
          </w:tcPr>
          <w:p w14:paraId="46E5A600" w14:textId="77777777" w:rsidR="00776A1F" w:rsidRDefault="00D8574B">
            <w:pPr>
              <w:pStyle w:val="P68B1DB1-Normal23"/>
              <w:spacing w:after="0"/>
              <w:jc w:val="center"/>
              <w:rPr>
                <w:noProof/>
              </w:rPr>
            </w:pPr>
            <w:r>
              <w:rPr>
                <w:noProof/>
              </w:rPr>
              <w:t>Re-C02-i05</w:t>
            </w:r>
          </w:p>
        </w:tc>
        <w:tc>
          <w:tcPr>
            <w:tcW w:w="1520" w:type="dxa"/>
            <w:shd w:val="clear" w:color="auto" w:fill="C4EFCE"/>
            <w:vAlign w:val="center"/>
          </w:tcPr>
          <w:p w14:paraId="731E33FA" w14:textId="77777777" w:rsidR="00776A1F" w:rsidRDefault="00D8574B">
            <w:pPr>
              <w:pStyle w:val="P68B1DB1-Normal23"/>
              <w:spacing w:after="0"/>
              <w:jc w:val="center"/>
              <w:rPr>
                <w:noProof/>
              </w:rPr>
            </w:pPr>
            <w:r>
              <w:rPr>
                <w:noProof/>
              </w:rPr>
              <w:t>T</w:t>
            </w:r>
          </w:p>
        </w:tc>
        <w:tc>
          <w:tcPr>
            <w:tcW w:w="5060" w:type="dxa"/>
            <w:shd w:val="clear" w:color="auto" w:fill="C4EFCE"/>
            <w:vAlign w:val="center"/>
          </w:tcPr>
          <w:p w14:paraId="68BCDFD3" w14:textId="77777777" w:rsidR="00776A1F" w:rsidRDefault="00D8574B">
            <w:pPr>
              <w:pStyle w:val="P68B1DB1-Normal23"/>
              <w:spacing w:after="0"/>
              <w:jc w:val="both"/>
              <w:rPr>
                <w:noProof/>
              </w:rPr>
            </w:pPr>
            <w:r>
              <w:rPr>
                <w:noProof/>
              </w:rPr>
              <w:t>Cenas ziņā pieejams publisko mājokļu fonds — mājokļi, kuros sākts darbs (kas būvēti ar augstu energoefektivitāti vai atjaunoti ar uzlabotu energoefektivitāti)</w:t>
            </w:r>
          </w:p>
        </w:tc>
      </w:tr>
      <w:tr w:rsidR="00776A1F" w14:paraId="74203895" w14:textId="77777777">
        <w:trPr>
          <w:trHeight w:val="440"/>
        </w:trPr>
        <w:tc>
          <w:tcPr>
            <w:tcW w:w="1200" w:type="dxa"/>
            <w:shd w:val="clear" w:color="auto" w:fill="C4EFCE"/>
            <w:vAlign w:val="center"/>
            <w:hideMark/>
          </w:tcPr>
          <w:p w14:paraId="2563BBA6" w14:textId="77777777" w:rsidR="00776A1F" w:rsidRDefault="00D8574B">
            <w:pPr>
              <w:pStyle w:val="P68B1DB1-Normal23"/>
              <w:spacing w:after="0"/>
              <w:jc w:val="center"/>
              <w:rPr>
                <w:noProof/>
              </w:rPr>
            </w:pPr>
            <w:r>
              <w:rPr>
                <w:noProof/>
              </w:rPr>
              <w:t>2.25</w:t>
            </w:r>
          </w:p>
        </w:tc>
        <w:tc>
          <w:tcPr>
            <w:tcW w:w="1760" w:type="dxa"/>
            <w:shd w:val="clear" w:color="auto" w:fill="C4EFCE"/>
            <w:vAlign w:val="center"/>
            <w:hideMark/>
          </w:tcPr>
          <w:p w14:paraId="7E22A000" w14:textId="77777777" w:rsidR="00776A1F" w:rsidRDefault="00D8574B">
            <w:pPr>
              <w:pStyle w:val="P68B1DB1-Normal23"/>
              <w:spacing w:after="0"/>
              <w:jc w:val="center"/>
              <w:rPr>
                <w:noProof/>
              </w:rPr>
            </w:pPr>
            <w:r>
              <w:rPr>
                <w:noProof/>
              </w:rPr>
              <w:t>Re-C02-i06</w:t>
            </w:r>
          </w:p>
        </w:tc>
        <w:tc>
          <w:tcPr>
            <w:tcW w:w="1520" w:type="dxa"/>
            <w:shd w:val="clear" w:color="auto" w:fill="C4EFCE"/>
            <w:vAlign w:val="center"/>
            <w:hideMark/>
          </w:tcPr>
          <w:p w14:paraId="116111E5" w14:textId="77777777" w:rsidR="00776A1F" w:rsidRDefault="00D8574B">
            <w:pPr>
              <w:pStyle w:val="P68B1DB1-Normal23"/>
              <w:spacing w:after="0"/>
              <w:jc w:val="center"/>
              <w:rPr>
                <w:noProof/>
              </w:rPr>
            </w:pPr>
            <w:r>
              <w:rPr>
                <w:noProof/>
              </w:rPr>
              <w:t>T</w:t>
            </w:r>
          </w:p>
        </w:tc>
        <w:tc>
          <w:tcPr>
            <w:tcW w:w="5060" w:type="dxa"/>
            <w:shd w:val="clear" w:color="auto" w:fill="C4EFCE"/>
            <w:vAlign w:val="center"/>
            <w:hideMark/>
          </w:tcPr>
          <w:p w14:paraId="53F83543" w14:textId="77777777" w:rsidR="00776A1F" w:rsidRDefault="00D8574B">
            <w:pPr>
              <w:pStyle w:val="P68B1DB1-Normal23"/>
              <w:spacing w:after="0"/>
              <w:jc w:val="both"/>
              <w:rPr>
                <w:noProof/>
              </w:rPr>
            </w:pPr>
            <w:r>
              <w:rPr>
                <w:noProof/>
              </w:rPr>
              <w:t>Studentu izmitināšana par pieņemamu cenu — studentu izmitināšanas vietu skaits ar izsludinātiem konkursiem</w:t>
            </w:r>
          </w:p>
        </w:tc>
      </w:tr>
      <w:tr w:rsidR="00776A1F" w14:paraId="30722990" w14:textId="77777777">
        <w:trPr>
          <w:trHeight w:val="440"/>
        </w:trPr>
        <w:tc>
          <w:tcPr>
            <w:tcW w:w="1200" w:type="dxa"/>
            <w:shd w:val="clear" w:color="auto" w:fill="C4EFCE"/>
            <w:vAlign w:val="center"/>
            <w:hideMark/>
          </w:tcPr>
          <w:p w14:paraId="1327A5E4" w14:textId="77777777" w:rsidR="00776A1F" w:rsidRDefault="00D8574B">
            <w:pPr>
              <w:pStyle w:val="P68B1DB1-Normal23"/>
              <w:spacing w:after="0"/>
              <w:jc w:val="center"/>
              <w:rPr>
                <w:noProof/>
              </w:rPr>
            </w:pPr>
            <w:r>
              <w:rPr>
                <w:noProof/>
              </w:rPr>
              <w:t>5.24</w:t>
            </w:r>
          </w:p>
        </w:tc>
        <w:tc>
          <w:tcPr>
            <w:tcW w:w="1760" w:type="dxa"/>
            <w:shd w:val="clear" w:color="auto" w:fill="C4EFCE"/>
            <w:vAlign w:val="center"/>
            <w:hideMark/>
          </w:tcPr>
          <w:p w14:paraId="7313D5BF" w14:textId="77777777" w:rsidR="00776A1F" w:rsidRDefault="00D8574B">
            <w:pPr>
              <w:pStyle w:val="P68B1DB1-Normal23"/>
              <w:spacing w:after="0"/>
              <w:jc w:val="center"/>
              <w:rPr>
                <w:noProof/>
              </w:rPr>
            </w:pPr>
            <w:r>
              <w:rPr>
                <w:noProof/>
              </w:rPr>
              <w:t xml:space="preserve"> Re-C05-r13</w:t>
            </w:r>
          </w:p>
        </w:tc>
        <w:tc>
          <w:tcPr>
            <w:tcW w:w="1520" w:type="dxa"/>
            <w:shd w:val="clear" w:color="auto" w:fill="C4EFCE"/>
            <w:vAlign w:val="center"/>
            <w:hideMark/>
          </w:tcPr>
          <w:p w14:paraId="5AFBE9E2"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0D4879B7" w14:textId="77777777" w:rsidR="00776A1F" w:rsidRDefault="00D8574B">
            <w:pPr>
              <w:pStyle w:val="P68B1DB1-Normal23"/>
              <w:spacing w:after="0"/>
              <w:jc w:val="both"/>
              <w:rPr>
                <w:noProof/>
              </w:rPr>
            </w:pPr>
            <w:r>
              <w:rPr>
                <w:noProof/>
              </w:rPr>
              <w:t>Kolektīvo ieguldījumu uzņēmumu tiesiskā regulējuma pārskatīšanas stāšanās spēkā</w:t>
            </w:r>
          </w:p>
        </w:tc>
      </w:tr>
      <w:tr w:rsidR="00776A1F" w14:paraId="37C006F7" w14:textId="77777777">
        <w:trPr>
          <w:trHeight w:val="440"/>
        </w:trPr>
        <w:tc>
          <w:tcPr>
            <w:tcW w:w="1200" w:type="dxa"/>
            <w:shd w:val="clear" w:color="auto" w:fill="C4EFCE"/>
            <w:vAlign w:val="center"/>
            <w:hideMark/>
          </w:tcPr>
          <w:p w14:paraId="26B1491D" w14:textId="77777777" w:rsidR="00776A1F" w:rsidRDefault="00D8574B">
            <w:pPr>
              <w:pStyle w:val="P68B1DB1-Normal23"/>
              <w:spacing w:after="0"/>
              <w:jc w:val="center"/>
              <w:rPr>
                <w:noProof/>
              </w:rPr>
            </w:pPr>
            <w:r>
              <w:rPr>
                <w:noProof/>
              </w:rPr>
              <w:t>5.25</w:t>
            </w:r>
          </w:p>
        </w:tc>
        <w:tc>
          <w:tcPr>
            <w:tcW w:w="1760" w:type="dxa"/>
            <w:shd w:val="clear" w:color="auto" w:fill="C4EFCE"/>
            <w:vAlign w:val="center"/>
            <w:hideMark/>
          </w:tcPr>
          <w:p w14:paraId="7A4EA22B" w14:textId="77777777" w:rsidR="00776A1F" w:rsidRDefault="00D8574B">
            <w:pPr>
              <w:pStyle w:val="P68B1DB1-Normal23"/>
              <w:spacing w:after="0"/>
              <w:jc w:val="center"/>
              <w:rPr>
                <w:noProof/>
              </w:rPr>
            </w:pPr>
            <w:r>
              <w:rPr>
                <w:noProof/>
              </w:rPr>
              <w:t xml:space="preserve"> Re-C05-r13</w:t>
            </w:r>
          </w:p>
        </w:tc>
        <w:tc>
          <w:tcPr>
            <w:tcW w:w="1520" w:type="dxa"/>
            <w:shd w:val="clear" w:color="auto" w:fill="C4EFCE"/>
            <w:vAlign w:val="center"/>
            <w:hideMark/>
          </w:tcPr>
          <w:p w14:paraId="35B03426"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43CD5844" w14:textId="77777777" w:rsidR="00776A1F" w:rsidRDefault="00D8574B">
            <w:pPr>
              <w:pStyle w:val="P68B1DB1-Normal23"/>
              <w:spacing w:after="0"/>
              <w:jc w:val="both"/>
              <w:rPr>
                <w:noProof/>
              </w:rPr>
            </w:pPr>
            <w:r>
              <w:rPr>
                <w:noProof/>
              </w:rPr>
              <w:t>Vērtspapīru kodeksa likuma pārskatīšanas stāšanās spēkā</w:t>
            </w:r>
          </w:p>
        </w:tc>
      </w:tr>
      <w:tr w:rsidR="00776A1F" w14:paraId="3107CF2B" w14:textId="77777777">
        <w:trPr>
          <w:trHeight w:val="440"/>
        </w:trPr>
        <w:tc>
          <w:tcPr>
            <w:tcW w:w="1200" w:type="dxa"/>
            <w:shd w:val="clear" w:color="auto" w:fill="C4EFCE"/>
            <w:vAlign w:val="center"/>
            <w:hideMark/>
          </w:tcPr>
          <w:p w14:paraId="5CD7F889" w14:textId="77777777" w:rsidR="00776A1F" w:rsidRDefault="00D8574B">
            <w:pPr>
              <w:pStyle w:val="P68B1DB1-Normal23"/>
              <w:spacing w:after="0"/>
              <w:jc w:val="center"/>
              <w:rPr>
                <w:noProof/>
              </w:rPr>
            </w:pPr>
            <w:r>
              <w:rPr>
                <w:noProof/>
              </w:rPr>
              <w:t>7.9</w:t>
            </w:r>
          </w:p>
        </w:tc>
        <w:tc>
          <w:tcPr>
            <w:tcW w:w="1760" w:type="dxa"/>
            <w:shd w:val="clear" w:color="auto" w:fill="C4EFCE"/>
            <w:vAlign w:val="center"/>
            <w:hideMark/>
          </w:tcPr>
          <w:p w14:paraId="6466928F" w14:textId="77777777" w:rsidR="00776A1F" w:rsidRDefault="00D8574B">
            <w:pPr>
              <w:pStyle w:val="P68B1DB1-Normal23"/>
              <w:spacing w:after="0"/>
              <w:jc w:val="center"/>
              <w:rPr>
                <w:noProof/>
              </w:rPr>
            </w:pPr>
            <w:r>
              <w:rPr>
                <w:noProof/>
              </w:rPr>
              <w:t xml:space="preserve">Re-C07-i03 </w:t>
            </w:r>
          </w:p>
        </w:tc>
        <w:tc>
          <w:tcPr>
            <w:tcW w:w="1520" w:type="dxa"/>
            <w:shd w:val="clear" w:color="auto" w:fill="C4EFCE"/>
            <w:vAlign w:val="center"/>
            <w:hideMark/>
          </w:tcPr>
          <w:p w14:paraId="4E115C47" w14:textId="77777777" w:rsidR="00776A1F" w:rsidRDefault="00D8574B">
            <w:pPr>
              <w:pStyle w:val="P68B1DB1-Normal23"/>
              <w:spacing w:after="0"/>
              <w:jc w:val="center"/>
              <w:rPr>
                <w:noProof/>
              </w:rPr>
            </w:pPr>
            <w:r>
              <w:rPr>
                <w:noProof/>
              </w:rPr>
              <w:t>M</w:t>
            </w:r>
          </w:p>
        </w:tc>
        <w:tc>
          <w:tcPr>
            <w:tcW w:w="5060" w:type="dxa"/>
            <w:shd w:val="clear" w:color="auto" w:fill="C4EFCE"/>
            <w:vAlign w:val="center"/>
            <w:hideMark/>
          </w:tcPr>
          <w:p w14:paraId="0B0DF1F4" w14:textId="77777777" w:rsidR="00776A1F" w:rsidRDefault="00D8574B">
            <w:pPr>
              <w:pStyle w:val="P68B1DB1-Normal23"/>
              <w:spacing w:after="0"/>
              <w:jc w:val="both"/>
              <w:rPr>
                <w:noProof/>
              </w:rPr>
            </w:pPr>
            <w:r>
              <w:rPr>
                <w:noProof/>
              </w:rPr>
              <w:t>Pabeigts pirmais ietekmes uz vidi novērtējums</w:t>
            </w:r>
          </w:p>
        </w:tc>
      </w:tr>
      <w:tr w:rsidR="00776A1F" w14:paraId="652BE136" w14:textId="77777777">
        <w:trPr>
          <w:trHeight w:val="440"/>
        </w:trPr>
        <w:tc>
          <w:tcPr>
            <w:tcW w:w="1200" w:type="dxa"/>
            <w:shd w:val="clear" w:color="auto" w:fill="C4EFCE"/>
            <w:vAlign w:val="center"/>
            <w:hideMark/>
          </w:tcPr>
          <w:p w14:paraId="13A380F0"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02962246"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4AD9BEA"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23433A9A" w14:textId="7B7D6100" w:rsidR="00776A1F" w:rsidRDefault="00D8574B">
            <w:pPr>
              <w:pStyle w:val="P68B1DB1-Normal25"/>
              <w:spacing w:after="0" w:line="240" w:lineRule="auto"/>
              <w:jc w:val="center"/>
              <w:rPr>
                <w:rFonts w:cs="Calibri"/>
                <w:noProof/>
              </w:rPr>
            </w:pPr>
            <w:r>
              <w:rPr>
                <w:noProof/>
              </w:rPr>
              <w:t xml:space="preserve"> 379 431 726 EUR</w:t>
            </w:r>
          </w:p>
        </w:tc>
      </w:tr>
    </w:tbl>
    <w:p w14:paraId="5F6BC874"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44F6034D"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2CE96FCC"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Ceturtais maksājuma pieprasījums (aizdevuma atbalsts): </w:t>
      </w:r>
    </w:p>
    <w:p w14:paraId="1272C240"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238EAFDB" w14:textId="77777777">
        <w:trPr>
          <w:trHeight w:val="1018"/>
        </w:trPr>
        <w:tc>
          <w:tcPr>
            <w:tcW w:w="1200" w:type="dxa"/>
            <w:shd w:val="clear" w:color="auto" w:fill="BDD7EE"/>
            <w:vAlign w:val="center"/>
            <w:hideMark/>
          </w:tcPr>
          <w:p w14:paraId="5792BC42"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shd w:val="clear" w:color="auto" w:fill="BDD7EE"/>
            <w:vAlign w:val="center"/>
            <w:hideMark/>
          </w:tcPr>
          <w:p w14:paraId="334D13DB"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shd w:val="clear" w:color="auto" w:fill="BDD7EE"/>
            <w:vAlign w:val="center"/>
            <w:hideMark/>
          </w:tcPr>
          <w:p w14:paraId="2EFF9745"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shd w:val="clear" w:color="auto" w:fill="BDD7EE"/>
            <w:vAlign w:val="center"/>
            <w:hideMark/>
          </w:tcPr>
          <w:p w14:paraId="1E5AFC53"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2B0F91C7" w14:textId="77777777">
        <w:trPr>
          <w:trHeight w:val="440"/>
        </w:trPr>
        <w:tc>
          <w:tcPr>
            <w:tcW w:w="1200" w:type="dxa"/>
            <w:shd w:val="clear" w:color="auto" w:fill="C4EFCE"/>
            <w:vAlign w:val="center"/>
            <w:hideMark/>
          </w:tcPr>
          <w:p w14:paraId="33FD24C6" w14:textId="77777777" w:rsidR="00776A1F" w:rsidRDefault="00D8574B">
            <w:pPr>
              <w:pStyle w:val="P68B1DB1-Normal23"/>
              <w:spacing w:after="0"/>
              <w:jc w:val="center"/>
              <w:rPr>
                <w:rFonts w:eastAsia="Calibri" w:cs="Calibri"/>
                <w:noProof/>
              </w:rPr>
            </w:pPr>
            <w:r>
              <w:rPr>
                <w:noProof/>
              </w:rPr>
              <w:t>5.44</w:t>
            </w:r>
          </w:p>
        </w:tc>
        <w:tc>
          <w:tcPr>
            <w:tcW w:w="1760" w:type="dxa"/>
            <w:shd w:val="clear" w:color="auto" w:fill="C4EFCE"/>
            <w:vAlign w:val="center"/>
            <w:hideMark/>
          </w:tcPr>
          <w:p w14:paraId="11788CF6" w14:textId="77777777" w:rsidR="00776A1F" w:rsidRDefault="00D8574B">
            <w:pPr>
              <w:pStyle w:val="P68B1DB1-Normal23"/>
              <w:spacing w:after="0"/>
              <w:jc w:val="center"/>
              <w:rPr>
                <w:rFonts w:eastAsia="Calibri" w:cs="Calibri"/>
                <w:noProof/>
              </w:rPr>
            </w:pPr>
            <w:r>
              <w:rPr>
                <w:noProof/>
              </w:rPr>
              <w:t xml:space="preserve">Re-C05-i11 </w:t>
            </w:r>
          </w:p>
        </w:tc>
        <w:tc>
          <w:tcPr>
            <w:tcW w:w="1520" w:type="dxa"/>
            <w:shd w:val="clear" w:color="auto" w:fill="C4EFCE"/>
            <w:vAlign w:val="center"/>
            <w:hideMark/>
          </w:tcPr>
          <w:p w14:paraId="58C4625A"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0FDFE40" w14:textId="77777777" w:rsidR="00776A1F" w:rsidRDefault="00D8574B">
            <w:pPr>
              <w:pStyle w:val="P68B1DB1-Normal23"/>
              <w:spacing w:after="0"/>
              <w:jc w:val="both"/>
              <w:rPr>
                <w:rFonts w:eastAsia="Calibri" w:cs="Calibri"/>
                <w:noProof/>
              </w:rPr>
            </w:pPr>
            <w:r>
              <w:rPr>
                <w:noProof/>
              </w:rPr>
              <w:t>Līgumu noslēgšana par jaunu produktu, procesu vai pakalpojumu izstrādi attiecīgajās stratēģiskajās jomās (inovācijas programmas).</w:t>
            </w:r>
          </w:p>
        </w:tc>
      </w:tr>
      <w:tr w:rsidR="00776A1F" w14:paraId="7151D914" w14:textId="77777777">
        <w:trPr>
          <w:trHeight w:val="440"/>
        </w:trPr>
        <w:tc>
          <w:tcPr>
            <w:tcW w:w="1200" w:type="dxa"/>
            <w:shd w:val="clear" w:color="auto" w:fill="C4EFCE"/>
            <w:vAlign w:val="center"/>
            <w:hideMark/>
          </w:tcPr>
          <w:p w14:paraId="0F583F70" w14:textId="77777777" w:rsidR="00776A1F" w:rsidRDefault="00D8574B">
            <w:pPr>
              <w:pStyle w:val="P68B1DB1-Normal23"/>
              <w:spacing w:after="0"/>
              <w:jc w:val="center"/>
              <w:rPr>
                <w:rFonts w:eastAsia="Calibri" w:cs="Calibri"/>
                <w:noProof/>
              </w:rPr>
            </w:pPr>
            <w:r>
              <w:rPr>
                <w:noProof/>
              </w:rPr>
              <w:t>7.11</w:t>
            </w:r>
          </w:p>
        </w:tc>
        <w:tc>
          <w:tcPr>
            <w:tcW w:w="1760" w:type="dxa"/>
            <w:shd w:val="clear" w:color="auto" w:fill="C4EFCE"/>
            <w:vAlign w:val="center"/>
            <w:hideMark/>
          </w:tcPr>
          <w:p w14:paraId="478656E2" w14:textId="77777777" w:rsidR="00776A1F" w:rsidRDefault="00D8574B">
            <w:pPr>
              <w:pStyle w:val="P68B1DB1-Normal23"/>
              <w:spacing w:after="0"/>
              <w:jc w:val="center"/>
              <w:rPr>
                <w:rFonts w:eastAsia="Calibri" w:cs="Calibri"/>
                <w:noProof/>
              </w:rPr>
            </w:pPr>
            <w:r>
              <w:rPr>
                <w:noProof/>
              </w:rPr>
              <w:t xml:space="preserve">Re-C07-i04  </w:t>
            </w:r>
          </w:p>
        </w:tc>
        <w:tc>
          <w:tcPr>
            <w:tcW w:w="1520" w:type="dxa"/>
            <w:shd w:val="clear" w:color="auto" w:fill="C4EFCE"/>
            <w:vAlign w:val="center"/>
            <w:hideMark/>
          </w:tcPr>
          <w:p w14:paraId="07BFFE39"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B8891E4" w14:textId="77777777" w:rsidR="00776A1F" w:rsidRDefault="00D8574B">
            <w:pPr>
              <w:pStyle w:val="P68B1DB1-Normal23"/>
              <w:spacing w:after="0"/>
              <w:jc w:val="both"/>
              <w:rPr>
                <w:rFonts w:eastAsia="Calibri" w:cs="Calibri"/>
                <w:noProof/>
              </w:rPr>
            </w:pPr>
            <w:r>
              <w:rPr>
                <w:noProof/>
              </w:rPr>
              <w:t>Parakstīts līgums par 10 ceļu projektiem</w:t>
            </w:r>
          </w:p>
        </w:tc>
      </w:tr>
      <w:tr w:rsidR="00776A1F" w14:paraId="2C020E91" w14:textId="77777777">
        <w:trPr>
          <w:trHeight w:val="440"/>
        </w:trPr>
        <w:tc>
          <w:tcPr>
            <w:tcW w:w="1200" w:type="dxa"/>
            <w:shd w:val="clear" w:color="auto" w:fill="C4EFCE"/>
            <w:vAlign w:val="center"/>
            <w:hideMark/>
          </w:tcPr>
          <w:p w14:paraId="6C01BAD7"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1969BD93"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089A606F"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2572465C" w14:textId="22F74E77" w:rsidR="00776A1F" w:rsidRDefault="00D8574B">
            <w:pPr>
              <w:pStyle w:val="P68B1DB1-Normal25"/>
              <w:spacing w:after="0" w:line="240" w:lineRule="auto"/>
              <w:jc w:val="center"/>
              <w:rPr>
                <w:rFonts w:cs="Calibri"/>
                <w:noProof/>
              </w:rPr>
            </w:pPr>
            <w:r>
              <w:rPr>
                <w:noProof/>
              </w:rPr>
              <w:t xml:space="preserve">235 337 423 EUR </w:t>
            </w:r>
          </w:p>
        </w:tc>
      </w:tr>
    </w:tbl>
    <w:p w14:paraId="1848AD6B"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Piektais maksājuma pieprasījums (aizdevuma atbalsts): </w:t>
      </w:r>
    </w:p>
    <w:p w14:paraId="3731A29C"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691"/>
        <w:gridCol w:w="1983"/>
        <w:gridCol w:w="4702"/>
      </w:tblGrid>
      <w:tr w:rsidR="00776A1F" w14:paraId="0A22D6D8" w14:textId="77777777">
        <w:trPr>
          <w:trHeight w:val="509"/>
        </w:trPr>
        <w:tc>
          <w:tcPr>
            <w:tcW w:w="1200" w:type="dxa"/>
            <w:vMerge w:val="restart"/>
            <w:shd w:val="clear" w:color="auto" w:fill="BDD7EE"/>
            <w:vAlign w:val="center"/>
            <w:hideMark/>
          </w:tcPr>
          <w:p w14:paraId="0638121E"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301BBB67"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32F1223B"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67BAF3AB"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655C06D0" w14:textId="77777777">
        <w:trPr>
          <w:trHeight w:val="509"/>
        </w:trPr>
        <w:tc>
          <w:tcPr>
            <w:tcW w:w="1200" w:type="dxa"/>
            <w:vMerge/>
            <w:vAlign w:val="center"/>
            <w:hideMark/>
          </w:tcPr>
          <w:p w14:paraId="7598C946"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016E741A"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0568ABB1"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1B8F5928" w14:textId="77777777" w:rsidR="00776A1F" w:rsidRDefault="00776A1F">
            <w:pPr>
              <w:spacing w:after="0" w:line="240" w:lineRule="auto"/>
              <w:rPr>
                <w:rFonts w:ascii="Times New Roman" w:eastAsia="Times New Roman" w:hAnsi="Times New Roman" w:cs="Times New Roman"/>
                <w:noProof/>
                <w:sz w:val="20"/>
              </w:rPr>
            </w:pPr>
          </w:p>
        </w:tc>
      </w:tr>
      <w:tr w:rsidR="00776A1F" w14:paraId="31A58DED" w14:textId="77777777">
        <w:trPr>
          <w:trHeight w:val="440"/>
        </w:trPr>
        <w:tc>
          <w:tcPr>
            <w:tcW w:w="1200" w:type="dxa"/>
            <w:shd w:val="clear" w:color="auto" w:fill="C4EFCE"/>
            <w:vAlign w:val="center"/>
            <w:hideMark/>
          </w:tcPr>
          <w:p w14:paraId="167E4BB8" w14:textId="77777777" w:rsidR="00776A1F" w:rsidRDefault="00D8574B">
            <w:pPr>
              <w:pStyle w:val="P68B1DB1-Normal23"/>
              <w:spacing w:after="0"/>
              <w:jc w:val="center"/>
              <w:rPr>
                <w:rFonts w:eastAsia="Calibri" w:cs="Calibri"/>
                <w:noProof/>
              </w:rPr>
            </w:pPr>
            <w:r>
              <w:rPr>
                <w:noProof/>
              </w:rPr>
              <w:t>5.26</w:t>
            </w:r>
          </w:p>
        </w:tc>
        <w:tc>
          <w:tcPr>
            <w:tcW w:w="1760" w:type="dxa"/>
            <w:shd w:val="clear" w:color="auto" w:fill="C4EFCE"/>
            <w:vAlign w:val="center"/>
            <w:hideMark/>
          </w:tcPr>
          <w:p w14:paraId="062B8E17" w14:textId="77777777" w:rsidR="00776A1F" w:rsidRDefault="00D8574B">
            <w:pPr>
              <w:pStyle w:val="P68B1DB1-Normal23"/>
              <w:spacing w:after="0"/>
              <w:jc w:val="center"/>
              <w:rPr>
                <w:rFonts w:eastAsia="Calibri" w:cs="Calibri"/>
                <w:noProof/>
              </w:rPr>
            </w:pPr>
            <w:r>
              <w:rPr>
                <w:noProof/>
              </w:rPr>
              <w:t>Re-C05-r13</w:t>
            </w:r>
          </w:p>
        </w:tc>
        <w:tc>
          <w:tcPr>
            <w:tcW w:w="1520" w:type="dxa"/>
            <w:shd w:val="clear" w:color="auto" w:fill="C4EFCE"/>
            <w:vAlign w:val="center"/>
            <w:hideMark/>
          </w:tcPr>
          <w:p w14:paraId="4FF6BD54"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7CA2977" w14:textId="77777777" w:rsidR="00776A1F" w:rsidRDefault="00D8574B">
            <w:pPr>
              <w:pStyle w:val="P68B1DB1-Normal23"/>
              <w:spacing w:after="0"/>
              <w:jc w:val="both"/>
              <w:rPr>
                <w:rFonts w:eastAsia="Calibri" w:cs="Calibri"/>
                <w:noProof/>
              </w:rPr>
            </w:pPr>
            <w:r>
              <w:rPr>
                <w:noProof/>
              </w:rPr>
              <w:t>Kapitāla tirgus attīstība — tiesību aktu stāšanās spēkā</w:t>
            </w:r>
          </w:p>
        </w:tc>
      </w:tr>
      <w:tr w:rsidR="00776A1F" w14:paraId="71DDD36A" w14:textId="77777777">
        <w:trPr>
          <w:trHeight w:val="440"/>
        </w:trPr>
        <w:tc>
          <w:tcPr>
            <w:tcW w:w="1200" w:type="dxa"/>
            <w:shd w:val="clear" w:color="auto" w:fill="C4EFCE"/>
            <w:vAlign w:val="center"/>
            <w:hideMark/>
          </w:tcPr>
          <w:p w14:paraId="374292D1" w14:textId="77777777" w:rsidR="00776A1F" w:rsidRDefault="00D8574B">
            <w:pPr>
              <w:pStyle w:val="P68B1DB1-Normal23"/>
              <w:spacing w:after="0"/>
              <w:jc w:val="center"/>
              <w:rPr>
                <w:rFonts w:eastAsia="Calibri" w:cs="Calibri"/>
                <w:noProof/>
              </w:rPr>
            </w:pPr>
            <w:r>
              <w:rPr>
                <w:noProof/>
              </w:rPr>
              <w:t>5.43</w:t>
            </w:r>
          </w:p>
        </w:tc>
        <w:tc>
          <w:tcPr>
            <w:tcW w:w="1760" w:type="dxa"/>
            <w:shd w:val="clear" w:color="auto" w:fill="C4EFCE"/>
            <w:vAlign w:val="center"/>
            <w:hideMark/>
          </w:tcPr>
          <w:p w14:paraId="10072DFA" w14:textId="77777777" w:rsidR="00776A1F" w:rsidRDefault="00D8574B">
            <w:pPr>
              <w:pStyle w:val="P68B1DB1-Normal23"/>
              <w:spacing w:after="0"/>
              <w:jc w:val="center"/>
              <w:rPr>
                <w:rFonts w:eastAsia="Calibri" w:cs="Calibri"/>
                <w:noProof/>
              </w:rPr>
            </w:pPr>
            <w:r>
              <w:rPr>
                <w:noProof/>
              </w:rPr>
              <w:t>Re-C05-i06</w:t>
            </w:r>
          </w:p>
        </w:tc>
        <w:tc>
          <w:tcPr>
            <w:tcW w:w="1520" w:type="dxa"/>
            <w:shd w:val="clear" w:color="auto" w:fill="C4EFCE"/>
            <w:vAlign w:val="center"/>
            <w:hideMark/>
          </w:tcPr>
          <w:p w14:paraId="7E7B7F52"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D07322" w14:textId="77777777" w:rsidR="00776A1F" w:rsidRDefault="00D8574B">
            <w:pPr>
              <w:pStyle w:val="P68B1DB1-Normal23"/>
              <w:spacing w:after="0"/>
              <w:jc w:val="both"/>
              <w:rPr>
                <w:rFonts w:eastAsia="Calibri" w:cs="Calibri"/>
                <w:noProof/>
              </w:rPr>
            </w:pPr>
            <w:r>
              <w:rPr>
                <w:noProof/>
              </w:rPr>
              <w:t>Kapitāla instrumenta kopējās summas EUR 650000000 piegāde Portugāles nefinanšu sabiedrībām pašu kapitāla un kvazikapitāla atbalsta veidā saskaņā ar tās ieguldījumu politiku</w:t>
            </w:r>
          </w:p>
        </w:tc>
      </w:tr>
      <w:tr w:rsidR="00776A1F" w14:paraId="67BDDC9F" w14:textId="77777777">
        <w:trPr>
          <w:trHeight w:val="440"/>
        </w:trPr>
        <w:tc>
          <w:tcPr>
            <w:tcW w:w="1200" w:type="dxa"/>
            <w:shd w:val="clear" w:color="auto" w:fill="C4EFCE"/>
            <w:vAlign w:val="center"/>
            <w:hideMark/>
          </w:tcPr>
          <w:p w14:paraId="66047135" w14:textId="77777777" w:rsidR="00776A1F" w:rsidRDefault="00D8574B">
            <w:pPr>
              <w:pStyle w:val="P68B1DB1-Normal23"/>
              <w:spacing w:after="0"/>
              <w:jc w:val="center"/>
              <w:rPr>
                <w:rFonts w:eastAsia="Calibri" w:cs="Calibri"/>
                <w:noProof/>
              </w:rPr>
            </w:pPr>
            <w:r>
              <w:rPr>
                <w:noProof/>
              </w:rPr>
              <w:t>5.46</w:t>
            </w:r>
          </w:p>
        </w:tc>
        <w:tc>
          <w:tcPr>
            <w:tcW w:w="1760" w:type="dxa"/>
            <w:shd w:val="clear" w:color="auto" w:fill="C4EFCE"/>
            <w:vAlign w:val="center"/>
            <w:hideMark/>
          </w:tcPr>
          <w:p w14:paraId="5377E714" w14:textId="0B051042" w:rsidR="00776A1F" w:rsidRDefault="00D8574B">
            <w:pPr>
              <w:pStyle w:val="P68B1DB1-Normal23"/>
              <w:spacing w:after="0"/>
              <w:jc w:val="center"/>
              <w:rPr>
                <w:rFonts w:eastAsia="Calibri" w:cs="Calibri"/>
                <w:noProof/>
              </w:rPr>
            </w:pPr>
            <w:r>
              <w:rPr>
                <w:noProof/>
              </w:rPr>
              <w:t>Re-C05-i12</w:t>
            </w:r>
          </w:p>
        </w:tc>
        <w:tc>
          <w:tcPr>
            <w:tcW w:w="1520" w:type="dxa"/>
            <w:shd w:val="clear" w:color="auto" w:fill="C4EFCE"/>
            <w:vAlign w:val="center"/>
            <w:hideMark/>
          </w:tcPr>
          <w:p w14:paraId="39E8C887"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261A9DA" w14:textId="77777777" w:rsidR="00776A1F" w:rsidRDefault="00D8574B">
            <w:pPr>
              <w:pStyle w:val="P68B1DB1-Normal23"/>
              <w:spacing w:after="0"/>
              <w:jc w:val="both"/>
              <w:rPr>
                <w:rFonts w:eastAsia="Calibri" w:cs="Calibri"/>
                <w:noProof/>
              </w:rPr>
            </w:pPr>
            <w:r>
              <w:rPr>
                <w:noProof/>
              </w:rPr>
              <w:t>Līgumu noslēgšana par jaunu produktu, procesu vai pakalpojumu izstrādi stratēģiskās jomās, kas saistītas ar ekonomiku ar zemu oglekļa dioksīda emisiju līmeni, noturību un pielāgošanos klimata pārmaiņām.</w:t>
            </w:r>
          </w:p>
        </w:tc>
      </w:tr>
      <w:tr w:rsidR="00776A1F" w14:paraId="783646DD" w14:textId="77777777">
        <w:trPr>
          <w:trHeight w:val="440"/>
        </w:trPr>
        <w:tc>
          <w:tcPr>
            <w:tcW w:w="1200" w:type="dxa"/>
            <w:shd w:val="clear" w:color="auto" w:fill="C4EFCE"/>
            <w:vAlign w:val="center"/>
            <w:hideMark/>
          </w:tcPr>
          <w:p w14:paraId="79C5A416" w14:textId="77777777" w:rsidR="00776A1F" w:rsidRDefault="00D8574B">
            <w:pPr>
              <w:pStyle w:val="P68B1DB1-Normal23"/>
              <w:spacing w:after="0"/>
              <w:jc w:val="center"/>
              <w:rPr>
                <w:rFonts w:eastAsia="Calibri" w:cs="Calibri"/>
                <w:noProof/>
              </w:rPr>
            </w:pPr>
            <w:r>
              <w:rPr>
                <w:noProof/>
              </w:rPr>
              <w:t>9.10</w:t>
            </w:r>
          </w:p>
        </w:tc>
        <w:tc>
          <w:tcPr>
            <w:tcW w:w="1760" w:type="dxa"/>
            <w:shd w:val="clear" w:color="auto" w:fill="C4EFCE"/>
            <w:vAlign w:val="center"/>
            <w:hideMark/>
          </w:tcPr>
          <w:p w14:paraId="2E34E883" w14:textId="77777777" w:rsidR="00776A1F" w:rsidRDefault="00D8574B">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3EC8C1A2"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6B927BD" w14:textId="77777777" w:rsidR="00776A1F" w:rsidRDefault="00D8574B">
            <w:pPr>
              <w:pStyle w:val="P68B1DB1-Normal23"/>
              <w:spacing w:after="0"/>
              <w:jc w:val="both"/>
              <w:rPr>
                <w:rFonts w:eastAsia="Calibri" w:cs="Calibri"/>
                <w:noProof/>
              </w:rPr>
            </w:pPr>
            <w:r>
              <w:rPr>
                <w:noProof/>
              </w:rPr>
              <w:t>Ar nosacījumu, ka tiek veikts pozitīvs ietekmes uz vidi novērtējums, kas pilnībā un pēc būtības atbilst juridiskajiem kritērijiem, tiks pieņemts atjaunināts dambja, hidroenerģijas un saules enerģijas ražošanas un apūdeņošanas projekts, pilnībā iekļaujot visus IVN rezultātus un nosacījumus.</w:t>
            </w:r>
          </w:p>
        </w:tc>
      </w:tr>
      <w:tr w:rsidR="00776A1F" w14:paraId="4044B104" w14:textId="77777777">
        <w:trPr>
          <w:trHeight w:val="440"/>
        </w:trPr>
        <w:tc>
          <w:tcPr>
            <w:tcW w:w="1200" w:type="dxa"/>
            <w:shd w:val="clear" w:color="auto" w:fill="C4EFCE"/>
            <w:vAlign w:val="center"/>
            <w:hideMark/>
          </w:tcPr>
          <w:p w14:paraId="554977E2" w14:textId="77777777" w:rsidR="00776A1F" w:rsidRDefault="00D8574B">
            <w:pPr>
              <w:pStyle w:val="P68B1DB1-Normal23"/>
              <w:spacing w:after="0"/>
              <w:jc w:val="center"/>
              <w:rPr>
                <w:rFonts w:eastAsia="Calibri" w:cs="Calibri"/>
                <w:noProof/>
              </w:rPr>
            </w:pPr>
            <w:r>
              <w:rPr>
                <w:noProof/>
              </w:rPr>
              <w:t>10.5</w:t>
            </w:r>
          </w:p>
        </w:tc>
        <w:tc>
          <w:tcPr>
            <w:tcW w:w="1760" w:type="dxa"/>
            <w:shd w:val="clear" w:color="auto" w:fill="C4EFCE"/>
            <w:vAlign w:val="center"/>
            <w:hideMark/>
          </w:tcPr>
          <w:p w14:paraId="7E88ECA5" w14:textId="77777777" w:rsidR="00776A1F" w:rsidRDefault="00D8574B">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65EB6416"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26B7A6F" w14:textId="77777777" w:rsidR="00776A1F" w:rsidRDefault="00D8574B">
            <w:pPr>
              <w:pStyle w:val="P68B1DB1-Normal23"/>
              <w:spacing w:after="0"/>
              <w:jc w:val="both"/>
              <w:rPr>
                <w:rFonts w:eastAsia="Calibri" w:cs="Calibri"/>
                <w:noProof/>
              </w:rPr>
            </w:pPr>
            <w:r>
              <w:rPr>
                <w:noProof/>
              </w:rPr>
              <w:t>“Daudzfunkcionālas jūras spēku platformas” un “Darbības centra” līguma parakstīšana</w:t>
            </w:r>
          </w:p>
        </w:tc>
      </w:tr>
      <w:tr w:rsidR="00776A1F" w14:paraId="2B9DFF49" w14:textId="77777777">
        <w:trPr>
          <w:trHeight w:val="440"/>
        </w:trPr>
        <w:tc>
          <w:tcPr>
            <w:tcW w:w="1200" w:type="dxa"/>
            <w:shd w:val="clear" w:color="auto" w:fill="C4EFCE"/>
            <w:vAlign w:val="center"/>
            <w:hideMark/>
          </w:tcPr>
          <w:p w14:paraId="2647C53D" w14:textId="77777777" w:rsidR="00776A1F" w:rsidRDefault="00D8574B">
            <w:pPr>
              <w:pStyle w:val="P68B1DB1-Normal23"/>
              <w:spacing w:after="0"/>
              <w:jc w:val="center"/>
              <w:rPr>
                <w:rFonts w:eastAsia="Calibri" w:cs="Calibri"/>
                <w:noProof/>
              </w:rPr>
            </w:pPr>
            <w:r>
              <w:rPr>
                <w:noProof/>
              </w:rPr>
              <w:t>10.6</w:t>
            </w:r>
          </w:p>
        </w:tc>
        <w:tc>
          <w:tcPr>
            <w:tcW w:w="1760" w:type="dxa"/>
            <w:shd w:val="clear" w:color="auto" w:fill="C4EFCE"/>
            <w:vAlign w:val="center"/>
            <w:hideMark/>
          </w:tcPr>
          <w:p w14:paraId="2A668662" w14:textId="77777777" w:rsidR="00776A1F" w:rsidRDefault="00D8574B">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3A3E338C"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F4C4272" w14:textId="77777777" w:rsidR="00776A1F" w:rsidRDefault="00D8574B">
            <w:pPr>
              <w:pStyle w:val="P68B1DB1-Normal23"/>
              <w:spacing w:after="0"/>
              <w:jc w:val="both"/>
              <w:rPr>
                <w:rFonts w:eastAsia="Calibri" w:cs="Calibri"/>
                <w:noProof/>
              </w:rPr>
            </w:pPr>
            <w:r>
              <w:rPr>
                <w:noProof/>
              </w:rPr>
              <w:t>Alfeite Arsenal akadēmijas pabeigšana</w:t>
            </w:r>
          </w:p>
        </w:tc>
      </w:tr>
      <w:tr w:rsidR="00776A1F" w14:paraId="6D18500A" w14:textId="77777777">
        <w:trPr>
          <w:trHeight w:val="440"/>
        </w:trPr>
        <w:tc>
          <w:tcPr>
            <w:tcW w:w="1200" w:type="dxa"/>
            <w:shd w:val="clear" w:color="auto" w:fill="C4EFCE"/>
            <w:vAlign w:val="center"/>
            <w:hideMark/>
          </w:tcPr>
          <w:p w14:paraId="67574E56" w14:textId="77777777" w:rsidR="00776A1F" w:rsidRDefault="00D8574B">
            <w:pPr>
              <w:pStyle w:val="P68B1DB1-Normal23"/>
              <w:spacing w:after="0"/>
              <w:jc w:val="center"/>
              <w:rPr>
                <w:rFonts w:eastAsia="Calibri" w:cs="Calibri"/>
                <w:noProof/>
              </w:rPr>
            </w:pPr>
            <w:r>
              <w:rPr>
                <w:noProof/>
              </w:rPr>
              <w:t>10.17</w:t>
            </w:r>
          </w:p>
        </w:tc>
        <w:tc>
          <w:tcPr>
            <w:tcW w:w="1760" w:type="dxa"/>
            <w:shd w:val="clear" w:color="auto" w:fill="C4EFCE"/>
            <w:vAlign w:val="center"/>
            <w:hideMark/>
          </w:tcPr>
          <w:p w14:paraId="1B6529A3" w14:textId="77777777" w:rsidR="00776A1F" w:rsidRDefault="00D8574B">
            <w:pPr>
              <w:pStyle w:val="P68B1DB1-Normal23"/>
              <w:spacing w:after="0"/>
              <w:jc w:val="center"/>
              <w:rPr>
                <w:rFonts w:eastAsia="Calibri" w:cs="Calibri"/>
                <w:noProof/>
              </w:rPr>
            </w:pPr>
            <w:r>
              <w:rPr>
                <w:noProof/>
              </w:rPr>
              <w:t>TC-C10-i07</w:t>
            </w:r>
          </w:p>
        </w:tc>
        <w:tc>
          <w:tcPr>
            <w:tcW w:w="1520" w:type="dxa"/>
            <w:shd w:val="clear" w:color="auto" w:fill="C4EFCE"/>
            <w:vAlign w:val="center"/>
            <w:hideMark/>
          </w:tcPr>
          <w:p w14:paraId="12FB1760"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BC8A74" w14:textId="77777777" w:rsidR="00776A1F" w:rsidRDefault="00D8574B">
            <w:pPr>
              <w:pStyle w:val="P68B1DB1-Normal23"/>
              <w:spacing w:after="0"/>
              <w:jc w:val="both"/>
              <w:rPr>
                <w:rFonts w:eastAsia="Calibri" w:cs="Calibri"/>
                <w:noProof/>
              </w:rPr>
            </w:pPr>
            <w:r>
              <w:rPr>
                <w:noProof/>
              </w:rPr>
              <w:t>Izsludināts uzaicinājums iesniegt piedāvājumus par kuģu dekarbonizāciju</w:t>
            </w:r>
          </w:p>
        </w:tc>
      </w:tr>
      <w:tr w:rsidR="00776A1F" w14:paraId="433CADC7" w14:textId="77777777">
        <w:trPr>
          <w:trHeight w:val="440"/>
        </w:trPr>
        <w:tc>
          <w:tcPr>
            <w:tcW w:w="1200" w:type="dxa"/>
            <w:shd w:val="clear" w:color="auto" w:fill="C4EFCE"/>
            <w:vAlign w:val="center"/>
            <w:hideMark/>
          </w:tcPr>
          <w:p w14:paraId="58C38FE9"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174B648"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581E3C9"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730C8AFB" w14:textId="36EB2DD1" w:rsidR="00776A1F" w:rsidRDefault="00D8574B">
            <w:pPr>
              <w:pStyle w:val="P68B1DB1-Normal25"/>
              <w:spacing w:after="0" w:line="240" w:lineRule="auto"/>
              <w:jc w:val="center"/>
              <w:rPr>
                <w:rFonts w:cs="Calibri"/>
                <w:noProof/>
              </w:rPr>
            </w:pPr>
            <w:r>
              <w:rPr>
                <w:noProof/>
              </w:rPr>
              <w:t xml:space="preserve"> 1 313 054 513 EUR </w:t>
            </w:r>
          </w:p>
        </w:tc>
      </w:tr>
    </w:tbl>
    <w:p w14:paraId="776DB0E1"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Sestais maksājuma pieprasījums (aizdevuma atbalsts): </w:t>
      </w:r>
    </w:p>
    <w:p w14:paraId="4627AFE2"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472DF692" w14:textId="77777777">
        <w:trPr>
          <w:trHeight w:val="1018"/>
        </w:trPr>
        <w:tc>
          <w:tcPr>
            <w:tcW w:w="1200" w:type="dxa"/>
            <w:shd w:val="clear" w:color="auto" w:fill="BDD7EE"/>
            <w:vAlign w:val="center"/>
            <w:hideMark/>
          </w:tcPr>
          <w:p w14:paraId="7B934C96"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shd w:val="clear" w:color="auto" w:fill="BDD7EE"/>
            <w:vAlign w:val="center"/>
            <w:hideMark/>
          </w:tcPr>
          <w:p w14:paraId="5CEE0E60"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shd w:val="clear" w:color="auto" w:fill="BDD7EE"/>
            <w:vAlign w:val="center"/>
            <w:hideMark/>
          </w:tcPr>
          <w:p w14:paraId="33AA6AB1"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shd w:val="clear" w:color="auto" w:fill="BDD7EE"/>
            <w:vAlign w:val="center"/>
            <w:hideMark/>
          </w:tcPr>
          <w:p w14:paraId="2BCBDEC5"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248D56A1" w14:textId="77777777">
        <w:trPr>
          <w:trHeight w:val="440"/>
        </w:trPr>
        <w:tc>
          <w:tcPr>
            <w:tcW w:w="1200" w:type="dxa"/>
            <w:shd w:val="clear" w:color="auto" w:fill="C4EFCE"/>
            <w:vAlign w:val="center"/>
            <w:hideMark/>
          </w:tcPr>
          <w:p w14:paraId="4959120F" w14:textId="77777777" w:rsidR="00776A1F" w:rsidRDefault="00D8574B">
            <w:pPr>
              <w:pStyle w:val="P68B1DB1-Normal23"/>
              <w:spacing w:after="0"/>
              <w:jc w:val="center"/>
              <w:rPr>
                <w:rFonts w:eastAsia="Calibri" w:cs="Calibri"/>
                <w:noProof/>
              </w:rPr>
            </w:pPr>
            <w:r>
              <w:rPr>
                <w:noProof/>
              </w:rPr>
              <w:t>15.7</w:t>
            </w:r>
          </w:p>
        </w:tc>
        <w:tc>
          <w:tcPr>
            <w:tcW w:w="1760" w:type="dxa"/>
            <w:shd w:val="clear" w:color="auto" w:fill="C4EFCE"/>
            <w:vAlign w:val="center"/>
            <w:hideMark/>
          </w:tcPr>
          <w:p w14:paraId="7916AD2D" w14:textId="27F376C2" w:rsidR="00776A1F" w:rsidRDefault="00D8574B">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75FE8E7B"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1ACFDB1" w14:textId="77777777" w:rsidR="00776A1F" w:rsidRDefault="00D8574B">
            <w:pPr>
              <w:pStyle w:val="P68B1DB1-Normal23"/>
              <w:spacing w:after="0"/>
              <w:jc w:val="both"/>
              <w:rPr>
                <w:rFonts w:eastAsia="Calibri" w:cs="Calibri"/>
                <w:noProof/>
              </w:rPr>
            </w:pPr>
            <w:r>
              <w:rPr>
                <w:noProof/>
              </w:rPr>
              <w:t>Līguma parakstīšana par vieglā dzelzceļa tranzīta līnijas būvniecību starp Odivelas un Loures</w:t>
            </w:r>
          </w:p>
        </w:tc>
      </w:tr>
      <w:tr w:rsidR="00776A1F" w14:paraId="258C3A70" w14:textId="77777777">
        <w:trPr>
          <w:trHeight w:val="440"/>
        </w:trPr>
        <w:tc>
          <w:tcPr>
            <w:tcW w:w="1200" w:type="dxa"/>
            <w:shd w:val="clear" w:color="auto" w:fill="C4EFCE"/>
            <w:vAlign w:val="center"/>
          </w:tcPr>
          <w:p w14:paraId="0AE9FA9B" w14:textId="260E9AD6" w:rsidR="00776A1F" w:rsidRDefault="00D8574B">
            <w:pPr>
              <w:pStyle w:val="P68B1DB1-Normal23"/>
              <w:spacing w:after="0"/>
              <w:jc w:val="center"/>
              <w:rPr>
                <w:rFonts w:eastAsia="Calibri" w:cs="Calibri"/>
                <w:noProof/>
              </w:rPr>
            </w:pPr>
            <w:r>
              <w:rPr>
                <w:noProof/>
              </w:rPr>
              <w:t>19.31</w:t>
            </w:r>
          </w:p>
        </w:tc>
        <w:tc>
          <w:tcPr>
            <w:tcW w:w="1760" w:type="dxa"/>
            <w:shd w:val="clear" w:color="auto" w:fill="C4EFCE"/>
            <w:vAlign w:val="center"/>
          </w:tcPr>
          <w:p w14:paraId="4D3FC2B5" w14:textId="1956D4BE" w:rsidR="00776A1F" w:rsidRDefault="00D8574B">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221D6EA6" w14:textId="332C3E10"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tcPr>
          <w:p w14:paraId="5E2AA86D" w14:textId="4355B8C4" w:rsidR="00776A1F" w:rsidRDefault="00D8574B">
            <w:pPr>
              <w:pStyle w:val="P68B1DB1-Normal23"/>
              <w:spacing w:after="0"/>
              <w:jc w:val="both"/>
              <w:rPr>
                <w:rFonts w:eastAsia="Calibri" w:cs="Calibri"/>
                <w:noProof/>
              </w:rPr>
            </w:pPr>
            <w:r>
              <w:rPr>
                <w:noProof/>
              </w:rPr>
              <w:t>Leģislatīvā akta, ar kuru tiek pārskatīts SIADAP, stāšanās spēkā</w:t>
            </w:r>
          </w:p>
        </w:tc>
      </w:tr>
      <w:tr w:rsidR="00776A1F" w14:paraId="32B276DA" w14:textId="77777777">
        <w:trPr>
          <w:trHeight w:val="440"/>
        </w:trPr>
        <w:tc>
          <w:tcPr>
            <w:tcW w:w="1200" w:type="dxa"/>
            <w:shd w:val="clear" w:color="auto" w:fill="C4EFCE"/>
            <w:vAlign w:val="center"/>
          </w:tcPr>
          <w:p w14:paraId="762889A1" w14:textId="4A9DFF95" w:rsidR="00776A1F" w:rsidRDefault="00D8574B">
            <w:pPr>
              <w:pStyle w:val="P68B1DB1-Normal23"/>
              <w:spacing w:after="0"/>
              <w:jc w:val="center"/>
              <w:rPr>
                <w:rFonts w:eastAsia="Calibri" w:cs="Calibri"/>
                <w:noProof/>
              </w:rPr>
            </w:pPr>
            <w:r>
              <w:rPr>
                <w:noProof/>
              </w:rPr>
              <w:t>19.32</w:t>
            </w:r>
          </w:p>
        </w:tc>
        <w:tc>
          <w:tcPr>
            <w:tcW w:w="1760" w:type="dxa"/>
            <w:shd w:val="clear" w:color="auto" w:fill="C4EFCE"/>
            <w:vAlign w:val="center"/>
          </w:tcPr>
          <w:p w14:paraId="0C34D2D0" w14:textId="2A62E2CD" w:rsidR="00776A1F" w:rsidRDefault="00D8574B">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618829A3" w14:textId="2EA3ACFD"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tcPr>
          <w:p w14:paraId="3FB23545" w14:textId="58302992" w:rsidR="00776A1F" w:rsidRDefault="00D8574B">
            <w:pPr>
              <w:pStyle w:val="P68B1DB1-Normal23"/>
              <w:spacing w:after="0"/>
              <w:jc w:val="both"/>
              <w:rPr>
                <w:rFonts w:eastAsia="Calibri" w:cs="Calibri"/>
                <w:noProof/>
              </w:rPr>
            </w:pPr>
            <w:r>
              <w:rPr>
                <w:noProof/>
              </w:rPr>
              <w:t>Leģislatīvā akta, ar ko tiek pārskatīts valsts pārvaldes kompetenču profils, stāšanās spēkā</w:t>
            </w:r>
          </w:p>
        </w:tc>
      </w:tr>
      <w:tr w:rsidR="00776A1F" w14:paraId="383E267E" w14:textId="77777777">
        <w:trPr>
          <w:trHeight w:val="440"/>
        </w:trPr>
        <w:tc>
          <w:tcPr>
            <w:tcW w:w="1200" w:type="dxa"/>
            <w:shd w:val="clear" w:color="auto" w:fill="C4EFCE"/>
            <w:vAlign w:val="center"/>
            <w:hideMark/>
          </w:tcPr>
          <w:p w14:paraId="5D412478" w14:textId="77777777" w:rsidR="00776A1F" w:rsidRDefault="00D8574B">
            <w:pPr>
              <w:pStyle w:val="P68B1DB1-Normal23"/>
              <w:spacing w:after="0" w:line="240" w:lineRule="auto"/>
              <w:jc w:val="center"/>
              <w:rPr>
                <w:rFonts w:eastAsia="Times New Roman" w:cs="Calibri"/>
                <w:noProof/>
              </w:rPr>
            </w:pPr>
            <w:r>
              <w:rPr>
                <w:noProof/>
              </w:rPr>
              <w:t> </w:t>
            </w:r>
          </w:p>
        </w:tc>
        <w:tc>
          <w:tcPr>
            <w:tcW w:w="1760" w:type="dxa"/>
            <w:shd w:val="clear" w:color="auto" w:fill="C4EFCE"/>
            <w:vAlign w:val="center"/>
            <w:hideMark/>
          </w:tcPr>
          <w:p w14:paraId="27210276" w14:textId="77777777" w:rsidR="00776A1F" w:rsidRDefault="00D8574B">
            <w:pPr>
              <w:pStyle w:val="P68B1DB1-Normal23"/>
              <w:spacing w:after="0" w:line="240" w:lineRule="auto"/>
              <w:rPr>
                <w:rFonts w:eastAsia="Times New Roman" w:cs="Calibri"/>
                <w:noProof/>
              </w:rPr>
            </w:pPr>
            <w:r>
              <w:rPr>
                <w:noProof/>
              </w:rPr>
              <w:t> </w:t>
            </w:r>
          </w:p>
        </w:tc>
        <w:tc>
          <w:tcPr>
            <w:tcW w:w="1520" w:type="dxa"/>
            <w:shd w:val="clear" w:color="auto" w:fill="C4EFCE"/>
            <w:vAlign w:val="center"/>
            <w:hideMark/>
          </w:tcPr>
          <w:p w14:paraId="38682DCD" w14:textId="77777777" w:rsidR="00776A1F" w:rsidRDefault="00D8574B">
            <w:pPr>
              <w:pStyle w:val="P68B1DB1-Normal23"/>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0FB1EF83" w14:textId="29D26B48" w:rsidR="00776A1F" w:rsidRDefault="00D8574B">
            <w:pPr>
              <w:pStyle w:val="P68B1DB1-Normal25"/>
              <w:spacing w:after="0" w:line="240" w:lineRule="auto"/>
              <w:jc w:val="center"/>
              <w:rPr>
                <w:rFonts w:cs="Calibri"/>
                <w:noProof/>
              </w:rPr>
            </w:pPr>
            <w:r>
              <w:rPr>
                <w:noProof/>
              </w:rPr>
              <w:t xml:space="preserve"> 366 243 120 EUR </w:t>
            </w:r>
          </w:p>
        </w:tc>
      </w:tr>
    </w:tbl>
    <w:p w14:paraId="43578890"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B71B7AD"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Septītais maksājuma pieprasījums (aizdevuma atbalsts):</w:t>
      </w:r>
    </w:p>
    <w:p w14:paraId="24A030D4"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181"/>
        <w:gridCol w:w="1723"/>
        <w:gridCol w:w="1983"/>
        <w:gridCol w:w="4859"/>
      </w:tblGrid>
      <w:tr w:rsidR="00776A1F" w14:paraId="29B816DE"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07E0BB5"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6E93FEA9"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E9D866A"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3C3A7570"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582BD1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651F993" w14:textId="77777777" w:rsidR="00776A1F" w:rsidRDefault="00D8574B">
            <w:pPr>
              <w:pStyle w:val="P68B1DB1-Normal23"/>
              <w:spacing w:after="0"/>
              <w:jc w:val="center"/>
              <w:rPr>
                <w:rFonts w:eastAsia="Calibri" w:cs="Calibri"/>
                <w:noProof/>
              </w:rPr>
            </w:pPr>
            <w:r>
              <w:rPr>
                <w:noProof/>
              </w:rPr>
              <w:t>2.21</w:t>
            </w:r>
          </w:p>
        </w:tc>
        <w:tc>
          <w:tcPr>
            <w:tcW w:w="1760" w:type="dxa"/>
            <w:tcBorders>
              <w:top w:val="nil"/>
              <w:left w:val="nil"/>
              <w:bottom w:val="single" w:sz="4" w:space="0" w:color="auto"/>
              <w:right w:val="single" w:sz="4" w:space="0" w:color="auto"/>
            </w:tcBorders>
            <w:shd w:val="clear" w:color="auto" w:fill="C4EFCE"/>
            <w:vAlign w:val="center"/>
          </w:tcPr>
          <w:p w14:paraId="61E03559" w14:textId="77777777" w:rsidR="00776A1F" w:rsidRDefault="00D8574B">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716B72F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226738D" w14:textId="77777777" w:rsidR="00776A1F" w:rsidRDefault="00D8574B">
            <w:pPr>
              <w:pStyle w:val="P68B1DB1-Normal23"/>
              <w:spacing w:after="0"/>
              <w:jc w:val="both"/>
              <w:rPr>
                <w:rFonts w:eastAsia="Calibri" w:cs="Calibri"/>
                <w:noProof/>
              </w:rPr>
            </w:pPr>
            <w:r>
              <w:rPr>
                <w:noProof/>
              </w:rPr>
              <w:t>Cenas ziņā pieejams publisko mājokļu fonds — mājokļi, kuros sākts darbs (kas būvēti ar augstu energoefektivitāti vai atjaunoti ar uzlabotu energoefektivitāti)</w:t>
            </w:r>
          </w:p>
        </w:tc>
      </w:tr>
      <w:tr w:rsidR="00776A1F" w14:paraId="0BF1C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221612" w14:textId="77777777" w:rsidR="00776A1F" w:rsidRDefault="00D8574B">
            <w:pPr>
              <w:pStyle w:val="P68B1DB1-Normal23"/>
              <w:spacing w:after="0"/>
              <w:jc w:val="center"/>
              <w:rPr>
                <w:rFonts w:eastAsia="Calibri" w:cs="Calibri"/>
                <w:noProof/>
              </w:rPr>
            </w:pPr>
            <w:r>
              <w:rPr>
                <w:noProof/>
              </w:rPr>
              <w:t>2.22</w:t>
            </w:r>
          </w:p>
        </w:tc>
        <w:tc>
          <w:tcPr>
            <w:tcW w:w="1760" w:type="dxa"/>
            <w:tcBorders>
              <w:top w:val="nil"/>
              <w:left w:val="nil"/>
              <w:bottom w:val="single" w:sz="4" w:space="0" w:color="auto"/>
              <w:right w:val="single" w:sz="4" w:space="0" w:color="auto"/>
            </w:tcBorders>
            <w:shd w:val="clear" w:color="auto" w:fill="C4EFCE"/>
            <w:vAlign w:val="center"/>
          </w:tcPr>
          <w:p w14:paraId="4AB56C42" w14:textId="77777777" w:rsidR="00776A1F" w:rsidRDefault="00D8574B">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2D06F0E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E5487FC" w14:textId="77777777" w:rsidR="00776A1F" w:rsidRDefault="00D8574B">
            <w:pPr>
              <w:pStyle w:val="P68B1DB1-Normal23"/>
              <w:spacing w:after="0"/>
              <w:jc w:val="both"/>
              <w:rPr>
                <w:rFonts w:eastAsia="Calibri" w:cs="Calibri"/>
                <w:noProof/>
              </w:rPr>
            </w:pPr>
            <w:r>
              <w:rPr>
                <w:noProof/>
              </w:rPr>
              <w:t>Publisko mājokļu fonds par pieņemamu cenu. Piešķirtie mājokļi (kas būvēti ar augstu energoefektivitāti vai atjaunoti ar uzlabotu energoefektivitāti)</w:t>
            </w:r>
          </w:p>
        </w:tc>
      </w:tr>
      <w:tr w:rsidR="00776A1F" w14:paraId="3D1277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5451CB4" w14:textId="77777777" w:rsidR="00776A1F" w:rsidRDefault="00D8574B">
            <w:pPr>
              <w:pStyle w:val="P68B1DB1-Normal23"/>
              <w:spacing w:after="0"/>
              <w:jc w:val="center"/>
              <w:rPr>
                <w:rFonts w:eastAsia="Calibri" w:cs="Calibri"/>
                <w:noProof/>
              </w:rPr>
            </w:pPr>
            <w:r>
              <w:rPr>
                <w:noProof/>
              </w:rPr>
              <w:t>2.26</w:t>
            </w:r>
          </w:p>
        </w:tc>
        <w:tc>
          <w:tcPr>
            <w:tcW w:w="1760" w:type="dxa"/>
            <w:tcBorders>
              <w:top w:val="nil"/>
              <w:left w:val="nil"/>
              <w:bottom w:val="single" w:sz="4" w:space="0" w:color="auto"/>
              <w:right w:val="single" w:sz="4" w:space="0" w:color="auto"/>
            </w:tcBorders>
            <w:shd w:val="clear" w:color="auto" w:fill="C4EFCE"/>
            <w:vAlign w:val="center"/>
          </w:tcPr>
          <w:p w14:paraId="576AFC28" w14:textId="77777777" w:rsidR="00776A1F" w:rsidRDefault="00D8574B">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E587169"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62038BAE" w14:textId="77777777" w:rsidR="00776A1F" w:rsidRDefault="00D8574B">
            <w:pPr>
              <w:pStyle w:val="P68B1DB1-Normal23"/>
              <w:spacing w:after="0"/>
              <w:jc w:val="both"/>
              <w:rPr>
                <w:rFonts w:eastAsia="Calibri" w:cs="Calibri"/>
                <w:noProof/>
              </w:rPr>
            </w:pPr>
            <w:r>
              <w:rPr>
                <w:noProof/>
              </w:rPr>
              <w:t>Studentu izmitināšana par pieņemamām izmaksām</w:t>
            </w:r>
          </w:p>
        </w:tc>
      </w:tr>
      <w:tr w:rsidR="00776A1F" w14:paraId="295142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87CECBE" w14:textId="77777777" w:rsidR="00776A1F" w:rsidRDefault="00D8574B">
            <w:pPr>
              <w:pStyle w:val="P68B1DB1-Normal23"/>
              <w:spacing w:after="0"/>
              <w:jc w:val="center"/>
              <w:rPr>
                <w:rFonts w:eastAsia="Calibri" w:cs="Calibri"/>
                <w:noProof/>
              </w:rPr>
            </w:pPr>
            <w:r>
              <w:rPr>
                <w:noProof/>
              </w:rPr>
              <w:t>6.28</w:t>
            </w:r>
          </w:p>
        </w:tc>
        <w:tc>
          <w:tcPr>
            <w:tcW w:w="1760" w:type="dxa"/>
            <w:tcBorders>
              <w:top w:val="nil"/>
              <w:left w:val="nil"/>
              <w:bottom w:val="single" w:sz="4" w:space="0" w:color="auto"/>
              <w:right w:val="single" w:sz="4" w:space="0" w:color="auto"/>
            </w:tcBorders>
            <w:shd w:val="clear" w:color="auto" w:fill="C4EFCE"/>
            <w:vAlign w:val="center"/>
          </w:tcPr>
          <w:p w14:paraId="3B92DB76" w14:textId="3F6FD07E" w:rsidR="00776A1F" w:rsidRDefault="00D8574B">
            <w:pPr>
              <w:pStyle w:val="P68B1DB1-Normal23"/>
              <w:spacing w:after="0"/>
              <w:jc w:val="center"/>
              <w:rPr>
                <w:rFonts w:eastAsia="Calibri" w:cs="Calibri"/>
                <w:noProof/>
              </w:rPr>
            </w:pPr>
            <w:r>
              <w:rPr>
                <w:noProof/>
              </w:rPr>
              <w:t>Re-C06-i09</w:t>
            </w:r>
          </w:p>
        </w:tc>
        <w:tc>
          <w:tcPr>
            <w:tcW w:w="1520" w:type="dxa"/>
            <w:tcBorders>
              <w:top w:val="nil"/>
              <w:left w:val="nil"/>
              <w:bottom w:val="nil"/>
              <w:right w:val="single" w:sz="4" w:space="0" w:color="auto"/>
            </w:tcBorders>
            <w:shd w:val="clear" w:color="auto" w:fill="C4EFCE"/>
            <w:vAlign w:val="center"/>
          </w:tcPr>
          <w:p w14:paraId="0BFA1EAE"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nil"/>
              <w:right w:val="single" w:sz="4" w:space="0" w:color="auto"/>
            </w:tcBorders>
            <w:shd w:val="clear" w:color="auto" w:fill="C4EFCE"/>
            <w:vAlign w:val="center"/>
          </w:tcPr>
          <w:p w14:paraId="1577A067" w14:textId="77777777" w:rsidR="00776A1F" w:rsidRDefault="00D8574B">
            <w:pPr>
              <w:pStyle w:val="P68B1DB1-Normal23"/>
              <w:spacing w:after="0"/>
              <w:jc w:val="both"/>
              <w:rPr>
                <w:rFonts w:eastAsia="Calibri" w:cs="Calibri"/>
                <w:noProof/>
              </w:rPr>
            </w:pPr>
            <w:r>
              <w:rPr>
                <w:noProof/>
              </w:rPr>
              <w:t>Līgumu parakstīšana par valsts skolu celtniecību un renovāciju</w:t>
            </w:r>
          </w:p>
        </w:tc>
      </w:tr>
      <w:tr w:rsidR="00776A1F" w14:paraId="1EF6CC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7D3CFE"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3899B9C9" w14:textId="77777777" w:rsidR="00776A1F" w:rsidRDefault="00D8574B">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7C7921DE"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4E153749" w14:textId="0F77FEA4" w:rsidR="00776A1F" w:rsidRDefault="00D8574B">
            <w:pPr>
              <w:pStyle w:val="P68B1DB1-Normal25"/>
              <w:spacing w:after="0" w:line="240" w:lineRule="auto"/>
              <w:jc w:val="center"/>
              <w:rPr>
                <w:rFonts w:cs="Calibri"/>
                <w:noProof/>
              </w:rPr>
            </w:pPr>
            <w:r>
              <w:rPr>
                <w:noProof/>
              </w:rPr>
              <w:t xml:space="preserve">689 431 726 EUR </w:t>
            </w:r>
          </w:p>
        </w:tc>
      </w:tr>
    </w:tbl>
    <w:p w14:paraId="7D06A031"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656FC920" w14:textId="77777777" w:rsidR="00776A1F" w:rsidRDefault="00D8574B">
      <w:pPr>
        <w:pStyle w:val="P68B1DB1-Normal4"/>
        <w:keepNext/>
        <w:numPr>
          <w:ilvl w:val="1"/>
          <w:numId w:val="19"/>
        </w:numPr>
        <w:spacing w:before="40" w:after="160" w:line="259" w:lineRule="auto"/>
        <w:contextualSpacing/>
        <w:jc w:val="both"/>
        <w:rPr>
          <w:rFonts w:eastAsiaTheme="minorEastAsia" w:cs="Times New Roman"/>
          <w:noProof/>
        </w:rPr>
      </w:pPr>
      <w:r>
        <w:rPr>
          <w:noProof/>
        </w:rPr>
        <w:t>Astotais maksājuma pieprasījums (aizdevuma atbalsts):</w:t>
      </w:r>
    </w:p>
    <w:p w14:paraId="0C83B8A2" w14:textId="77777777" w:rsidR="00776A1F" w:rsidRDefault="00776A1F">
      <w:pPr>
        <w:keepNext/>
        <w:spacing w:before="40" w:after="160" w:line="259" w:lineRule="auto"/>
        <w:ind w:left="360"/>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181"/>
        <w:gridCol w:w="1723"/>
        <w:gridCol w:w="1983"/>
        <w:gridCol w:w="4859"/>
      </w:tblGrid>
      <w:tr w:rsidR="00776A1F" w14:paraId="1EB3D4C6"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44EC777"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4D46E4F0"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3C9BAAF"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5D0B89D7"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329A16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67755" w14:textId="77777777" w:rsidR="00776A1F" w:rsidRDefault="00D8574B">
            <w:pPr>
              <w:pStyle w:val="P68B1DB1-Normal23"/>
              <w:spacing w:after="0"/>
              <w:jc w:val="center"/>
              <w:rPr>
                <w:rFonts w:eastAsia="Calibri" w:cs="Calibri"/>
                <w:noProof/>
              </w:rPr>
            </w:pPr>
            <w:r>
              <w:rPr>
                <w:noProof/>
              </w:rPr>
              <w:t>15.8</w:t>
            </w:r>
          </w:p>
        </w:tc>
        <w:tc>
          <w:tcPr>
            <w:tcW w:w="1760" w:type="dxa"/>
            <w:tcBorders>
              <w:top w:val="nil"/>
              <w:left w:val="nil"/>
              <w:bottom w:val="single" w:sz="4" w:space="0" w:color="auto"/>
              <w:right w:val="single" w:sz="4" w:space="0" w:color="auto"/>
            </w:tcBorders>
            <w:shd w:val="clear" w:color="auto" w:fill="C4EFCE"/>
            <w:vAlign w:val="center"/>
          </w:tcPr>
          <w:p w14:paraId="514CFC0D" w14:textId="77777777" w:rsidR="00776A1F" w:rsidRDefault="00D8574B">
            <w:pPr>
              <w:pStyle w:val="P68B1DB1-Normal23"/>
              <w:spacing w:after="0"/>
              <w:jc w:val="center"/>
              <w:rPr>
                <w:rFonts w:eastAsia="Calibri" w:cs="Calibri"/>
                <w:noProof/>
              </w:rPr>
            </w:pPr>
            <w:r>
              <w:rPr>
                <w:noProof/>
              </w:rPr>
              <w:t>TC-C15-i03</w:t>
            </w:r>
          </w:p>
        </w:tc>
        <w:tc>
          <w:tcPr>
            <w:tcW w:w="1520" w:type="dxa"/>
            <w:tcBorders>
              <w:top w:val="nil"/>
              <w:left w:val="nil"/>
              <w:bottom w:val="single" w:sz="4" w:space="0" w:color="auto"/>
              <w:right w:val="single" w:sz="4" w:space="0" w:color="auto"/>
            </w:tcBorders>
            <w:shd w:val="clear" w:color="auto" w:fill="C4EFCE"/>
            <w:vAlign w:val="center"/>
          </w:tcPr>
          <w:p w14:paraId="116E6873" w14:textId="77777777" w:rsidR="00776A1F" w:rsidRDefault="00D8574B">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tcPr>
          <w:p w14:paraId="53A9C291" w14:textId="77777777" w:rsidR="00776A1F" w:rsidRDefault="00D8574B">
            <w:pPr>
              <w:pStyle w:val="P68B1DB1-Normal23"/>
              <w:spacing w:after="0"/>
              <w:jc w:val="both"/>
              <w:rPr>
                <w:rFonts w:eastAsia="Calibri" w:cs="Calibri"/>
                <w:noProof/>
              </w:rPr>
            </w:pPr>
            <w:r>
              <w:rPr>
                <w:noProof/>
              </w:rPr>
              <w:t>Progresa ziņojums par vieglā dzelzceļa tranzīta līnijas būvniecību starp Odivelas un Loures</w:t>
            </w:r>
          </w:p>
        </w:tc>
      </w:tr>
      <w:tr w:rsidR="00776A1F" w14:paraId="06662A9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18904BF" w14:textId="74BC30D7" w:rsidR="00776A1F" w:rsidRDefault="00D8574B">
            <w:pPr>
              <w:pStyle w:val="P68B1DB1-Normal23"/>
              <w:spacing w:after="0"/>
              <w:jc w:val="center"/>
              <w:rPr>
                <w:rFonts w:eastAsia="Calibri" w:cs="Calibri"/>
                <w:noProof/>
              </w:rPr>
            </w:pPr>
            <w:r>
              <w:rPr>
                <w:noProof/>
              </w:rPr>
              <w:t>19.33</w:t>
            </w:r>
          </w:p>
        </w:tc>
        <w:tc>
          <w:tcPr>
            <w:tcW w:w="1760" w:type="dxa"/>
            <w:tcBorders>
              <w:top w:val="nil"/>
              <w:left w:val="nil"/>
              <w:bottom w:val="single" w:sz="4" w:space="0" w:color="auto"/>
              <w:right w:val="single" w:sz="4" w:space="0" w:color="auto"/>
            </w:tcBorders>
            <w:shd w:val="clear" w:color="auto" w:fill="C4EFCE"/>
            <w:vAlign w:val="center"/>
          </w:tcPr>
          <w:p w14:paraId="608803B4" w14:textId="72AAAB61" w:rsidR="00776A1F" w:rsidRDefault="00D8574B">
            <w:pPr>
              <w:pStyle w:val="P68B1DB1-Normal23"/>
              <w:spacing w:after="0"/>
              <w:jc w:val="center"/>
              <w:rPr>
                <w:rFonts w:eastAsia="Calibri" w:cs="Calibri"/>
                <w:noProof/>
              </w:rPr>
            </w:pPr>
            <w:r>
              <w:rPr>
                <w:noProof/>
              </w:rPr>
              <w:t>TD-C19-r42</w:t>
            </w:r>
          </w:p>
        </w:tc>
        <w:tc>
          <w:tcPr>
            <w:tcW w:w="1520" w:type="dxa"/>
            <w:tcBorders>
              <w:top w:val="nil"/>
              <w:left w:val="nil"/>
              <w:bottom w:val="single" w:sz="4" w:space="0" w:color="auto"/>
              <w:right w:val="single" w:sz="4" w:space="0" w:color="auto"/>
            </w:tcBorders>
            <w:shd w:val="clear" w:color="auto" w:fill="C4EFCE"/>
            <w:vAlign w:val="center"/>
          </w:tcPr>
          <w:p w14:paraId="5D02F4F1" w14:textId="187D8B12"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557BB89C" w14:textId="234CFB7F" w:rsidR="00776A1F" w:rsidRDefault="00D8574B">
            <w:pPr>
              <w:pStyle w:val="P68B1DB1-Normal23"/>
              <w:spacing w:after="0"/>
              <w:jc w:val="both"/>
              <w:rPr>
                <w:rFonts w:eastAsia="Calibri" w:cs="Calibri"/>
                <w:noProof/>
              </w:rPr>
            </w:pPr>
            <w:r>
              <w:rPr>
                <w:noProof/>
              </w:rPr>
              <w:t>Jaunās SIADAP sistēmas darbības uzsākšana</w:t>
            </w:r>
          </w:p>
        </w:tc>
      </w:tr>
      <w:tr w:rsidR="00776A1F" w14:paraId="564D14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C67E166" w14:textId="77777777" w:rsidR="00776A1F" w:rsidRDefault="00776A1F">
            <w:pPr>
              <w:spacing w:after="0" w:line="240" w:lineRule="auto"/>
              <w:jc w:val="center"/>
              <w:rPr>
                <w:rFonts w:ascii="Calibri" w:eastAsia="Times New Roman"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tcPr>
          <w:p w14:paraId="183EE67D" w14:textId="77777777" w:rsidR="00776A1F" w:rsidRDefault="00776A1F">
            <w:pPr>
              <w:spacing w:after="0" w:line="240" w:lineRule="auto"/>
              <w:rPr>
                <w:rFonts w:ascii="Calibri" w:eastAsia="Times New Roman" w:hAnsi="Calibri" w:cs="Calibri"/>
                <w:noProof/>
                <w:sz w:val="16"/>
              </w:rPr>
            </w:pPr>
          </w:p>
        </w:tc>
        <w:tc>
          <w:tcPr>
            <w:tcW w:w="1520" w:type="dxa"/>
            <w:tcBorders>
              <w:top w:val="single" w:sz="4" w:space="0" w:color="auto"/>
              <w:left w:val="nil"/>
              <w:bottom w:val="single" w:sz="4" w:space="0" w:color="auto"/>
              <w:right w:val="single" w:sz="4" w:space="0" w:color="auto"/>
            </w:tcBorders>
            <w:shd w:val="clear" w:color="auto" w:fill="C4EFCE"/>
            <w:vAlign w:val="center"/>
          </w:tcPr>
          <w:p w14:paraId="401D1A7C"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378DCF0E" w14:textId="269A2A38" w:rsidR="00776A1F" w:rsidRDefault="00D8574B">
            <w:pPr>
              <w:pStyle w:val="P68B1DB1-Normal25"/>
              <w:spacing w:after="0" w:line="240" w:lineRule="auto"/>
              <w:jc w:val="center"/>
              <w:rPr>
                <w:rFonts w:cs="Calibri"/>
                <w:noProof/>
              </w:rPr>
            </w:pPr>
            <w:r>
              <w:rPr>
                <w:noProof/>
              </w:rPr>
              <w:t xml:space="preserve">  235 337 423 EUR </w:t>
            </w:r>
          </w:p>
        </w:tc>
      </w:tr>
    </w:tbl>
    <w:p w14:paraId="66284420" w14:textId="567F52B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6D952C31" w14:textId="0ECD3B5B"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726AC6BB"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3CFC0334" w14:textId="77777777" w:rsidR="00776A1F" w:rsidRDefault="00D8574B">
      <w:pPr>
        <w:pStyle w:val="ListParagraph"/>
        <w:numPr>
          <w:ilvl w:val="1"/>
          <w:numId w:val="19"/>
        </w:numPr>
        <w:spacing w:before="40" w:line="259" w:lineRule="auto"/>
        <w:rPr>
          <w:noProof/>
        </w:rPr>
      </w:pPr>
      <w:r>
        <w:rPr>
          <w:noProof/>
        </w:rPr>
        <w:t xml:space="preserve"> Devītais maksājuma pieprasījums (aizdevuma atbalsts):</w:t>
      </w:r>
    </w:p>
    <w:tbl>
      <w:tblPr>
        <w:tblW w:w="0" w:type="auto"/>
        <w:tblInd w:w="108" w:type="dxa"/>
        <w:tblLook w:val="04A0" w:firstRow="1" w:lastRow="0" w:firstColumn="1" w:lastColumn="0" w:noHBand="0" w:noVBand="1"/>
      </w:tblPr>
      <w:tblGrid>
        <w:gridCol w:w="1181"/>
        <w:gridCol w:w="1723"/>
        <w:gridCol w:w="1983"/>
        <w:gridCol w:w="4859"/>
      </w:tblGrid>
      <w:tr w:rsidR="00776A1F" w14:paraId="1494D25F"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2B13A76D"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2C0AC9A7"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4E6E954"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1992174E"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78D3922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C57417B" w14:textId="77777777" w:rsidR="00776A1F" w:rsidRDefault="00D8574B">
            <w:pPr>
              <w:pStyle w:val="P68B1DB1-Normal23"/>
              <w:spacing w:after="0"/>
              <w:jc w:val="center"/>
              <w:rPr>
                <w:rFonts w:eastAsia="Calibri" w:cs="Calibri"/>
                <w:noProof/>
              </w:rPr>
            </w:pPr>
            <w:r>
              <w:rPr>
                <w:noProof/>
              </w:rPr>
              <w:t>2.23</w:t>
            </w:r>
          </w:p>
        </w:tc>
        <w:tc>
          <w:tcPr>
            <w:tcW w:w="1760" w:type="dxa"/>
            <w:tcBorders>
              <w:top w:val="nil"/>
              <w:left w:val="nil"/>
              <w:bottom w:val="single" w:sz="4" w:space="0" w:color="auto"/>
              <w:right w:val="single" w:sz="4" w:space="0" w:color="auto"/>
            </w:tcBorders>
            <w:shd w:val="clear" w:color="auto" w:fill="C4EFCE"/>
            <w:vAlign w:val="center"/>
          </w:tcPr>
          <w:p w14:paraId="2A77E3A7" w14:textId="77777777" w:rsidR="00776A1F" w:rsidRDefault="00D8574B">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54653A95"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A8559D1" w14:textId="77777777" w:rsidR="00776A1F" w:rsidRDefault="00D8574B">
            <w:pPr>
              <w:pStyle w:val="P68B1DB1-Normal23"/>
              <w:spacing w:after="0"/>
              <w:jc w:val="both"/>
              <w:rPr>
                <w:rFonts w:eastAsia="Calibri" w:cs="Calibri"/>
                <w:noProof/>
              </w:rPr>
            </w:pPr>
            <w:r>
              <w:rPr>
                <w:noProof/>
              </w:rPr>
              <w:t>Publisko mājokļu fonds par pieņemamu cenu. Piešķirtie mājokļi (kas būvēti ar augstu energoefektivitāti vai atjaunoti ar uzlabotu energoefektivitāti)</w:t>
            </w:r>
          </w:p>
        </w:tc>
      </w:tr>
      <w:tr w:rsidR="00776A1F" w14:paraId="78375D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79A92DF" w14:textId="77777777" w:rsidR="00776A1F" w:rsidRDefault="00D8574B">
            <w:pPr>
              <w:pStyle w:val="P68B1DB1-Normal23"/>
              <w:spacing w:after="0"/>
              <w:jc w:val="center"/>
              <w:rPr>
                <w:rFonts w:eastAsia="Calibri" w:cs="Calibri"/>
                <w:noProof/>
              </w:rPr>
            </w:pPr>
            <w:r>
              <w:rPr>
                <w:noProof/>
              </w:rPr>
              <w:t>2.27</w:t>
            </w:r>
          </w:p>
        </w:tc>
        <w:tc>
          <w:tcPr>
            <w:tcW w:w="1760" w:type="dxa"/>
            <w:tcBorders>
              <w:top w:val="nil"/>
              <w:left w:val="nil"/>
              <w:bottom w:val="single" w:sz="4" w:space="0" w:color="auto"/>
              <w:right w:val="single" w:sz="4" w:space="0" w:color="auto"/>
            </w:tcBorders>
            <w:shd w:val="clear" w:color="auto" w:fill="C4EFCE"/>
            <w:vAlign w:val="center"/>
          </w:tcPr>
          <w:p w14:paraId="3001518D" w14:textId="77777777" w:rsidR="00776A1F" w:rsidRDefault="00D8574B">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DA24E3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169F4C1B" w14:textId="77777777" w:rsidR="00776A1F" w:rsidRDefault="00D8574B">
            <w:pPr>
              <w:pStyle w:val="P68B1DB1-Normal23"/>
              <w:spacing w:after="0"/>
              <w:jc w:val="both"/>
              <w:rPr>
                <w:rFonts w:eastAsia="Calibri" w:cs="Calibri"/>
                <w:noProof/>
              </w:rPr>
            </w:pPr>
            <w:r>
              <w:rPr>
                <w:noProof/>
              </w:rPr>
              <w:t>Studentu izmitināšana par pieņemamām izmaksām</w:t>
            </w:r>
          </w:p>
        </w:tc>
      </w:tr>
      <w:tr w:rsidR="00776A1F" w14:paraId="67D256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EFDADF4" w14:textId="77777777" w:rsidR="00776A1F" w:rsidRDefault="00D8574B">
            <w:pPr>
              <w:pStyle w:val="P68B1DB1-Normal23"/>
              <w:spacing w:after="0"/>
              <w:jc w:val="center"/>
              <w:rPr>
                <w:rFonts w:eastAsia="Calibri" w:cs="Calibri"/>
                <w:noProof/>
              </w:rPr>
            </w:pPr>
            <w:r>
              <w:rPr>
                <w:noProof/>
              </w:rPr>
              <w:t>5.29</w:t>
            </w:r>
          </w:p>
        </w:tc>
        <w:tc>
          <w:tcPr>
            <w:tcW w:w="1760" w:type="dxa"/>
            <w:tcBorders>
              <w:top w:val="nil"/>
              <w:left w:val="nil"/>
              <w:bottom w:val="single" w:sz="4" w:space="0" w:color="auto"/>
              <w:right w:val="single" w:sz="4" w:space="0" w:color="auto"/>
            </w:tcBorders>
            <w:shd w:val="clear" w:color="auto" w:fill="C4EFCE"/>
            <w:vAlign w:val="center"/>
          </w:tcPr>
          <w:p w14:paraId="65077588" w14:textId="77777777" w:rsidR="00776A1F" w:rsidRDefault="00D8574B">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6A34C10A"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4DE8649" w14:textId="73C0101C" w:rsidR="00776A1F" w:rsidRDefault="00D8574B">
            <w:pPr>
              <w:pStyle w:val="P68B1DB1-Normal23"/>
              <w:spacing w:after="0"/>
              <w:jc w:val="both"/>
              <w:rPr>
                <w:rFonts w:eastAsia="Calibri" w:cs="Calibri"/>
                <w:noProof/>
              </w:rPr>
            </w:pPr>
            <w:r>
              <w:rPr>
                <w:noProof/>
              </w:rPr>
              <w:t>Kapitāla instrumenta kopējās summas EUR 1300000000 piegāde Portugāles nefinanšu sabiedrībām pašu kapitāla un kvazikapitāla atbalstā saskaņā ar tās ieguldījumu politiku</w:t>
            </w:r>
          </w:p>
        </w:tc>
      </w:tr>
      <w:tr w:rsidR="00776A1F" w14:paraId="50C64A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472DD0" w14:textId="77777777" w:rsidR="00776A1F" w:rsidRDefault="00D8574B">
            <w:pPr>
              <w:pStyle w:val="P68B1DB1-Normal23"/>
              <w:spacing w:after="0"/>
              <w:jc w:val="center"/>
              <w:rPr>
                <w:rFonts w:eastAsia="Calibri" w:cs="Calibri"/>
                <w:noProof/>
              </w:rPr>
            </w:pPr>
            <w:r>
              <w:rPr>
                <w:noProof/>
              </w:rPr>
              <w:t>5.32</w:t>
            </w:r>
          </w:p>
        </w:tc>
        <w:tc>
          <w:tcPr>
            <w:tcW w:w="1760" w:type="dxa"/>
            <w:tcBorders>
              <w:top w:val="nil"/>
              <w:left w:val="nil"/>
              <w:bottom w:val="single" w:sz="4" w:space="0" w:color="auto"/>
              <w:right w:val="single" w:sz="4" w:space="0" w:color="auto"/>
            </w:tcBorders>
            <w:shd w:val="clear" w:color="auto" w:fill="C4EFCE"/>
            <w:vAlign w:val="center"/>
          </w:tcPr>
          <w:p w14:paraId="44B52EBF" w14:textId="77777777" w:rsidR="00776A1F" w:rsidRDefault="00D8574B">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75CF3957"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9D7A449" w14:textId="77777777" w:rsidR="00776A1F" w:rsidRDefault="00D8574B">
            <w:pPr>
              <w:pStyle w:val="P68B1DB1-Normal23"/>
              <w:spacing w:after="0"/>
              <w:jc w:val="both"/>
              <w:rPr>
                <w:rFonts w:eastAsia="Calibri" w:cs="Calibri"/>
                <w:noProof/>
              </w:rPr>
            </w:pPr>
            <w:r>
              <w:rPr>
                <w:noProof/>
              </w:rPr>
              <w:t>Ir parakstīti 100 % no garantijām, kas darītas pieejamas kapitāla palielināšanas rezultātā.</w:t>
            </w:r>
          </w:p>
        </w:tc>
      </w:tr>
      <w:tr w:rsidR="00776A1F" w14:paraId="382C66B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22DA2FA" w14:textId="77777777" w:rsidR="00776A1F" w:rsidRDefault="00D8574B">
            <w:pPr>
              <w:pStyle w:val="P68B1DB1-Normal23"/>
              <w:spacing w:after="0"/>
              <w:jc w:val="center"/>
              <w:rPr>
                <w:rFonts w:eastAsia="Calibri" w:cs="Calibri"/>
                <w:noProof/>
              </w:rPr>
            </w:pPr>
            <w:r>
              <w:rPr>
                <w:noProof/>
              </w:rPr>
              <w:t>5.45</w:t>
            </w:r>
          </w:p>
        </w:tc>
        <w:tc>
          <w:tcPr>
            <w:tcW w:w="1760" w:type="dxa"/>
            <w:tcBorders>
              <w:top w:val="nil"/>
              <w:left w:val="nil"/>
              <w:bottom w:val="single" w:sz="4" w:space="0" w:color="auto"/>
              <w:right w:val="single" w:sz="4" w:space="0" w:color="auto"/>
            </w:tcBorders>
            <w:shd w:val="clear" w:color="auto" w:fill="C4EFCE"/>
            <w:vAlign w:val="center"/>
          </w:tcPr>
          <w:p w14:paraId="0BD22FC2" w14:textId="77777777" w:rsidR="00776A1F" w:rsidRDefault="00D8574B">
            <w:pPr>
              <w:pStyle w:val="P68B1DB1-Normal23"/>
              <w:spacing w:after="0"/>
              <w:jc w:val="center"/>
              <w:rPr>
                <w:rFonts w:eastAsia="Calibri" w:cs="Calibri"/>
                <w:noProof/>
              </w:rPr>
            </w:pPr>
            <w:r>
              <w:rPr>
                <w:noProof/>
              </w:rPr>
              <w:t>Re-C05-i11</w:t>
            </w:r>
          </w:p>
        </w:tc>
        <w:tc>
          <w:tcPr>
            <w:tcW w:w="1520" w:type="dxa"/>
            <w:tcBorders>
              <w:top w:val="nil"/>
              <w:left w:val="nil"/>
              <w:bottom w:val="single" w:sz="4" w:space="0" w:color="auto"/>
              <w:right w:val="single" w:sz="4" w:space="0" w:color="auto"/>
            </w:tcBorders>
            <w:shd w:val="clear" w:color="auto" w:fill="C4EFCE"/>
            <w:vAlign w:val="center"/>
          </w:tcPr>
          <w:p w14:paraId="197EDE46"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321F122" w14:textId="77777777" w:rsidR="00776A1F" w:rsidRDefault="00D8574B">
            <w:pPr>
              <w:pStyle w:val="P68B1DB1-Normal23"/>
              <w:spacing w:after="0"/>
              <w:jc w:val="both"/>
              <w:rPr>
                <w:rFonts w:eastAsia="Calibri" w:cs="Calibri"/>
                <w:noProof/>
              </w:rPr>
            </w:pPr>
            <w:r>
              <w:rPr>
                <w:noProof/>
              </w:rPr>
              <w:t>446 produktu, procesu vai pakalpojumu pabeigšana.</w:t>
            </w:r>
          </w:p>
        </w:tc>
      </w:tr>
      <w:tr w:rsidR="00776A1F" w14:paraId="75A43AF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A6C56C4" w14:textId="77777777" w:rsidR="00776A1F" w:rsidRDefault="00D8574B">
            <w:pPr>
              <w:pStyle w:val="P68B1DB1-Normal23"/>
              <w:spacing w:after="0"/>
              <w:jc w:val="center"/>
              <w:rPr>
                <w:rFonts w:eastAsia="Calibri" w:cs="Calibri"/>
                <w:noProof/>
              </w:rPr>
            </w:pPr>
            <w:r>
              <w:rPr>
                <w:noProof/>
              </w:rPr>
              <w:t>5.47</w:t>
            </w:r>
          </w:p>
        </w:tc>
        <w:tc>
          <w:tcPr>
            <w:tcW w:w="1760" w:type="dxa"/>
            <w:tcBorders>
              <w:top w:val="nil"/>
              <w:left w:val="nil"/>
              <w:bottom w:val="single" w:sz="4" w:space="0" w:color="auto"/>
              <w:right w:val="single" w:sz="4" w:space="0" w:color="auto"/>
            </w:tcBorders>
            <w:shd w:val="clear" w:color="auto" w:fill="C4EFCE"/>
            <w:vAlign w:val="center"/>
          </w:tcPr>
          <w:p w14:paraId="49495519" w14:textId="3E544D5D" w:rsidR="00776A1F" w:rsidRDefault="00D8574B">
            <w:pPr>
              <w:pStyle w:val="P68B1DB1-Normal23"/>
              <w:spacing w:after="0"/>
              <w:jc w:val="center"/>
              <w:rPr>
                <w:rFonts w:eastAsia="Calibri" w:cs="Calibri"/>
                <w:noProof/>
              </w:rPr>
            </w:pPr>
            <w:r>
              <w:rPr>
                <w:noProof/>
              </w:rPr>
              <w:t>Re-C05-i12</w:t>
            </w:r>
          </w:p>
        </w:tc>
        <w:tc>
          <w:tcPr>
            <w:tcW w:w="1520" w:type="dxa"/>
            <w:tcBorders>
              <w:top w:val="nil"/>
              <w:left w:val="nil"/>
              <w:bottom w:val="single" w:sz="4" w:space="0" w:color="auto"/>
              <w:right w:val="single" w:sz="4" w:space="0" w:color="auto"/>
            </w:tcBorders>
            <w:shd w:val="clear" w:color="auto" w:fill="C4EFCE"/>
            <w:vAlign w:val="center"/>
          </w:tcPr>
          <w:p w14:paraId="1D528D41"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301C30B" w14:textId="77777777" w:rsidR="00776A1F" w:rsidRDefault="00D8574B">
            <w:pPr>
              <w:pStyle w:val="P68B1DB1-Normal23"/>
              <w:spacing w:after="0"/>
              <w:jc w:val="both"/>
              <w:rPr>
                <w:rFonts w:eastAsia="Calibri" w:cs="Calibri"/>
                <w:noProof/>
              </w:rPr>
            </w:pPr>
            <w:r>
              <w:rPr>
                <w:noProof/>
              </w:rPr>
              <w:t>Līgumu noslēgšana par jaunu produktu, procesu vai pakalpojumu izstrādi stratēģiskās jomās, kas saistītas ar ekonomiku ar zemu oglekļa dioksīda emisiju līmeni, noturību un pielāgošanos klimata pārmaiņām.</w:t>
            </w:r>
          </w:p>
        </w:tc>
      </w:tr>
      <w:tr w:rsidR="00776A1F" w14:paraId="14F0C66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876D187" w14:textId="77777777" w:rsidR="00776A1F" w:rsidRDefault="00D8574B">
            <w:pPr>
              <w:pStyle w:val="P68B1DB1-Normal23"/>
              <w:spacing w:after="0"/>
              <w:jc w:val="center"/>
              <w:rPr>
                <w:rFonts w:eastAsia="Calibri" w:cs="Calibri"/>
                <w:noProof/>
              </w:rPr>
            </w:pPr>
            <w:r>
              <w:rPr>
                <w:noProof/>
              </w:rPr>
              <w:t>7.10</w:t>
            </w:r>
          </w:p>
        </w:tc>
        <w:tc>
          <w:tcPr>
            <w:tcW w:w="1760" w:type="dxa"/>
            <w:tcBorders>
              <w:top w:val="nil"/>
              <w:left w:val="nil"/>
              <w:bottom w:val="single" w:sz="4" w:space="0" w:color="auto"/>
              <w:right w:val="single" w:sz="4" w:space="0" w:color="auto"/>
            </w:tcBorders>
            <w:shd w:val="clear" w:color="auto" w:fill="C4EFCE"/>
            <w:vAlign w:val="center"/>
          </w:tcPr>
          <w:p w14:paraId="4150F0A6" w14:textId="77777777" w:rsidR="00776A1F" w:rsidRDefault="00D8574B">
            <w:pPr>
              <w:pStyle w:val="P68B1DB1-Normal23"/>
              <w:spacing w:after="0"/>
              <w:jc w:val="center"/>
              <w:rPr>
                <w:rFonts w:eastAsia="Calibri" w:cs="Calibri"/>
                <w:noProof/>
              </w:rPr>
            </w:pPr>
            <w:r>
              <w:rPr>
                <w:noProof/>
              </w:rPr>
              <w:t>Re-C07-i03</w:t>
            </w:r>
          </w:p>
        </w:tc>
        <w:tc>
          <w:tcPr>
            <w:tcW w:w="1520" w:type="dxa"/>
            <w:tcBorders>
              <w:top w:val="nil"/>
              <w:left w:val="nil"/>
              <w:bottom w:val="single" w:sz="4" w:space="0" w:color="auto"/>
              <w:right w:val="single" w:sz="4" w:space="0" w:color="auto"/>
            </w:tcBorders>
            <w:shd w:val="clear" w:color="auto" w:fill="C4EFCE"/>
            <w:vAlign w:val="center"/>
          </w:tcPr>
          <w:p w14:paraId="592CEA84" w14:textId="77777777" w:rsidR="00776A1F" w:rsidRDefault="00D8574B">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B2DBE78" w14:textId="77777777" w:rsidR="00776A1F" w:rsidRDefault="00D8574B">
            <w:pPr>
              <w:pStyle w:val="P68B1DB1-Normal23"/>
              <w:spacing w:after="0"/>
              <w:jc w:val="both"/>
              <w:rPr>
                <w:rFonts w:eastAsia="Calibri" w:cs="Calibri"/>
                <w:noProof/>
              </w:rPr>
            </w:pPr>
            <w:r>
              <w:rPr>
                <w:noProof/>
              </w:rPr>
              <w:t>Uzbūvētie vai atjaunotie ceļi</w:t>
            </w:r>
          </w:p>
        </w:tc>
      </w:tr>
      <w:tr w:rsidR="00776A1F" w14:paraId="7DB20D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74755" w14:textId="77777777" w:rsidR="00776A1F" w:rsidRDefault="00D8574B">
            <w:pPr>
              <w:pStyle w:val="P68B1DB1-Normal23"/>
              <w:spacing w:after="0"/>
              <w:jc w:val="center"/>
              <w:rPr>
                <w:rFonts w:eastAsia="Calibri" w:cs="Calibri"/>
                <w:noProof/>
              </w:rPr>
            </w:pPr>
            <w:r>
              <w:rPr>
                <w:noProof/>
              </w:rPr>
              <w:t>7.12</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0788EBF" w14:textId="77777777" w:rsidR="00776A1F" w:rsidRDefault="00D8574B">
            <w:pPr>
              <w:pStyle w:val="P68B1DB1-Normal23"/>
              <w:spacing w:after="0"/>
              <w:jc w:val="center"/>
              <w:rPr>
                <w:rFonts w:eastAsia="Calibri" w:cs="Calibri"/>
                <w:noProof/>
              </w:rPr>
            </w:pPr>
            <w:r>
              <w:rPr>
                <w:noProof/>
              </w:rPr>
              <w:t>Re-C07-i04</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C0933CA" w14:textId="77777777" w:rsidR="00776A1F" w:rsidRDefault="00D8574B">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6814B6B4" w14:textId="77777777" w:rsidR="00776A1F" w:rsidRDefault="00D8574B">
            <w:pPr>
              <w:pStyle w:val="P68B1DB1-Normal23"/>
              <w:spacing w:after="0"/>
              <w:jc w:val="both"/>
              <w:rPr>
                <w:rFonts w:eastAsia="Calibri" w:cs="Calibri"/>
                <w:noProof/>
              </w:rPr>
            </w:pPr>
            <w:r>
              <w:rPr>
                <w:noProof/>
              </w:rPr>
              <w:t>Uzbūvētie vai atjaunotie ceļi</w:t>
            </w:r>
          </w:p>
        </w:tc>
      </w:tr>
      <w:tr w:rsidR="00776A1F" w14:paraId="2FF9C2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AA1A82" w14:textId="66BEC41C" w:rsidR="00776A1F" w:rsidRDefault="00D8574B">
            <w:pPr>
              <w:pStyle w:val="P68B1DB1-Normal23"/>
              <w:spacing w:after="0"/>
              <w:jc w:val="center"/>
              <w:rPr>
                <w:rFonts w:eastAsia="Calibri" w:cs="Calibri"/>
                <w:noProof/>
              </w:rPr>
            </w:pPr>
            <w:r>
              <w:rPr>
                <w:noProof/>
              </w:rPr>
              <w:t>19.30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1C7B993" w14:textId="3F7646E8" w:rsidR="00776A1F" w:rsidRDefault="00D8574B">
            <w:pPr>
              <w:pStyle w:val="P68B1DB1-Normal23"/>
              <w:spacing w:after="0"/>
              <w:jc w:val="center"/>
              <w:rPr>
                <w:rFonts w:eastAsia="Calibri" w:cs="Calibri"/>
                <w:noProof/>
              </w:rPr>
            </w:pPr>
            <w:r>
              <w:rPr>
                <w:noProof/>
              </w:rPr>
              <w:t>TD-C19-r41</w:t>
            </w:r>
          </w:p>
        </w:tc>
        <w:tc>
          <w:tcPr>
            <w:tcW w:w="1520" w:type="dxa"/>
            <w:tcBorders>
              <w:top w:val="single" w:sz="4" w:space="0" w:color="auto"/>
              <w:left w:val="nil"/>
              <w:bottom w:val="nil"/>
              <w:right w:val="single" w:sz="4" w:space="0" w:color="auto"/>
            </w:tcBorders>
            <w:shd w:val="clear" w:color="auto" w:fill="C4EFCE"/>
            <w:vAlign w:val="center"/>
          </w:tcPr>
          <w:p w14:paraId="16274021" w14:textId="378AF8DD" w:rsidR="00776A1F" w:rsidRDefault="00D8574B">
            <w:pPr>
              <w:pStyle w:val="P68B1DB1-Normal23"/>
              <w:spacing w:after="0"/>
              <w:jc w:val="center"/>
              <w:rPr>
                <w:rFonts w:eastAsia="Calibri" w:cs="Calibri"/>
                <w:noProof/>
              </w:rPr>
            </w:pPr>
            <w:r>
              <w:rPr>
                <w:noProof/>
              </w:rPr>
              <w:t>M</w:t>
            </w:r>
          </w:p>
        </w:tc>
        <w:tc>
          <w:tcPr>
            <w:tcW w:w="5060" w:type="dxa"/>
            <w:tcBorders>
              <w:top w:val="single" w:sz="4" w:space="0" w:color="auto"/>
              <w:left w:val="nil"/>
              <w:bottom w:val="nil"/>
              <w:right w:val="single" w:sz="4" w:space="0" w:color="auto"/>
            </w:tcBorders>
            <w:shd w:val="clear" w:color="auto" w:fill="C4EFCE"/>
            <w:vAlign w:val="center"/>
          </w:tcPr>
          <w:p w14:paraId="7AD3F20C" w14:textId="697A142B" w:rsidR="00776A1F" w:rsidRDefault="00D8574B">
            <w:pPr>
              <w:pStyle w:val="P68B1DB1-Normal23"/>
              <w:spacing w:after="0"/>
              <w:jc w:val="both"/>
              <w:rPr>
                <w:rFonts w:eastAsia="Calibri" w:cs="Calibri"/>
                <w:noProof/>
              </w:rPr>
            </w:pPr>
            <w:r>
              <w:rPr>
                <w:noProof/>
              </w:rPr>
              <w:t>Tiesību akta par piekļuvi sabiedriskajiem pakalpojumiem stāšanās spēkā</w:t>
            </w:r>
          </w:p>
        </w:tc>
      </w:tr>
      <w:tr w:rsidR="00776A1F" w14:paraId="2DA41D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2CD2493"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0300EF67" w14:textId="77777777" w:rsidR="00776A1F" w:rsidRDefault="00D8574B">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5ECE748"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7C719D15" w14:textId="6A1C6747" w:rsidR="00776A1F" w:rsidRDefault="00D8574B">
            <w:pPr>
              <w:pStyle w:val="P68B1DB1-Normal25"/>
              <w:spacing w:after="0" w:line="240" w:lineRule="auto"/>
              <w:jc w:val="center"/>
              <w:rPr>
                <w:rFonts w:cs="Calibri"/>
                <w:noProof/>
              </w:rPr>
            </w:pPr>
            <w:r>
              <w:rPr>
                <w:noProof/>
              </w:rPr>
              <w:t xml:space="preserve"> 938 960 210 EUR </w:t>
            </w:r>
          </w:p>
        </w:tc>
      </w:tr>
    </w:tbl>
    <w:p w14:paraId="2594BF65" w14:textId="77777777" w:rsidR="00776A1F" w:rsidRDefault="00776A1F">
      <w:pPr>
        <w:keepNext/>
        <w:spacing w:before="40" w:after="160" w:line="259" w:lineRule="auto"/>
        <w:contextualSpacing/>
        <w:jc w:val="both"/>
        <w:rPr>
          <w:rFonts w:ascii="Times New Roman" w:eastAsiaTheme="minorEastAsia" w:hAnsi="Times New Roman" w:cs="Times New Roman"/>
          <w:noProof/>
          <w:sz w:val="24"/>
        </w:rPr>
      </w:pPr>
    </w:p>
    <w:p w14:paraId="76C80100" w14:textId="2CDFED06" w:rsidR="00776A1F" w:rsidRDefault="00D8574B">
      <w:pPr>
        <w:pStyle w:val="P68B1DB1-Normal4"/>
        <w:keepNext/>
        <w:spacing w:before="40" w:after="160" w:line="259" w:lineRule="auto"/>
        <w:contextualSpacing/>
        <w:jc w:val="both"/>
        <w:rPr>
          <w:rFonts w:eastAsia="Yu Mincho" w:cs="Times New Roman"/>
          <w:noProof/>
        </w:rPr>
      </w:pPr>
      <w:r>
        <w:rPr>
          <w:noProof/>
        </w:rPr>
        <w:t>2.10. Desmitais maksājuma pieprasījums (aizdevuma atbalsts):</w:t>
      </w:r>
    </w:p>
    <w:p w14:paraId="71DB6764" w14:textId="77777777" w:rsidR="00776A1F" w:rsidRDefault="00776A1F">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94"/>
        <w:gridCol w:w="1983"/>
        <w:gridCol w:w="4698"/>
      </w:tblGrid>
      <w:tr w:rsidR="00776A1F" w14:paraId="6B7C20FE" w14:textId="77777777">
        <w:trPr>
          <w:trHeight w:val="509"/>
          <w:tblHeader/>
        </w:trPr>
        <w:tc>
          <w:tcPr>
            <w:tcW w:w="1200" w:type="dxa"/>
            <w:vMerge w:val="restart"/>
            <w:shd w:val="clear" w:color="auto" w:fill="BDD7EE"/>
            <w:vAlign w:val="center"/>
            <w:hideMark/>
          </w:tcPr>
          <w:p w14:paraId="091A540E" w14:textId="77777777" w:rsidR="00776A1F" w:rsidRDefault="00D8574B">
            <w:pPr>
              <w:pStyle w:val="P68B1DB1-Normal22"/>
              <w:spacing w:after="0" w:line="240" w:lineRule="auto"/>
              <w:jc w:val="center"/>
              <w:rPr>
                <w:rFonts w:eastAsia="Times New Roman" w:cs="Times New Roman"/>
                <w:noProof/>
              </w:rPr>
            </w:pPr>
            <w:r>
              <w:rPr>
                <w:noProof/>
              </w:rPr>
              <w:t>Kārtas numurs</w:t>
            </w:r>
          </w:p>
        </w:tc>
        <w:tc>
          <w:tcPr>
            <w:tcW w:w="1760" w:type="dxa"/>
            <w:vMerge w:val="restart"/>
            <w:shd w:val="clear" w:color="auto" w:fill="BDD7EE"/>
            <w:vAlign w:val="center"/>
            <w:hideMark/>
          </w:tcPr>
          <w:p w14:paraId="52173FC7" w14:textId="77777777" w:rsidR="00776A1F" w:rsidRDefault="00D8574B">
            <w:pPr>
              <w:pStyle w:val="P68B1DB1-Normal22"/>
              <w:spacing w:after="0" w:line="240" w:lineRule="auto"/>
              <w:jc w:val="center"/>
              <w:rPr>
                <w:rFonts w:eastAsia="Times New Roman" w:cs="Times New Roman"/>
                <w:noProof/>
              </w:rPr>
            </w:pPr>
            <w:r>
              <w:rPr>
                <w:noProof/>
              </w:rPr>
              <w:t>Pasākums (reforma vai investīcija)</w:t>
            </w:r>
          </w:p>
        </w:tc>
        <w:tc>
          <w:tcPr>
            <w:tcW w:w="1520" w:type="dxa"/>
            <w:vMerge w:val="restart"/>
            <w:shd w:val="clear" w:color="auto" w:fill="BDD7EE"/>
            <w:vAlign w:val="center"/>
            <w:hideMark/>
          </w:tcPr>
          <w:p w14:paraId="60F692F4" w14:textId="77777777" w:rsidR="00776A1F" w:rsidRDefault="00D8574B">
            <w:pPr>
              <w:pStyle w:val="P68B1DB1-Normal22"/>
              <w:spacing w:after="0" w:line="240" w:lineRule="auto"/>
              <w:jc w:val="center"/>
              <w:rPr>
                <w:rFonts w:eastAsia="Times New Roman" w:cs="Times New Roman"/>
                <w:noProof/>
              </w:rPr>
            </w:pPr>
            <w:r>
              <w:rPr>
                <w:noProof/>
              </w:rPr>
              <w:t>Atskaites punkts/mērķrādītājs</w:t>
            </w:r>
          </w:p>
        </w:tc>
        <w:tc>
          <w:tcPr>
            <w:tcW w:w="5060" w:type="dxa"/>
            <w:vMerge w:val="restart"/>
            <w:shd w:val="clear" w:color="auto" w:fill="BDD7EE"/>
            <w:vAlign w:val="center"/>
            <w:hideMark/>
          </w:tcPr>
          <w:p w14:paraId="6E70766D" w14:textId="77777777" w:rsidR="00776A1F" w:rsidRDefault="00D8574B">
            <w:pPr>
              <w:pStyle w:val="P68B1DB1-Normal22"/>
              <w:spacing w:after="0" w:line="240" w:lineRule="auto"/>
              <w:jc w:val="center"/>
              <w:rPr>
                <w:rFonts w:eastAsia="Times New Roman" w:cs="Times New Roman"/>
                <w:noProof/>
              </w:rPr>
            </w:pPr>
            <w:r>
              <w:rPr>
                <w:noProof/>
              </w:rPr>
              <w:t>Uzvārds</w:t>
            </w:r>
          </w:p>
        </w:tc>
      </w:tr>
      <w:tr w:rsidR="00776A1F" w14:paraId="5EC6EC37" w14:textId="77777777">
        <w:trPr>
          <w:trHeight w:val="509"/>
          <w:tblHeader/>
        </w:trPr>
        <w:tc>
          <w:tcPr>
            <w:tcW w:w="1200" w:type="dxa"/>
            <w:vMerge/>
            <w:vAlign w:val="center"/>
            <w:hideMark/>
          </w:tcPr>
          <w:p w14:paraId="140A919C" w14:textId="77777777" w:rsidR="00776A1F" w:rsidRDefault="00776A1F">
            <w:pPr>
              <w:spacing w:after="0" w:line="240" w:lineRule="auto"/>
              <w:rPr>
                <w:rFonts w:ascii="Times New Roman" w:eastAsia="Times New Roman" w:hAnsi="Times New Roman" w:cs="Times New Roman"/>
                <w:noProof/>
                <w:sz w:val="20"/>
              </w:rPr>
            </w:pPr>
          </w:p>
        </w:tc>
        <w:tc>
          <w:tcPr>
            <w:tcW w:w="1760" w:type="dxa"/>
            <w:vMerge/>
            <w:vAlign w:val="center"/>
            <w:hideMark/>
          </w:tcPr>
          <w:p w14:paraId="7480BF59" w14:textId="77777777" w:rsidR="00776A1F" w:rsidRDefault="00776A1F">
            <w:pPr>
              <w:spacing w:after="0" w:line="240" w:lineRule="auto"/>
              <w:rPr>
                <w:rFonts w:ascii="Times New Roman" w:eastAsia="Times New Roman" w:hAnsi="Times New Roman" w:cs="Times New Roman"/>
                <w:noProof/>
                <w:sz w:val="20"/>
              </w:rPr>
            </w:pPr>
          </w:p>
        </w:tc>
        <w:tc>
          <w:tcPr>
            <w:tcW w:w="1520" w:type="dxa"/>
            <w:vMerge/>
            <w:vAlign w:val="center"/>
            <w:hideMark/>
          </w:tcPr>
          <w:p w14:paraId="0A39A395" w14:textId="77777777" w:rsidR="00776A1F" w:rsidRDefault="00776A1F">
            <w:pPr>
              <w:spacing w:after="0" w:line="240" w:lineRule="auto"/>
              <w:rPr>
                <w:rFonts w:ascii="Times New Roman" w:eastAsia="Times New Roman" w:hAnsi="Times New Roman" w:cs="Times New Roman"/>
                <w:noProof/>
                <w:sz w:val="20"/>
              </w:rPr>
            </w:pPr>
          </w:p>
        </w:tc>
        <w:tc>
          <w:tcPr>
            <w:tcW w:w="5060" w:type="dxa"/>
            <w:vMerge/>
            <w:vAlign w:val="center"/>
            <w:hideMark/>
          </w:tcPr>
          <w:p w14:paraId="6045547B" w14:textId="77777777" w:rsidR="00776A1F" w:rsidRDefault="00776A1F">
            <w:pPr>
              <w:spacing w:after="0" w:line="240" w:lineRule="auto"/>
              <w:rPr>
                <w:rFonts w:ascii="Times New Roman" w:eastAsia="Times New Roman" w:hAnsi="Times New Roman" w:cs="Times New Roman"/>
                <w:noProof/>
                <w:sz w:val="20"/>
              </w:rPr>
            </w:pPr>
          </w:p>
        </w:tc>
      </w:tr>
      <w:tr w:rsidR="00776A1F" w14:paraId="43A9225B" w14:textId="77777777">
        <w:trPr>
          <w:trHeight w:val="440"/>
        </w:trPr>
        <w:tc>
          <w:tcPr>
            <w:tcW w:w="1200" w:type="dxa"/>
            <w:shd w:val="clear" w:color="auto" w:fill="C4EFCE"/>
            <w:vAlign w:val="center"/>
            <w:hideMark/>
          </w:tcPr>
          <w:p w14:paraId="1060EBA6" w14:textId="77777777" w:rsidR="00776A1F" w:rsidRDefault="00D8574B">
            <w:pPr>
              <w:pStyle w:val="P68B1DB1-Normal23"/>
              <w:spacing w:after="0"/>
              <w:jc w:val="center"/>
              <w:rPr>
                <w:rFonts w:eastAsia="Calibri" w:cs="Calibri"/>
                <w:noProof/>
              </w:rPr>
            </w:pPr>
            <w:r>
              <w:rPr>
                <w:noProof/>
              </w:rPr>
              <w:t>2.24</w:t>
            </w:r>
          </w:p>
        </w:tc>
        <w:tc>
          <w:tcPr>
            <w:tcW w:w="1760" w:type="dxa"/>
            <w:shd w:val="clear" w:color="auto" w:fill="C4EFCE"/>
            <w:vAlign w:val="center"/>
            <w:hideMark/>
          </w:tcPr>
          <w:p w14:paraId="713D07D5" w14:textId="77777777" w:rsidR="00776A1F" w:rsidRDefault="00D8574B">
            <w:pPr>
              <w:pStyle w:val="P68B1DB1-Normal23"/>
              <w:spacing w:after="0"/>
              <w:jc w:val="center"/>
              <w:rPr>
                <w:rFonts w:eastAsia="Calibri" w:cs="Calibri"/>
                <w:noProof/>
              </w:rPr>
            </w:pPr>
            <w:r>
              <w:rPr>
                <w:noProof/>
              </w:rPr>
              <w:t>Re-C02-i05</w:t>
            </w:r>
          </w:p>
        </w:tc>
        <w:tc>
          <w:tcPr>
            <w:tcW w:w="1520" w:type="dxa"/>
            <w:shd w:val="clear" w:color="auto" w:fill="C4EFCE"/>
            <w:vAlign w:val="center"/>
            <w:hideMark/>
          </w:tcPr>
          <w:p w14:paraId="4D626FFD"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46F0F41" w14:textId="77777777" w:rsidR="00776A1F" w:rsidRDefault="00D8574B">
            <w:pPr>
              <w:pStyle w:val="P68B1DB1-Normal23"/>
              <w:spacing w:after="0"/>
              <w:jc w:val="both"/>
              <w:rPr>
                <w:rFonts w:eastAsia="Calibri" w:cs="Calibri"/>
                <w:noProof/>
              </w:rPr>
            </w:pPr>
            <w:r>
              <w:rPr>
                <w:noProof/>
              </w:rPr>
              <w:t>Publisko mājokļu fonds par pieņemamu cenu. Piešķirtie mājokļi (kas būvēti ar augstu energoefektivitāti vai atjaunoti ar uzlabotu energoefektivitāti)</w:t>
            </w:r>
          </w:p>
        </w:tc>
      </w:tr>
      <w:tr w:rsidR="00776A1F" w14:paraId="6ACD318C" w14:textId="77777777">
        <w:trPr>
          <w:trHeight w:val="440"/>
        </w:trPr>
        <w:tc>
          <w:tcPr>
            <w:tcW w:w="1200" w:type="dxa"/>
            <w:shd w:val="clear" w:color="auto" w:fill="C4EFCE"/>
            <w:vAlign w:val="center"/>
            <w:hideMark/>
          </w:tcPr>
          <w:p w14:paraId="4A97CC8F" w14:textId="77777777" w:rsidR="00776A1F" w:rsidRDefault="00D8574B">
            <w:pPr>
              <w:pStyle w:val="P68B1DB1-Normal23"/>
              <w:spacing w:after="0"/>
              <w:jc w:val="center"/>
              <w:rPr>
                <w:rFonts w:eastAsia="Calibri" w:cs="Calibri"/>
                <w:noProof/>
              </w:rPr>
            </w:pPr>
            <w:r>
              <w:rPr>
                <w:noProof/>
              </w:rPr>
              <w:t>2.28</w:t>
            </w:r>
          </w:p>
        </w:tc>
        <w:tc>
          <w:tcPr>
            <w:tcW w:w="1760" w:type="dxa"/>
            <w:shd w:val="clear" w:color="auto" w:fill="C4EFCE"/>
            <w:vAlign w:val="center"/>
            <w:hideMark/>
          </w:tcPr>
          <w:p w14:paraId="3C8F5913" w14:textId="77777777" w:rsidR="00776A1F" w:rsidRDefault="00D8574B">
            <w:pPr>
              <w:pStyle w:val="P68B1DB1-Normal23"/>
              <w:spacing w:after="0"/>
              <w:jc w:val="center"/>
              <w:rPr>
                <w:rFonts w:eastAsia="Calibri" w:cs="Calibri"/>
                <w:noProof/>
              </w:rPr>
            </w:pPr>
            <w:r>
              <w:rPr>
                <w:noProof/>
              </w:rPr>
              <w:t>Re-C02-i06</w:t>
            </w:r>
          </w:p>
        </w:tc>
        <w:tc>
          <w:tcPr>
            <w:tcW w:w="1520" w:type="dxa"/>
            <w:shd w:val="clear" w:color="auto" w:fill="C4EFCE"/>
            <w:vAlign w:val="center"/>
            <w:hideMark/>
          </w:tcPr>
          <w:p w14:paraId="6259008C"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B76E21D" w14:textId="77777777" w:rsidR="00776A1F" w:rsidRDefault="00D8574B">
            <w:pPr>
              <w:pStyle w:val="P68B1DB1-Normal23"/>
              <w:spacing w:after="0"/>
              <w:jc w:val="both"/>
              <w:rPr>
                <w:rFonts w:eastAsia="Calibri" w:cs="Calibri"/>
                <w:noProof/>
              </w:rPr>
            </w:pPr>
            <w:r>
              <w:rPr>
                <w:noProof/>
              </w:rPr>
              <w:t>Studentu izmitināšana par pieņemamām izmaksām</w:t>
            </w:r>
          </w:p>
        </w:tc>
      </w:tr>
      <w:tr w:rsidR="00776A1F" w14:paraId="0BC09961" w14:textId="77777777">
        <w:trPr>
          <w:trHeight w:val="440"/>
        </w:trPr>
        <w:tc>
          <w:tcPr>
            <w:tcW w:w="1200" w:type="dxa"/>
            <w:shd w:val="clear" w:color="auto" w:fill="C4EFCE"/>
            <w:vAlign w:val="center"/>
            <w:hideMark/>
          </w:tcPr>
          <w:p w14:paraId="5CF2BED8" w14:textId="77777777" w:rsidR="00776A1F" w:rsidRDefault="00D8574B">
            <w:pPr>
              <w:pStyle w:val="P68B1DB1-Normal23"/>
              <w:spacing w:after="0"/>
              <w:jc w:val="center"/>
              <w:rPr>
                <w:rFonts w:eastAsia="Calibri" w:cs="Calibri"/>
                <w:noProof/>
              </w:rPr>
            </w:pPr>
            <w:r>
              <w:rPr>
                <w:noProof/>
              </w:rPr>
              <w:t>2.32</w:t>
            </w:r>
          </w:p>
        </w:tc>
        <w:tc>
          <w:tcPr>
            <w:tcW w:w="1760" w:type="dxa"/>
            <w:shd w:val="clear" w:color="auto" w:fill="C4EFCE"/>
            <w:vAlign w:val="center"/>
            <w:hideMark/>
          </w:tcPr>
          <w:p w14:paraId="67904F64" w14:textId="77777777" w:rsidR="00776A1F" w:rsidRDefault="00D8574B">
            <w:pPr>
              <w:pStyle w:val="P68B1DB1-Normal23"/>
              <w:spacing w:after="0"/>
              <w:jc w:val="center"/>
              <w:rPr>
                <w:rFonts w:eastAsia="Calibri" w:cs="Calibri"/>
                <w:noProof/>
              </w:rPr>
            </w:pPr>
            <w:r>
              <w:rPr>
                <w:noProof/>
              </w:rPr>
              <w:t>Re-C02-i01</w:t>
            </w:r>
          </w:p>
        </w:tc>
        <w:tc>
          <w:tcPr>
            <w:tcW w:w="1520" w:type="dxa"/>
            <w:shd w:val="clear" w:color="auto" w:fill="C4EFCE"/>
            <w:vAlign w:val="center"/>
            <w:hideMark/>
          </w:tcPr>
          <w:p w14:paraId="264290E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BD1AF8" w14:textId="77777777" w:rsidR="00776A1F" w:rsidRDefault="00D8574B">
            <w:pPr>
              <w:pStyle w:val="P68B1DB1-Normal23"/>
              <w:spacing w:after="0"/>
              <w:jc w:val="both"/>
              <w:rPr>
                <w:rFonts w:eastAsia="Calibri" w:cs="Calibri"/>
                <w:noProof/>
              </w:rPr>
            </w:pPr>
            <w:r>
              <w:rPr>
                <w:noProof/>
              </w:rPr>
              <w:t>Atbalsta programma mājokļu (aizdevuma) pieejamībai — Iepirkti, būvēti (augsta energoefektivitāte) vai atjaunoti (ar uzlabotu energoefektivitāti) mājokļi, kas tiek nodrošināti mājsaimniecībām</w:t>
            </w:r>
          </w:p>
        </w:tc>
      </w:tr>
      <w:tr w:rsidR="00776A1F" w14:paraId="0E1519F3" w14:textId="77777777">
        <w:trPr>
          <w:trHeight w:val="440"/>
        </w:trPr>
        <w:tc>
          <w:tcPr>
            <w:tcW w:w="1200" w:type="dxa"/>
            <w:shd w:val="clear" w:color="auto" w:fill="C4EFCE"/>
            <w:vAlign w:val="center"/>
            <w:hideMark/>
          </w:tcPr>
          <w:p w14:paraId="76C8C652" w14:textId="77777777" w:rsidR="00776A1F" w:rsidRDefault="00D8574B">
            <w:pPr>
              <w:pStyle w:val="P68B1DB1-Normal23"/>
              <w:spacing w:after="0"/>
              <w:jc w:val="center"/>
              <w:rPr>
                <w:rFonts w:eastAsia="Calibri" w:cs="Calibri"/>
                <w:noProof/>
              </w:rPr>
            </w:pPr>
            <w:r>
              <w:rPr>
                <w:noProof/>
              </w:rPr>
              <w:t>6.29</w:t>
            </w:r>
          </w:p>
        </w:tc>
        <w:tc>
          <w:tcPr>
            <w:tcW w:w="1760" w:type="dxa"/>
            <w:shd w:val="clear" w:color="auto" w:fill="C4EFCE"/>
            <w:vAlign w:val="center"/>
            <w:hideMark/>
          </w:tcPr>
          <w:p w14:paraId="0F6D3ED0" w14:textId="77777777" w:rsidR="00776A1F" w:rsidRDefault="00D8574B">
            <w:pPr>
              <w:pStyle w:val="P68B1DB1-Normal23"/>
              <w:spacing w:after="0"/>
              <w:jc w:val="center"/>
              <w:rPr>
                <w:rFonts w:eastAsia="Calibri" w:cs="Calibri"/>
                <w:noProof/>
              </w:rPr>
            </w:pPr>
            <w:r>
              <w:rPr>
                <w:noProof/>
              </w:rPr>
              <w:t>Re-C06-i09</w:t>
            </w:r>
          </w:p>
        </w:tc>
        <w:tc>
          <w:tcPr>
            <w:tcW w:w="1520" w:type="dxa"/>
            <w:shd w:val="clear" w:color="auto" w:fill="C4EFCE"/>
            <w:vAlign w:val="center"/>
            <w:hideMark/>
          </w:tcPr>
          <w:p w14:paraId="6D0F7153"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47B6D19" w14:textId="77777777" w:rsidR="00776A1F" w:rsidRDefault="00D8574B">
            <w:pPr>
              <w:pStyle w:val="P68B1DB1-Normal23"/>
              <w:spacing w:after="0"/>
              <w:jc w:val="both"/>
              <w:rPr>
                <w:rFonts w:eastAsia="Calibri" w:cs="Calibri"/>
                <w:noProof/>
              </w:rPr>
            </w:pPr>
            <w:r>
              <w:rPr>
                <w:noProof/>
              </w:rPr>
              <w:t>Skolas ir uzbūvētas vai atjaunotas</w:t>
            </w:r>
          </w:p>
        </w:tc>
      </w:tr>
      <w:tr w:rsidR="00776A1F" w14:paraId="5238DA6D" w14:textId="77777777">
        <w:trPr>
          <w:trHeight w:val="440"/>
        </w:trPr>
        <w:tc>
          <w:tcPr>
            <w:tcW w:w="1200" w:type="dxa"/>
            <w:shd w:val="clear" w:color="auto" w:fill="C4EFCE"/>
            <w:vAlign w:val="center"/>
            <w:hideMark/>
          </w:tcPr>
          <w:p w14:paraId="5A9125CA" w14:textId="77777777" w:rsidR="00776A1F" w:rsidRDefault="00D8574B">
            <w:pPr>
              <w:pStyle w:val="P68B1DB1-Normal23"/>
              <w:spacing w:after="0"/>
              <w:jc w:val="center"/>
              <w:rPr>
                <w:rFonts w:eastAsia="Calibri" w:cs="Calibri"/>
                <w:noProof/>
              </w:rPr>
            </w:pPr>
            <w:r>
              <w:rPr>
                <w:noProof/>
              </w:rPr>
              <w:t>9.11</w:t>
            </w:r>
          </w:p>
        </w:tc>
        <w:tc>
          <w:tcPr>
            <w:tcW w:w="1760" w:type="dxa"/>
            <w:shd w:val="clear" w:color="auto" w:fill="C4EFCE"/>
            <w:vAlign w:val="center"/>
            <w:hideMark/>
          </w:tcPr>
          <w:p w14:paraId="0D639E29" w14:textId="77777777" w:rsidR="00776A1F" w:rsidRDefault="00D8574B">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41B75453"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12ACE4B" w14:textId="77777777" w:rsidR="00776A1F" w:rsidRDefault="00D8574B">
            <w:pPr>
              <w:pStyle w:val="P68B1DB1-Normal23"/>
              <w:spacing w:after="0"/>
              <w:jc w:val="both"/>
              <w:rPr>
                <w:rFonts w:eastAsia="Calibri" w:cs="Calibri"/>
                <w:noProof/>
              </w:rPr>
            </w:pPr>
            <w:r>
              <w:rPr>
                <w:noProof/>
              </w:rPr>
              <w:t>Dambja, hidroenerģijas un saules enerģijas ražošanas un apūdeņošanas uzsākšana, pilnībā ievērojot IVN noteiktos rezultātus un nosacījumus un panākot attiecīgo ūdensobjektu labu stāvokli</w:t>
            </w:r>
          </w:p>
        </w:tc>
      </w:tr>
      <w:tr w:rsidR="00776A1F" w14:paraId="19AB668B" w14:textId="77777777">
        <w:trPr>
          <w:trHeight w:val="440"/>
        </w:trPr>
        <w:tc>
          <w:tcPr>
            <w:tcW w:w="1200" w:type="dxa"/>
            <w:shd w:val="clear" w:color="auto" w:fill="C4EFCE"/>
            <w:vAlign w:val="center"/>
            <w:hideMark/>
          </w:tcPr>
          <w:p w14:paraId="6A2076DD" w14:textId="77777777" w:rsidR="00776A1F" w:rsidRDefault="00D8574B">
            <w:pPr>
              <w:pStyle w:val="P68B1DB1-Normal23"/>
              <w:spacing w:after="0"/>
              <w:jc w:val="center"/>
              <w:rPr>
                <w:rFonts w:eastAsia="Calibri" w:cs="Calibri"/>
                <w:noProof/>
              </w:rPr>
            </w:pPr>
            <w:r>
              <w:rPr>
                <w:noProof/>
              </w:rPr>
              <w:t>10.7</w:t>
            </w:r>
          </w:p>
        </w:tc>
        <w:tc>
          <w:tcPr>
            <w:tcW w:w="1760" w:type="dxa"/>
            <w:shd w:val="clear" w:color="auto" w:fill="C4EFCE"/>
            <w:vAlign w:val="center"/>
            <w:hideMark/>
          </w:tcPr>
          <w:p w14:paraId="7A7CF25E" w14:textId="77777777" w:rsidR="00776A1F" w:rsidRDefault="00D8574B">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266B0A8B" w14:textId="77777777" w:rsidR="00776A1F" w:rsidRDefault="00D8574B">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3803CDA" w14:textId="77777777" w:rsidR="00776A1F" w:rsidRDefault="00D8574B">
            <w:pPr>
              <w:pStyle w:val="P68B1DB1-Normal23"/>
              <w:spacing w:after="0"/>
              <w:jc w:val="both"/>
              <w:rPr>
                <w:rFonts w:eastAsia="Calibri" w:cs="Calibri"/>
                <w:noProof/>
              </w:rPr>
            </w:pPr>
            <w:r>
              <w:rPr>
                <w:noProof/>
              </w:rPr>
              <w:t>“Daudzfunkcionālas jūras spēku platformas” un “Operāciju centra” pieņemšana un pieņemšana</w:t>
            </w:r>
          </w:p>
        </w:tc>
      </w:tr>
      <w:tr w:rsidR="00776A1F" w14:paraId="057D473A" w14:textId="77777777">
        <w:trPr>
          <w:trHeight w:val="440"/>
        </w:trPr>
        <w:tc>
          <w:tcPr>
            <w:tcW w:w="1200" w:type="dxa"/>
            <w:shd w:val="clear" w:color="auto" w:fill="C4EFCE"/>
            <w:vAlign w:val="center"/>
            <w:hideMark/>
          </w:tcPr>
          <w:p w14:paraId="5F8992F9" w14:textId="77777777" w:rsidR="00776A1F" w:rsidRDefault="00D8574B">
            <w:pPr>
              <w:pStyle w:val="P68B1DB1-Normal23"/>
              <w:spacing w:after="0"/>
              <w:jc w:val="center"/>
              <w:rPr>
                <w:rFonts w:eastAsia="Calibri" w:cs="Calibri"/>
                <w:noProof/>
              </w:rPr>
            </w:pPr>
            <w:r>
              <w:rPr>
                <w:noProof/>
              </w:rPr>
              <w:t>10.18</w:t>
            </w:r>
          </w:p>
        </w:tc>
        <w:tc>
          <w:tcPr>
            <w:tcW w:w="1760" w:type="dxa"/>
            <w:shd w:val="clear" w:color="auto" w:fill="C4EFCE"/>
            <w:vAlign w:val="center"/>
            <w:hideMark/>
          </w:tcPr>
          <w:p w14:paraId="3BD8484D" w14:textId="77777777" w:rsidR="00776A1F" w:rsidRDefault="00D8574B">
            <w:pPr>
              <w:pStyle w:val="P68B1DB1-Normal23"/>
              <w:spacing w:after="0"/>
              <w:jc w:val="center"/>
              <w:rPr>
                <w:rFonts w:eastAsia="Calibri" w:cs="Calibri"/>
                <w:noProof/>
              </w:rPr>
            </w:pPr>
            <w:r>
              <w:rPr>
                <w:noProof/>
              </w:rPr>
              <w:t>TC-10-i07</w:t>
            </w:r>
          </w:p>
        </w:tc>
        <w:tc>
          <w:tcPr>
            <w:tcW w:w="1520" w:type="dxa"/>
            <w:shd w:val="clear" w:color="auto" w:fill="C4EFCE"/>
            <w:vAlign w:val="center"/>
            <w:hideMark/>
          </w:tcPr>
          <w:p w14:paraId="735A96C0"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56295A" w14:textId="77777777" w:rsidR="00776A1F" w:rsidRDefault="00D8574B">
            <w:pPr>
              <w:pStyle w:val="P68B1DB1-Normal23"/>
              <w:spacing w:after="0"/>
              <w:jc w:val="both"/>
              <w:rPr>
                <w:rFonts w:eastAsia="Calibri" w:cs="Calibri"/>
                <w:noProof/>
              </w:rPr>
            </w:pPr>
            <w:r>
              <w:rPr>
                <w:noProof/>
              </w:rPr>
              <w:t>Kuģu energoefektivitātes intervenču pabeigšana</w:t>
            </w:r>
          </w:p>
        </w:tc>
      </w:tr>
      <w:tr w:rsidR="00776A1F" w14:paraId="4F144B9C" w14:textId="77777777">
        <w:trPr>
          <w:trHeight w:val="440"/>
        </w:trPr>
        <w:tc>
          <w:tcPr>
            <w:tcW w:w="1200" w:type="dxa"/>
            <w:shd w:val="clear" w:color="auto" w:fill="C4EFCE"/>
            <w:vAlign w:val="center"/>
            <w:hideMark/>
          </w:tcPr>
          <w:p w14:paraId="32223458" w14:textId="77777777" w:rsidR="00776A1F" w:rsidRDefault="00D8574B">
            <w:pPr>
              <w:pStyle w:val="P68B1DB1-Normal23"/>
              <w:spacing w:after="0"/>
              <w:jc w:val="center"/>
              <w:rPr>
                <w:rFonts w:eastAsia="Calibri" w:cs="Calibri"/>
                <w:noProof/>
              </w:rPr>
            </w:pPr>
            <w:r>
              <w:rPr>
                <w:noProof/>
              </w:rPr>
              <w:t>15.9</w:t>
            </w:r>
          </w:p>
        </w:tc>
        <w:tc>
          <w:tcPr>
            <w:tcW w:w="1760" w:type="dxa"/>
            <w:shd w:val="clear" w:color="auto" w:fill="C4EFCE"/>
            <w:vAlign w:val="center"/>
            <w:hideMark/>
          </w:tcPr>
          <w:p w14:paraId="653ED741" w14:textId="77777777" w:rsidR="00776A1F" w:rsidRDefault="00D8574B">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36D4B6CD" w14:textId="77777777" w:rsidR="00776A1F" w:rsidRDefault="00D8574B">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9759650" w14:textId="77777777" w:rsidR="00776A1F" w:rsidRDefault="00D8574B">
            <w:pPr>
              <w:pStyle w:val="P68B1DB1-Normal23"/>
              <w:spacing w:after="0"/>
              <w:jc w:val="both"/>
              <w:rPr>
                <w:rFonts w:eastAsia="Calibri" w:cs="Calibri"/>
                <w:noProof/>
              </w:rPr>
            </w:pPr>
            <w:r>
              <w:rPr>
                <w:noProof/>
              </w:rPr>
              <w:t>Pabeigta vieglā dzelzceļa tranzīta līnijas būvniecība starp Odivelas un Loures</w:t>
            </w:r>
          </w:p>
        </w:tc>
      </w:tr>
      <w:tr w:rsidR="00776A1F" w14:paraId="4C01CA89" w14:textId="77777777">
        <w:trPr>
          <w:trHeight w:val="440"/>
        </w:trPr>
        <w:tc>
          <w:tcPr>
            <w:tcW w:w="1200" w:type="dxa"/>
            <w:shd w:val="clear" w:color="auto" w:fill="C4EFCE"/>
            <w:vAlign w:val="center"/>
            <w:hideMark/>
          </w:tcPr>
          <w:p w14:paraId="58A583A0" w14:textId="77777777" w:rsidR="00776A1F" w:rsidRDefault="00D8574B">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0B776CD" w14:textId="77777777" w:rsidR="00776A1F" w:rsidRDefault="00D8574B">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795582F7" w14:textId="77777777" w:rsidR="00776A1F" w:rsidRDefault="00D8574B">
            <w:pPr>
              <w:pStyle w:val="P68B1DB1-Normal24"/>
              <w:spacing w:after="0" w:line="240" w:lineRule="auto"/>
              <w:jc w:val="center"/>
              <w:rPr>
                <w:rFonts w:eastAsia="Times New Roman" w:cs="Calibri"/>
                <w:noProof/>
              </w:rPr>
            </w:pPr>
            <w:r>
              <w:rPr>
                <w:noProof/>
              </w:rPr>
              <w:t>Maksājuma summa</w:t>
            </w:r>
          </w:p>
        </w:tc>
        <w:tc>
          <w:tcPr>
            <w:tcW w:w="5060" w:type="dxa"/>
            <w:shd w:val="clear" w:color="auto" w:fill="C4EFCE"/>
            <w:vAlign w:val="center"/>
            <w:hideMark/>
          </w:tcPr>
          <w:p w14:paraId="608E3E88" w14:textId="42969D28" w:rsidR="00776A1F" w:rsidRDefault="00D8574B">
            <w:pPr>
              <w:pStyle w:val="P68B1DB1-Normal25"/>
              <w:spacing w:after="0" w:line="240" w:lineRule="auto"/>
              <w:jc w:val="center"/>
              <w:rPr>
                <w:rFonts w:cs="Calibri"/>
                <w:noProof/>
              </w:rPr>
            </w:pPr>
            <w:r>
              <w:rPr>
                <w:noProof/>
              </w:rPr>
              <w:t xml:space="preserve"> 907 960 212 EUR </w:t>
            </w:r>
          </w:p>
        </w:tc>
      </w:tr>
    </w:tbl>
    <w:p w14:paraId="1317C313" w14:textId="77777777" w:rsidR="00776A1F" w:rsidRDefault="00776A1F">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p>
    <w:p w14:paraId="7BC3CF85" w14:textId="11A36794" w:rsidR="00776A1F" w:rsidRDefault="00D8574B">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t>3</w:t>
      </w:r>
      <w:r>
        <w:rPr>
          <w:rFonts w:ascii="Times New Roman" w:hAnsi="Times New Roman"/>
          <w:b/>
          <w:smallCaps/>
          <w:noProof/>
          <w:sz w:val="24"/>
        </w:rPr>
        <w:t xml:space="preserve">. IEDAĻA. PAPILDU PASĀKUMI </w:t>
      </w:r>
    </w:p>
    <w:p w14:paraId="21FD14C8" w14:textId="77777777" w:rsidR="00776A1F" w:rsidRDefault="00D8574B">
      <w:pPr>
        <w:pStyle w:val="P68B1DB1-Normal3"/>
        <w:keepNext/>
        <w:numPr>
          <w:ilvl w:val="1"/>
          <w:numId w:val="49"/>
        </w:numPr>
        <w:spacing w:before="40" w:after="0" w:line="259" w:lineRule="auto"/>
        <w:ind w:left="357" w:hanging="357"/>
        <w:jc w:val="both"/>
        <w:outlineLvl w:val="1"/>
        <w:rPr>
          <w:rFonts w:eastAsiaTheme="majorEastAsia" w:cs="Times New Roman"/>
          <w:noProof/>
        </w:rPr>
      </w:pPr>
      <w:r>
        <w:rPr>
          <w:noProof/>
        </w:rPr>
        <w:t>Atveseļošanas un noturības plāna uzraudzības un īstenošanas kārtība</w:t>
      </w:r>
    </w:p>
    <w:p w14:paraId="0513130D"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Portugāles atveseļošanas un noturības plāna uzraudzība un īstenošana notiek saskaņā ar šādu kārtību: </w:t>
      </w:r>
    </w:p>
    <w:p w14:paraId="47CE9DC2" w14:textId="3215C937" w:rsidR="00776A1F" w:rsidRDefault="00D8574B">
      <w:pPr>
        <w:pStyle w:val="P68B1DB1-Normal4"/>
        <w:keepNext/>
        <w:spacing w:before="40" w:after="0" w:line="259" w:lineRule="auto"/>
        <w:jc w:val="both"/>
        <w:rPr>
          <w:rFonts w:eastAsiaTheme="minorEastAsia" w:cs="Times New Roman"/>
          <w:noProof/>
        </w:rPr>
      </w:pPr>
      <w:r>
        <w:rPr>
          <w:noProof/>
        </w:rPr>
        <w:t xml:space="preserve">Ar Dekrētlikumu Nr. 29-B/2021, kas grozīts ar 24. jūlija Dekrētlikumu 61/2023, ir izveidots četru līmeņu pārvaldības modelis: </w:t>
      </w:r>
    </w:p>
    <w:p w14:paraId="5C86F29E" w14:textId="77777777" w:rsidR="00776A1F" w:rsidRDefault="00D8574B">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Ministru starpministriju komisija, kuru vada premjerministrs un kura atbild par stratēģisko un politikas koordināciju un vispārējo politisko vadību; </w:t>
      </w:r>
    </w:p>
    <w:p w14:paraId="40167AC1" w14:textId="77777777" w:rsidR="00776A1F" w:rsidRDefault="00D8574B">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Valsts uzraudzības komisija, kuras sastāvā ir dažādu sociālo un ekonomisko partneru un galveno pilsoniskās sabiedrības pārstāvju pārstāvji un kuru vada neatkarīga persona, lai uzraudzītu atveseļošanas un noturības plāna īstenošanu un tā rezultātus, veicinātu tā pienācīgu izplatīšanu iedzīvotājiem, uzņēmumiem un citām organizācijām un izskatītu visus jautājumus, kas ietekmē tās sniegumu, un ierosinātu ieteikumus; </w:t>
      </w:r>
    </w:p>
    <w:p w14:paraId="39701269" w14:textId="78BB1033" w:rsidR="00776A1F" w:rsidRDefault="00D8574B">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Administratīvā struktūra </w:t>
      </w:r>
      <w:r>
        <w:rPr>
          <w:i/>
          <w:noProof/>
        </w:rPr>
        <w:t>Estrutura de missao Recuperar Portugal</w:t>
      </w:r>
      <w:r>
        <w:rPr>
          <w:noProof/>
        </w:rPr>
        <w:t xml:space="preserve"> (“uzdevumgrupa”), kas izveidota ar Ministru padomes Rezolūciju Nr. 46-B/2021, ir atbildīga par atveseļošanas un noturības plāna īstenošanu kopā ar Attīstības un kohēzijas aģentūru (ES fondu kombinācijas izmantošanas uzraudzība, dubulta finansējuma riska kontrole un atbilstība citām iniciatīvām) un Finanšu ministriju;</w:t>
      </w:r>
    </w:p>
    <w:p w14:paraId="1B7F06E3" w14:textId="77777777" w:rsidR="00776A1F" w:rsidRDefault="00D8574B">
      <w:pPr>
        <w:pStyle w:val="P68B1DB1-Normal4"/>
        <w:keepNext/>
        <w:numPr>
          <w:ilvl w:val="0"/>
          <w:numId w:val="54"/>
        </w:numPr>
        <w:spacing w:before="40" w:after="160" w:line="259" w:lineRule="auto"/>
        <w:contextualSpacing/>
        <w:jc w:val="both"/>
        <w:rPr>
          <w:rFonts w:eastAsiaTheme="minorEastAsia" w:cs="Times New Roman"/>
          <w:noProof/>
        </w:rPr>
      </w:pPr>
      <w:r>
        <w:rPr>
          <w:noProof/>
        </w:rPr>
        <w:t>Revīzijas un kontroles komiteja (CAC), kuru vada Finanšu ģenerālinspekcija (IGF), atbild par revīzijas un kontroles darbībām.</w:t>
      </w:r>
    </w:p>
    <w:p w14:paraId="7337E38A" w14:textId="77777777" w:rsidR="00776A1F" w:rsidRDefault="00D8574B">
      <w:pPr>
        <w:pStyle w:val="P68B1DB1-Normal4"/>
        <w:keepNext/>
        <w:spacing w:before="40" w:after="0" w:line="259" w:lineRule="auto"/>
        <w:jc w:val="both"/>
        <w:rPr>
          <w:rFonts w:eastAsiaTheme="minorEastAsia" w:cs="Times New Roman"/>
          <w:noProof/>
        </w:rPr>
      </w:pPr>
      <w:r>
        <w:rPr>
          <w:noProof/>
        </w:rPr>
        <w:t xml:space="preserve">Portugāle ir izveidojusi institucionālos dalībniekus, kas ir atbildīgi par atsevišķu reformu un investīciju īstenošanu komponentu līmenī. Katras reformas un investīciju izpildē iesaistītās atbildīgās ministrijas vai dalībnieki regulāri sazinās ar darba grupu, kas ir struktūra, kura atbild par atveseļošanas un noturības plāna izstrādes darba koordinēšanu, līgumu parakstīšanu ar tiešajiem un starpposma saņēmējiem, atskaites punktu un mērķrādītāju sasniegšanas pārbaudi un maksājumu pieprasījumu nosūtīšanu Eiropas Komisijai. </w:t>
      </w:r>
    </w:p>
    <w:p w14:paraId="4221245C" w14:textId="77777777" w:rsidR="00776A1F" w:rsidRDefault="00776A1F">
      <w:pPr>
        <w:keepNext/>
        <w:spacing w:before="40" w:after="0" w:line="259" w:lineRule="auto"/>
        <w:jc w:val="both"/>
        <w:rPr>
          <w:rFonts w:ascii="Times New Roman" w:eastAsiaTheme="minorEastAsia" w:hAnsi="Times New Roman" w:cs="Times New Roman"/>
          <w:noProof/>
          <w:sz w:val="24"/>
        </w:rPr>
      </w:pPr>
    </w:p>
    <w:p w14:paraId="0C7CC7C0" w14:textId="77777777" w:rsidR="00776A1F" w:rsidRDefault="00D8574B">
      <w:pPr>
        <w:pStyle w:val="P68B1DB1-Normal3"/>
        <w:keepNext/>
        <w:numPr>
          <w:ilvl w:val="1"/>
          <w:numId w:val="49"/>
        </w:numPr>
        <w:spacing w:before="40" w:after="0" w:line="259" w:lineRule="auto"/>
        <w:ind w:left="357" w:hanging="357"/>
        <w:jc w:val="both"/>
        <w:outlineLvl w:val="1"/>
        <w:rPr>
          <w:rFonts w:eastAsiaTheme="minorEastAsia" w:cs="Times New Roman"/>
          <w:noProof/>
        </w:rPr>
      </w:pPr>
      <w:r>
        <w:rPr>
          <w:noProof/>
        </w:rPr>
        <w:t>Kārtība, kādā Komisijai nodrošina pilnīgu piekļuvi pamatojošajiem datiem</w:t>
      </w:r>
    </w:p>
    <w:p w14:paraId="2A07BA90" w14:textId="77777777" w:rsidR="00776A1F" w:rsidRDefault="00776A1F">
      <w:pPr>
        <w:keepNext/>
        <w:spacing w:before="40" w:after="0" w:line="259" w:lineRule="auto"/>
        <w:ind w:left="357"/>
        <w:jc w:val="both"/>
        <w:outlineLvl w:val="1"/>
        <w:rPr>
          <w:rFonts w:ascii="Times New Roman" w:eastAsiaTheme="minorEastAsia" w:hAnsi="Times New Roman" w:cs="Times New Roman"/>
          <w:b/>
          <w:noProof/>
          <w:sz w:val="24"/>
          <w:u w:val="single"/>
        </w:rPr>
      </w:pPr>
    </w:p>
    <w:p w14:paraId="058CE76E" w14:textId="524D29FB" w:rsidR="00776A1F" w:rsidRDefault="00D8574B">
      <w:pPr>
        <w:pStyle w:val="P68B1DB1-Normal4"/>
        <w:keepNext/>
        <w:numPr>
          <w:ilvl w:val="0"/>
          <w:numId w:val="69"/>
        </w:numPr>
        <w:spacing w:before="120" w:after="0" w:line="240" w:lineRule="auto"/>
        <w:ind w:left="714" w:hanging="357"/>
        <w:contextualSpacing/>
        <w:jc w:val="both"/>
        <w:rPr>
          <w:rFonts w:cs="Times New Roman"/>
          <w:noProof/>
        </w:rPr>
      </w:pPr>
      <w:r>
        <w:rPr>
          <w:noProof/>
        </w:rPr>
        <w:t>Darba grupa “Estrutura de missao Recuperar Portugal”, kas ir Portugāles atveseļošanas un noturības plāna un tā īstenošanas centrālā koordinējošā struktūra, kopā ar Attīstības un kohēzijas aģentūru un Finanšu ministriju ir atbildīga par plāna vispārējo koordināciju un uzraudzību. Jo īpaši tā darbojas kā koordinējošā struktūra, kas uzrauga progresu atskaites punktu un mērķrādītāju sasniegšanā, uzrauga un attiecīgā gadījumā īsteno kontroles un revīzijas darbības, kā arī sniedz ziņojumus un maksājumu pieprasījumus. Tā koordinē ziņošanu par atskaites punktiem un mērķrādītājiem, attiecīgajiem rādītājiem, kā arī kvalitatīvu finanšu informāciju un citiem datiem, piemēram, par galasaņēmējiem. Datu kodēšana notiek centralizētā IT sistēmā.</w:t>
      </w:r>
    </w:p>
    <w:p w14:paraId="09971485" w14:textId="77777777" w:rsidR="00776A1F" w:rsidRDefault="00D8574B">
      <w:pPr>
        <w:pStyle w:val="P68B1DB1-Normal4"/>
        <w:keepNext/>
        <w:numPr>
          <w:ilvl w:val="0"/>
          <w:numId w:val="69"/>
        </w:numPr>
        <w:spacing w:before="120" w:after="120" w:line="240" w:lineRule="auto"/>
        <w:contextualSpacing/>
        <w:jc w:val="both"/>
        <w:rPr>
          <w:rFonts w:eastAsiaTheme="minorEastAsia" w:cs="Times New Roman"/>
          <w:noProof/>
        </w:rPr>
      </w:pPr>
      <w:r>
        <w:rPr>
          <w:noProof/>
        </w:rPr>
        <w:t xml:space="preserve">Kā paredzēts Regulas (ES) 2021/241 24. panta 2. punktā, Portugāle pēc tam, kad ir izpildīti attiecīgie saskaņotie atskaites punkti un mērķrādītāji, kas izklāstīti šā pielikuma 2.1. iedaļā, iesniedz Komisijai pienācīgi pamatotu finanšu iemaksas un attiecīgā gadījumā aizdevuma maksājuma pieprasījumu. Portugāle nodrošina, ka Komisijai pēc pieprasījuma ir pilnīga piekļuve attiecīgajiem pamatā esošajiem datiem, kas pamato maksājuma pieprasījuma pienācīgu pamatojumu, gan maksājuma pieprasījuma novērtēšanai saskaņā ar Regulas (ES) 2021/241 24. panta 3. punktu, gan revīzijas un kontroles nolūkos. </w:t>
      </w:r>
    </w:p>
    <w:p w14:paraId="03FAF694" w14:textId="723759F0" w:rsidR="00776A1F" w:rsidRDefault="00776A1F">
      <w:pPr>
        <w:rPr>
          <w:noProof/>
        </w:rPr>
      </w:pPr>
    </w:p>
    <w:p w14:paraId="330C4229" w14:textId="77777777" w:rsidR="00EC6A5B" w:rsidRPr="006E458E" w:rsidRDefault="00EC6A5B" w:rsidP="00EC6A5B">
      <w:pPr>
        <w:spacing w:before="100" w:beforeAutospacing="1" w:after="100" w:afterAutospacing="1" w:line="240" w:lineRule="auto"/>
        <w:ind w:firstLine="720"/>
        <w:jc w:val="center"/>
        <w:rPr>
          <w:rFonts w:ascii="Segoe UI" w:eastAsia="Times New Roman" w:hAnsi="Segoe UI" w:cs="Segoe UI"/>
          <w:b/>
          <w:noProof/>
          <w:sz w:val="41"/>
          <w:szCs w:val="21"/>
          <w:lang w:val="en-US"/>
        </w:rPr>
      </w:pPr>
      <w:r w:rsidRPr="00992DF8">
        <w:rPr>
          <w:rFonts w:ascii="Calibri" w:eastAsia="Times New Roman" w:hAnsi="Calibri" w:cs="Calibri"/>
          <w:b/>
          <w:noProof/>
          <w:sz w:val="42"/>
          <w:szCs w:val="22"/>
          <w:bdr w:val="single" w:sz="8" w:space="0" w:color="auto" w:frame="1"/>
          <w:lang w:val="en-GB"/>
        </w:rPr>
        <w:t xml:space="preserve">Dokuments ir tulkots, izmantojot Eiropas Komisijas sistēmu </w:t>
      </w:r>
      <w:r w:rsidRPr="00992DF8">
        <w:rPr>
          <w:rFonts w:ascii="Calibri" w:eastAsia="Times New Roman" w:hAnsi="Calibri" w:cs="Calibri"/>
          <w:b/>
          <w:i/>
          <w:iCs/>
          <w:noProof/>
          <w:sz w:val="42"/>
          <w:szCs w:val="22"/>
          <w:bdr w:val="single" w:sz="8" w:space="0" w:color="auto" w:frame="1"/>
          <w:lang w:val="en-GB"/>
        </w:rPr>
        <w:t>eTranslation</w:t>
      </w:r>
      <w:r w:rsidRPr="00992DF8">
        <w:rPr>
          <w:rFonts w:ascii="Calibri" w:eastAsia="Times New Roman" w:hAnsi="Calibri" w:cs="Calibri"/>
          <w:b/>
          <w:noProof/>
          <w:sz w:val="42"/>
          <w:szCs w:val="22"/>
          <w:bdr w:val="single" w:sz="8" w:space="0" w:color="auto" w:frame="1"/>
          <w:lang w:val="en-GB"/>
        </w:rPr>
        <w:t>.</w:t>
      </w:r>
    </w:p>
    <w:p w14:paraId="50823071" w14:textId="77777777" w:rsidR="00EC6A5B" w:rsidRDefault="00EC6A5B" w:rsidP="00EC6A5B">
      <w:pPr>
        <w:jc w:val="center"/>
        <w:rPr>
          <w:noProof/>
        </w:rPr>
      </w:pPr>
    </w:p>
    <w:sectPr w:rsidR="00EC6A5B">
      <w:headerReference w:type="even" r:id="rId392"/>
      <w:headerReference w:type="default" r:id="rId393"/>
      <w:footerReference w:type="even" r:id="rId394"/>
      <w:footerReference w:type="default" r:id="rId395"/>
      <w:headerReference w:type="first" r:id="rId396"/>
      <w:footerReference w:type="first" r:id="rId39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29C8" w14:textId="77777777" w:rsidR="00D8574B" w:rsidRDefault="00D8574B">
      <w:pPr>
        <w:spacing w:after="0" w:line="240" w:lineRule="auto"/>
      </w:pPr>
      <w:r>
        <w:separator/>
      </w:r>
    </w:p>
  </w:endnote>
  <w:endnote w:type="continuationSeparator" w:id="0">
    <w:p w14:paraId="6131B027" w14:textId="77777777" w:rsidR="00D8574B" w:rsidRDefault="00D8574B">
      <w:pPr>
        <w:spacing w:after="0" w:line="240" w:lineRule="auto"/>
      </w:pPr>
      <w:r>
        <w:continuationSeparator/>
      </w:r>
    </w:p>
  </w:endnote>
  <w:endnote w:type="continuationNotice" w:id="1">
    <w:p w14:paraId="0A056C90" w14:textId="77777777" w:rsidR="00D8574B" w:rsidRDefault="00D85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Yu Mincho Light">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félkövé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CF19" w14:textId="77777777" w:rsidR="00EE722F" w:rsidRPr="00EE722F" w:rsidRDefault="00EE722F" w:rsidP="00EE722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76739" w14:textId="77777777" w:rsidR="00EC6A5B" w:rsidRDefault="00EC6A5B">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1D25" w14:textId="77777777" w:rsidR="00776A1F" w:rsidRDefault="00776A1F">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12415"/>
      <w:docPartObj>
        <w:docPartGallery w:val="Page Numbers (Bottom of Page)"/>
        <w:docPartUnique/>
      </w:docPartObj>
    </w:sdtPr>
    <w:sdtEndPr>
      <w:rPr>
        <w:noProof/>
      </w:rPr>
    </w:sdtEndPr>
    <w:sdtContent>
      <w:p w14:paraId="5C35590C" w14:textId="24E7D7EF" w:rsidR="00776A1F" w:rsidRDefault="00D8574B">
        <w:pPr>
          <w:pStyle w:val="Footer"/>
          <w:jc w:val="center"/>
        </w:pPr>
        <w:r>
          <w:fldChar w:fldCharType="begin"/>
        </w:r>
        <w:r>
          <w:instrText xml:space="preserve"> PAGE   \* MERGEFORMAT </w:instrText>
        </w:r>
        <w:r>
          <w:fldChar w:fldCharType="separate"/>
        </w:r>
        <w:r w:rsidR="00EC6A5B">
          <w:rPr>
            <w:noProof/>
          </w:rPr>
          <w:t>125</w:t>
        </w:r>
        <w:r>
          <w:fldChar w:fldCharType="end"/>
        </w:r>
      </w:p>
    </w:sdtContent>
  </w:sdt>
  <w:p w14:paraId="3AB594E4" w14:textId="77777777" w:rsidR="00776A1F" w:rsidRDefault="00776A1F">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387E" w14:textId="77777777" w:rsidR="00776A1F" w:rsidRDefault="00776A1F">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3C40" w14:textId="77777777" w:rsidR="00776A1F" w:rsidRDefault="00776A1F">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05438"/>
      <w:docPartObj>
        <w:docPartGallery w:val="Page Numbers (Bottom of Page)"/>
        <w:docPartUnique/>
      </w:docPartObj>
    </w:sdtPr>
    <w:sdtEndPr>
      <w:rPr>
        <w:noProof/>
      </w:rPr>
    </w:sdtEndPr>
    <w:sdtContent>
      <w:p w14:paraId="6CE76736" w14:textId="704917DB" w:rsidR="00776A1F" w:rsidRDefault="00D8574B">
        <w:pPr>
          <w:pStyle w:val="Footer"/>
          <w:jc w:val="center"/>
        </w:pPr>
        <w:r>
          <w:fldChar w:fldCharType="begin"/>
        </w:r>
        <w:r>
          <w:instrText xml:space="preserve"> PAGE   \* MERGEFORMAT </w:instrText>
        </w:r>
        <w:r>
          <w:fldChar w:fldCharType="separate"/>
        </w:r>
        <w:r w:rsidR="00EC6A5B">
          <w:rPr>
            <w:noProof/>
          </w:rPr>
          <w:t>129</w:t>
        </w:r>
        <w:r>
          <w:fldChar w:fldCharType="end"/>
        </w:r>
      </w:p>
    </w:sdtContent>
  </w:sdt>
  <w:p w14:paraId="0E47A84D" w14:textId="77777777" w:rsidR="00776A1F" w:rsidRDefault="00776A1F">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A711" w14:textId="77777777" w:rsidR="00776A1F" w:rsidRDefault="00776A1F">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7546" w14:textId="77777777" w:rsidR="00776A1F" w:rsidRDefault="00776A1F">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537083"/>
      <w:docPartObj>
        <w:docPartGallery w:val="Page Numbers (Bottom of Page)"/>
        <w:docPartUnique/>
      </w:docPartObj>
    </w:sdtPr>
    <w:sdtEndPr>
      <w:rPr>
        <w:noProof/>
      </w:rPr>
    </w:sdtEndPr>
    <w:sdtContent>
      <w:p w14:paraId="400B67AA" w14:textId="677B8A3E" w:rsidR="00776A1F" w:rsidRDefault="00D8574B">
        <w:pPr>
          <w:pStyle w:val="Footer"/>
          <w:jc w:val="center"/>
        </w:pPr>
        <w:r>
          <w:fldChar w:fldCharType="begin"/>
        </w:r>
        <w:r>
          <w:instrText xml:space="preserve"> PAGE   \* MERGEFORMAT </w:instrText>
        </w:r>
        <w:r>
          <w:fldChar w:fldCharType="separate"/>
        </w:r>
        <w:r w:rsidR="00EC6A5B">
          <w:rPr>
            <w:noProof/>
          </w:rPr>
          <w:t>131</w:t>
        </w:r>
        <w:r>
          <w:fldChar w:fldCharType="end"/>
        </w:r>
      </w:p>
    </w:sdtContent>
  </w:sdt>
  <w:p w14:paraId="09B88E92" w14:textId="77777777" w:rsidR="00776A1F" w:rsidRDefault="00776A1F">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66A6" w14:textId="77777777" w:rsidR="00776A1F" w:rsidRDefault="00776A1F">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032C" w14:textId="77777777" w:rsidR="00776A1F" w:rsidRDefault="00776A1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860096"/>
      <w:docPartObj>
        <w:docPartGallery w:val="Page Numbers (Bottom of Page)"/>
        <w:docPartUnique/>
      </w:docPartObj>
    </w:sdtPr>
    <w:sdtEndPr>
      <w:rPr>
        <w:noProof/>
      </w:rPr>
    </w:sdtEndPr>
    <w:sdtContent>
      <w:p w14:paraId="0E3430DD" w14:textId="441A7414" w:rsidR="00EC6A5B" w:rsidRDefault="00EC6A5B">
        <w:pPr>
          <w:pStyle w:val="Footer"/>
          <w:jc w:val="center"/>
        </w:pPr>
        <w:r>
          <w:fldChar w:fldCharType="begin"/>
        </w:r>
        <w:r>
          <w:instrText xml:space="preserve"> PAGE   \* MERGEFORMAT </w:instrText>
        </w:r>
        <w:r>
          <w:fldChar w:fldCharType="separate"/>
        </w:r>
        <w:r w:rsidR="00EE722F">
          <w:rPr>
            <w:noProof/>
          </w:rPr>
          <w:t>8</w:t>
        </w:r>
        <w:r>
          <w:fldChar w:fldCharType="end"/>
        </w:r>
      </w:p>
    </w:sdtContent>
  </w:sdt>
  <w:p w14:paraId="0343375A" w14:textId="77777777" w:rsidR="00EC6A5B" w:rsidRDefault="00EC6A5B">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41652"/>
      <w:docPartObj>
        <w:docPartGallery w:val="Page Numbers (Bottom of Page)"/>
        <w:docPartUnique/>
      </w:docPartObj>
    </w:sdtPr>
    <w:sdtEndPr>
      <w:rPr>
        <w:noProof/>
      </w:rPr>
    </w:sdtEndPr>
    <w:sdtContent>
      <w:p w14:paraId="64BE41A1" w14:textId="0A8C4240" w:rsidR="00776A1F" w:rsidRDefault="00D8574B">
        <w:pPr>
          <w:pStyle w:val="Footer"/>
          <w:jc w:val="center"/>
        </w:pPr>
        <w:r>
          <w:fldChar w:fldCharType="begin"/>
        </w:r>
        <w:r>
          <w:instrText xml:space="preserve"> PAGE   \* MERGEFORMAT </w:instrText>
        </w:r>
        <w:r>
          <w:fldChar w:fldCharType="separate"/>
        </w:r>
        <w:r w:rsidR="00EC6A5B">
          <w:rPr>
            <w:noProof/>
          </w:rPr>
          <w:t>133</w:t>
        </w:r>
        <w:r>
          <w:fldChar w:fldCharType="end"/>
        </w:r>
      </w:p>
    </w:sdtContent>
  </w:sdt>
  <w:p w14:paraId="0CCA67FB" w14:textId="77777777" w:rsidR="00776A1F" w:rsidRDefault="00776A1F">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F1F5" w14:textId="77777777" w:rsidR="00776A1F" w:rsidRDefault="00776A1F">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C986" w14:textId="77777777" w:rsidR="00776A1F" w:rsidRDefault="00776A1F">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802795"/>
      <w:docPartObj>
        <w:docPartGallery w:val="Page Numbers (Bottom of Page)"/>
        <w:docPartUnique/>
      </w:docPartObj>
    </w:sdtPr>
    <w:sdtEndPr>
      <w:rPr>
        <w:noProof/>
      </w:rPr>
    </w:sdtEndPr>
    <w:sdtContent>
      <w:p w14:paraId="3F6CD9B0" w14:textId="77AC9C13" w:rsidR="00776A1F" w:rsidRDefault="00D8574B">
        <w:pPr>
          <w:pStyle w:val="Footer"/>
          <w:jc w:val="center"/>
        </w:pPr>
        <w:r>
          <w:fldChar w:fldCharType="begin"/>
        </w:r>
        <w:r>
          <w:instrText xml:space="preserve"> PAGE   \* MERGEFORMAT </w:instrText>
        </w:r>
        <w:r>
          <w:fldChar w:fldCharType="separate"/>
        </w:r>
        <w:r w:rsidR="00EC6A5B">
          <w:rPr>
            <w:noProof/>
          </w:rPr>
          <w:t>135</w:t>
        </w:r>
        <w:r>
          <w:fldChar w:fldCharType="end"/>
        </w:r>
      </w:p>
    </w:sdtContent>
  </w:sdt>
  <w:p w14:paraId="685FDF4B" w14:textId="77777777" w:rsidR="00776A1F" w:rsidRDefault="00776A1F">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3878" w14:textId="77777777" w:rsidR="00776A1F" w:rsidRDefault="00776A1F">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DCE7" w14:textId="77777777" w:rsidR="00776A1F" w:rsidRDefault="00776A1F">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881091"/>
      <w:docPartObj>
        <w:docPartGallery w:val="Page Numbers (Bottom of Page)"/>
        <w:docPartUnique/>
      </w:docPartObj>
    </w:sdtPr>
    <w:sdtEndPr>
      <w:rPr>
        <w:noProof/>
      </w:rPr>
    </w:sdtEndPr>
    <w:sdtContent>
      <w:p w14:paraId="75178E5C" w14:textId="2498D3DE" w:rsidR="00776A1F" w:rsidRDefault="00D8574B">
        <w:pPr>
          <w:pStyle w:val="Footer"/>
          <w:jc w:val="center"/>
        </w:pPr>
        <w:r>
          <w:fldChar w:fldCharType="begin"/>
        </w:r>
        <w:r>
          <w:instrText xml:space="preserve"> PAGE   \* MERGEFORMAT </w:instrText>
        </w:r>
        <w:r>
          <w:fldChar w:fldCharType="separate"/>
        </w:r>
        <w:r w:rsidR="00EC6A5B">
          <w:rPr>
            <w:noProof/>
          </w:rPr>
          <w:t>137</w:t>
        </w:r>
        <w:r>
          <w:fldChar w:fldCharType="end"/>
        </w:r>
      </w:p>
    </w:sdtContent>
  </w:sdt>
  <w:p w14:paraId="08422C38" w14:textId="77777777" w:rsidR="00776A1F" w:rsidRDefault="00776A1F">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B6C7" w14:textId="77777777" w:rsidR="00776A1F" w:rsidRDefault="00776A1F">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ECB7" w14:textId="77777777" w:rsidR="00776A1F" w:rsidRDefault="00776A1F">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032258"/>
      <w:docPartObj>
        <w:docPartGallery w:val="Page Numbers (Bottom of Page)"/>
        <w:docPartUnique/>
      </w:docPartObj>
    </w:sdtPr>
    <w:sdtEndPr>
      <w:rPr>
        <w:noProof/>
      </w:rPr>
    </w:sdtEndPr>
    <w:sdtContent>
      <w:p w14:paraId="2727D672" w14:textId="2D035E76" w:rsidR="00776A1F" w:rsidRDefault="00D8574B">
        <w:pPr>
          <w:pStyle w:val="Footer"/>
          <w:jc w:val="center"/>
        </w:pPr>
        <w:r>
          <w:fldChar w:fldCharType="begin"/>
        </w:r>
        <w:r>
          <w:instrText xml:space="preserve"> PAGE   \* MERGEFORMAT </w:instrText>
        </w:r>
        <w:r>
          <w:fldChar w:fldCharType="separate"/>
        </w:r>
        <w:r w:rsidR="00EC6A5B">
          <w:rPr>
            <w:noProof/>
          </w:rPr>
          <w:t>140</w:t>
        </w:r>
        <w:r>
          <w:fldChar w:fldCharType="end"/>
        </w:r>
      </w:p>
    </w:sdtContent>
  </w:sdt>
  <w:p w14:paraId="01BA5E86" w14:textId="77777777" w:rsidR="00776A1F" w:rsidRDefault="00776A1F">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3AFD" w14:textId="77777777" w:rsidR="00EC6A5B" w:rsidRDefault="00EC6A5B">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5423" w14:textId="77777777" w:rsidR="00776A1F" w:rsidRDefault="00776A1F">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2A79" w14:textId="77777777" w:rsidR="00776A1F" w:rsidRDefault="00776A1F">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292644"/>
      <w:docPartObj>
        <w:docPartGallery w:val="Page Numbers (Bottom of Page)"/>
        <w:docPartUnique/>
      </w:docPartObj>
    </w:sdtPr>
    <w:sdtEndPr>
      <w:rPr>
        <w:noProof/>
      </w:rPr>
    </w:sdtEndPr>
    <w:sdtContent>
      <w:p w14:paraId="1A732953" w14:textId="7AEC1D3B" w:rsidR="00776A1F" w:rsidRDefault="00D8574B">
        <w:pPr>
          <w:pStyle w:val="Footer"/>
          <w:jc w:val="center"/>
        </w:pPr>
        <w:r>
          <w:fldChar w:fldCharType="begin"/>
        </w:r>
        <w:r>
          <w:instrText xml:space="preserve"> PAGE   \* MERGEFORMAT </w:instrText>
        </w:r>
        <w:r>
          <w:fldChar w:fldCharType="separate"/>
        </w:r>
        <w:r w:rsidR="00EC6A5B">
          <w:rPr>
            <w:noProof/>
          </w:rPr>
          <w:t>142</w:t>
        </w:r>
        <w:r>
          <w:fldChar w:fldCharType="end"/>
        </w:r>
      </w:p>
    </w:sdtContent>
  </w:sdt>
  <w:p w14:paraId="0F3FCFDE" w14:textId="77777777" w:rsidR="00776A1F" w:rsidRDefault="00776A1F">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EE08" w14:textId="77777777" w:rsidR="00776A1F" w:rsidRDefault="00776A1F">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D009" w14:textId="77777777" w:rsidR="00776A1F" w:rsidRDefault="00776A1F">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412636"/>
      <w:docPartObj>
        <w:docPartGallery w:val="Page Numbers (Bottom of Page)"/>
        <w:docPartUnique/>
      </w:docPartObj>
    </w:sdtPr>
    <w:sdtEndPr>
      <w:rPr>
        <w:noProof/>
      </w:rPr>
    </w:sdtEndPr>
    <w:sdtContent>
      <w:p w14:paraId="5F31BC2C" w14:textId="6DA24EDB" w:rsidR="00776A1F" w:rsidRDefault="00D8574B">
        <w:pPr>
          <w:pStyle w:val="Footer"/>
          <w:jc w:val="center"/>
        </w:pPr>
        <w:r>
          <w:fldChar w:fldCharType="begin"/>
        </w:r>
        <w:r>
          <w:instrText xml:space="preserve"> PAGE   \* MERGEFORMAT </w:instrText>
        </w:r>
        <w:r>
          <w:fldChar w:fldCharType="separate"/>
        </w:r>
        <w:r w:rsidR="00EC6A5B">
          <w:rPr>
            <w:noProof/>
          </w:rPr>
          <w:t>144</w:t>
        </w:r>
        <w:r>
          <w:fldChar w:fldCharType="end"/>
        </w:r>
      </w:p>
    </w:sdtContent>
  </w:sdt>
  <w:p w14:paraId="098CD17C" w14:textId="77777777" w:rsidR="00776A1F" w:rsidRDefault="00776A1F">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D655" w14:textId="77777777" w:rsidR="00776A1F" w:rsidRDefault="00776A1F">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FCCA" w14:textId="77777777" w:rsidR="00776A1F" w:rsidRDefault="00776A1F">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565869"/>
      <w:docPartObj>
        <w:docPartGallery w:val="Page Numbers (Bottom of Page)"/>
        <w:docPartUnique/>
      </w:docPartObj>
    </w:sdtPr>
    <w:sdtEndPr>
      <w:rPr>
        <w:noProof/>
      </w:rPr>
    </w:sdtEndPr>
    <w:sdtContent>
      <w:p w14:paraId="2A025F3F" w14:textId="39C774AA" w:rsidR="00776A1F" w:rsidRDefault="00D8574B">
        <w:pPr>
          <w:pStyle w:val="Footer"/>
          <w:jc w:val="center"/>
        </w:pPr>
        <w:r>
          <w:fldChar w:fldCharType="begin"/>
        </w:r>
        <w:r>
          <w:instrText xml:space="preserve"> PAGE   \* MERGEFORMAT </w:instrText>
        </w:r>
        <w:r>
          <w:fldChar w:fldCharType="separate"/>
        </w:r>
        <w:r w:rsidR="00EC6A5B">
          <w:rPr>
            <w:noProof/>
          </w:rPr>
          <w:t>146</w:t>
        </w:r>
        <w:r>
          <w:fldChar w:fldCharType="end"/>
        </w:r>
      </w:p>
    </w:sdtContent>
  </w:sdt>
  <w:p w14:paraId="44331C35" w14:textId="77777777" w:rsidR="00776A1F" w:rsidRDefault="00776A1F">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8598" w14:textId="77777777" w:rsidR="00776A1F" w:rsidRDefault="00776A1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57A0" w14:textId="77777777" w:rsidR="00776A1F" w:rsidRDefault="00776A1F">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4A3A" w14:textId="77777777" w:rsidR="00776A1F" w:rsidRDefault="00776A1F">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366933"/>
      <w:docPartObj>
        <w:docPartGallery w:val="Page Numbers (Bottom of Page)"/>
        <w:docPartUnique/>
      </w:docPartObj>
    </w:sdtPr>
    <w:sdtEndPr>
      <w:rPr>
        <w:noProof/>
      </w:rPr>
    </w:sdtEndPr>
    <w:sdtContent>
      <w:p w14:paraId="6946F91E" w14:textId="4226DC00" w:rsidR="00776A1F" w:rsidRDefault="00D8574B">
        <w:pPr>
          <w:pStyle w:val="Footer"/>
          <w:jc w:val="center"/>
        </w:pPr>
        <w:r>
          <w:fldChar w:fldCharType="begin"/>
        </w:r>
        <w:r>
          <w:instrText xml:space="preserve"> PAGE   \* MERGEFORMAT </w:instrText>
        </w:r>
        <w:r>
          <w:fldChar w:fldCharType="separate"/>
        </w:r>
        <w:r w:rsidR="00EC6A5B">
          <w:rPr>
            <w:noProof/>
          </w:rPr>
          <w:t>149</w:t>
        </w:r>
        <w:r>
          <w:fldChar w:fldCharType="end"/>
        </w:r>
      </w:p>
    </w:sdtContent>
  </w:sdt>
  <w:p w14:paraId="3317CAD5" w14:textId="77777777" w:rsidR="00776A1F" w:rsidRDefault="00776A1F">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9999" w14:textId="77777777" w:rsidR="00776A1F" w:rsidRDefault="00776A1F">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FC7C" w14:textId="77777777" w:rsidR="00776A1F" w:rsidRDefault="00776A1F">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54876"/>
      <w:docPartObj>
        <w:docPartGallery w:val="Page Numbers (Bottom of Page)"/>
        <w:docPartUnique/>
      </w:docPartObj>
    </w:sdtPr>
    <w:sdtEndPr>
      <w:rPr>
        <w:noProof/>
      </w:rPr>
    </w:sdtEndPr>
    <w:sdtContent>
      <w:p w14:paraId="5182A1D9" w14:textId="46F99846" w:rsidR="00776A1F" w:rsidRDefault="00D8574B">
        <w:pPr>
          <w:pStyle w:val="Footer"/>
          <w:jc w:val="center"/>
        </w:pPr>
        <w:r>
          <w:fldChar w:fldCharType="begin"/>
        </w:r>
        <w:r>
          <w:instrText xml:space="preserve"> PAGE   \* MERGEFORMAT </w:instrText>
        </w:r>
        <w:r>
          <w:fldChar w:fldCharType="separate"/>
        </w:r>
        <w:r w:rsidR="00EC6A5B">
          <w:rPr>
            <w:noProof/>
          </w:rPr>
          <w:t>151</w:t>
        </w:r>
        <w:r>
          <w:fldChar w:fldCharType="end"/>
        </w:r>
      </w:p>
    </w:sdtContent>
  </w:sdt>
  <w:p w14:paraId="79915F40" w14:textId="77777777" w:rsidR="00776A1F" w:rsidRDefault="00776A1F">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047F" w14:textId="77777777" w:rsidR="00776A1F" w:rsidRDefault="00776A1F">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A06D" w14:textId="77777777" w:rsidR="00776A1F" w:rsidRDefault="00776A1F">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89003"/>
      <w:docPartObj>
        <w:docPartGallery w:val="Page Numbers (Bottom of Page)"/>
        <w:docPartUnique/>
      </w:docPartObj>
    </w:sdtPr>
    <w:sdtEndPr>
      <w:rPr>
        <w:noProof/>
      </w:rPr>
    </w:sdtEndPr>
    <w:sdtContent>
      <w:p w14:paraId="70C4F1F4" w14:textId="5A1397E9" w:rsidR="00776A1F" w:rsidRDefault="00D8574B">
        <w:pPr>
          <w:pStyle w:val="Footer"/>
          <w:jc w:val="center"/>
        </w:pPr>
        <w:r>
          <w:fldChar w:fldCharType="begin"/>
        </w:r>
        <w:r>
          <w:instrText xml:space="preserve"> PAGE   \* MERGEFORMAT </w:instrText>
        </w:r>
        <w:r>
          <w:fldChar w:fldCharType="separate"/>
        </w:r>
        <w:r w:rsidR="00EC6A5B">
          <w:rPr>
            <w:noProof/>
          </w:rPr>
          <w:t>153</w:t>
        </w:r>
        <w:r>
          <w:fldChar w:fldCharType="end"/>
        </w:r>
      </w:p>
    </w:sdtContent>
  </w:sdt>
  <w:p w14:paraId="5A4C2D26" w14:textId="77777777" w:rsidR="00776A1F" w:rsidRDefault="00776A1F">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1873" w14:textId="77777777" w:rsidR="00776A1F" w:rsidRDefault="00776A1F">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903F" w14:textId="77777777" w:rsidR="00776A1F" w:rsidRDefault="00776A1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949075"/>
      <w:docPartObj>
        <w:docPartGallery w:val="Page Numbers (Bottom of Page)"/>
        <w:docPartUnique/>
      </w:docPartObj>
    </w:sdtPr>
    <w:sdtEndPr>
      <w:rPr>
        <w:noProof/>
      </w:rPr>
    </w:sdtEndPr>
    <w:sdtContent>
      <w:p w14:paraId="697ADC4C" w14:textId="2C0BF2B5" w:rsidR="00776A1F" w:rsidRDefault="00D8574B">
        <w:pPr>
          <w:pStyle w:val="Footer"/>
          <w:jc w:val="center"/>
        </w:pPr>
        <w:r>
          <w:fldChar w:fldCharType="begin"/>
        </w:r>
        <w:r>
          <w:instrText xml:space="preserve"> PAGE   \* MERGEFORMAT </w:instrText>
        </w:r>
        <w:r>
          <w:fldChar w:fldCharType="separate"/>
        </w:r>
        <w:r w:rsidR="0025297A">
          <w:rPr>
            <w:noProof/>
          </w:rPr>
          <w:t>19</w:t>
        </w:r>
        <w:r>
          <w:fldChar w:fldCharType="end"/>
        </w:r>
      </w:p>
    </w:sdtContent>
  </w:sdt>
  <w:p w14:paraId="2F25493B" w14:textId="77777777" w:rsidR="00776A1F" w:rsidRDefault="00776A1F">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59084"/>
      <w:docPartObj>
        <w:docPartGallery w:val="Page Numbers (Bottom of Page)"/>
        <w:docPartUnique/>
      </w:docPartObj>
    </w:sdtPr>
    <w:sdtEndPr>
      <w:rPr>
        <w:noProof/>
      </w:rPr>
    </w:sdtEndPr>
    <w:sdtContent>
      <w:p w14:paraId="09FF84C0" w14:textId="18DF80A5" w:rsidR="00776A1F" w:rsidRDefault="00D8574B">
        <w:pPr>
          <w:pStyle w:val="Footer"/>
          <w:jc w:val="center"/>
        </w:pPr>
        <w:r>
          <w:fldChar w:fldCharType="begin"/>
        </w:r>
        <w:r>
          <w:instrText xml:space="preserve"> PAGE   \* MERGEFORMAT </w:instrText>
        </w:r>
        <w:r>
          <w:fldChar w:fldCharType="separate"/>
        </w:r>
        <w:r w:rsidR="00EC6A5B">
          <w:rPr>
            <w:noProof/>
          </w:rPr>
          <w:t>156</w:t>
        </w:r>
        <w:r>
          <w:fldChar w:fldCharType="end"/>
        </w:r>
      </w:p>
    </w:sdtContent>
  </w:sdt>
  <w:p w14:paraId="7689A89B" w14:textId="77777777" w:rsidR="00776A1F" w:rsidRDefault="00776A1F">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F905" w14:textId="77777777" w:rsidR="00776A1F" w:rsidRDefault="00776A1F">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6487" w14:textId="77777777" w:rsidR="00776A1F" w:rsidRDefault="00776A1F">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668119"/>
      <w:docPartObj>
        <w:docPartGallery w:val="Page Numbers (Bottom of Page)"/>
        <w:docPartUnique/>
      </w:docPartObj>
    </w:sdtPr>
    <w:sdtEndPr>
      <w:rPr>
        <w:noProof/>
      </w:rPr>
    </w:sdtEndPr>
    <w:sdtContent>
      <w:p w14:paraId="197EF205" w14:textId="3D86095D" w:rsidR="00776A1F" w:rsidRDefault="00D8574B">
        <w:pPr>
          <w:pStyle w:val="Footer"/>
          <w:jc w:val="center"/>
        </w:pPr>
        <w:r>
          <w:fldChar w:fldCharType="begin"/>
        </w:r>
        <w:r>
          <w:instrText xml:space="preserve"> PAGE   \* MERGEFORMAT </w:instrText>
        </w:r>
        <w:r>
          <w:fldChar w:fldCharType="separate"/>
        </w:r>
        <w:r w:rsidR="00EC6A5B">
          <w:rPr>
            <w:noProof/>
          </w:rPr>
          <w:t>157</w:t>
        </w:r>
        <w:r>
          <w:fldChar w:fldCharType="end"/>
        </w:r>
      </w:p>
    </w:sdtContent>
  </w:sdt>
  <w:p w14:paraId="51BFF986" w14:textId="77777777" w:rsidR="00776A1F" w:rsidRDefault="00776A1F">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C769" w14:textId="77777777" w:rsidR="00776A1F" w:rsidRDefault="00776A1F">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304A" w14:textId="77777777" w:rsidR="00776A1F" w:rsidRDefault="00776A1F">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42259"/>
      <w:docPartObj>
        <w:docPartGallery w:val="Page Numbers (Bottom of Page)"/>
        <w:docPartUnique/>
      </w:docPartObj>
    </w:sdtPr>
    <w:sdtEndPr>
      <w:rPr>
        <w:noProof/>
      </w:rPr>
    </w:sdtEndPr>
    <w:sdtContent>
      <w:p w14:paraId="6B70ED90" w14:textId="554E2E08" w:rsidR="00776A1F" w:rsidRDefault="00D8574B">
        <w:pPr>
          <w:pStyle w:val="Footer"/>
          <w:jc w:val="center"/>
        </w:pPr>
        <w:r>
          <w:fldChar w:fldCharType="begin"/>
        </w:r>
        <w:r>
          <w:instrText xml:space="preserve"> PAGE   \* MERGEFORMAT </w:instrText>
        </w:r>
        <w:r>
          <w:fldChar w:fldCharType="separate"/>
        </w:r>
        <w:r w:rsidR="00EC6A5B">
          <w:rPr>
            <w:noProof/>
          </w:rPr>
          <w:t>158</w:t>
        </w:r>
        <w:r>
          <w:fldChar w:fldCharType="end"/>
        </w:r>
      </w:p>
    </w:sdtContent>
  </w:sdt>
  <w:p w14:paraId="005AB191" w14:textId="77777777" w:rsidR="00776A1F" w:rsidRDefault="00776A1F">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9200" w14:textId="77777777" w:rsidR="00776A1F" w:rsidRDefault="00776A1F">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C958" w14:textId="77777777" w:rsidR="00776A1F" w:rsidRDefault="00776A1F">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377877"/>
      <w:docPartObj>
        <w:docPartGallery w:val="Page Numbers (Bottom of Page)"/>
        <w:docPartUnique/>
      </w:docPartObj>
    </w:sdtPr>
    <w:sdtEndPr>
      <w:rPr>
        <w:noProof/>
      </w:rPr>
    </w:sdtEndPr>
    <w:sdtContent>
      <w:p w14:paraId="3EFC1F34" w14:textId="5A2D622D" w:rsidR="00776A1F" w:rsidRDefault="00D8574B">
        <w:pPr>
          <w:pStyle w:val="Footer"/>
          <w:jc w:val="center"/>
        </w:pPr>
        <w:r>
          <w:fldChar w:fldCharType="begin"/>
        </w:r>
        <w:r>
          <w:instrText xml:space="preserve"> PAGE   \* MERGEFORMAT </w:instrText>
        </w:r>
        <w:r>
          <w:fldChar w:fldCharType="separate"/>
        </w:r>
        <w:r w:rsidR="00EC6A5B">
          <w:rPr>
            <w:noProof/>
          </w:rPr>
          <w:t>167</w:t>
        </w:r>
        <w:r>
          <w:fldChar w:fldCharType="end"/>
        </w:r>
      </w:p>
    </w:sdtContent>
  </w:sdt>
  <w:p w14:paraId="4170B67A" w14:textId="77777777" w:rsidR="00776A1F" w:rsidRDefault="00776A1F">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B398" w14:textId="77777777" w:rsidR="00776A1F" w:rsidRDefault="00776A1F">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82C2" w14:textId="77777777" w:rsidR="00776A1F" w:rsidRDefault="00776A1F">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BE4B" w14:textId="77777777" w:rsidR="00776A1F" w:rsidRDefault="00776A1F">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968927"/>
      <w:docPartObj>
        <w:docPartGallery w:val="Page Numbers (Bottom of Page)"/>
        <w:docPartUnique/>
      </w:docPartObj>
    </w:sdtPr>
    <w:sdtEndPr>
      <w:rPr>
        <w:noProof/>
      </w:rPr>
    </w:sdtEndPr>
    <w:sdtContent>
      <w:p w14:paraId="1B2ED277" w14:textId="08ED3BEC" w:rsidR="00776A1F" w:rsidRDefault="00D8574B">
        <w:pPr>
          <w:pStyle w:val="Footer"/>
          <w:jc w:val="center"/>
        </w:pPr>
        <w:r>
          <w:fldChar w:fldCharType="begin"/>
        </w:r>
        <w:r>
          <w:instrText xml:space="preserve"> PAGE   \* MERGEFORMAT </w:instrText>
        </w:r>
        <w:r>
          <w:fldChar w:fldCharType="separate"/>
        </w:r>
        <w:r w:rsidR="00EC6A5B">
          <w:rPr>
            <w:noProof/>
          </w:rPr>
          <w:t>173</w:t>
        </w:r>
        <w:r>
          <w:fldChar w:fldCharType="end"/>
        </w:r>
      </w:p>
    </w:sdtContent>
  </w:sdt>
  <w:p w14:paraId="76B25FDC" w14:textId="77777777" w:rsidR="00776A1F" w:rsidRDefault="00776A1F">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7671" w14:textId="77777777" w:rsidR="00776A1F" w:rsidRDefault="00776A1F">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973B" w14:textId="77777777" w:rsidR="00776A1F" w:rsidRDefault="00776A1F">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835111"/>
      <w:docPartObj>
        <w:docPartGallery w:val="Page Numbers (Bottom of Page)"/>
        <w:docPartUnique/>
      </w:docPartObj>
    </w:sdtPr>
    <w:sdtEndPr>
      <w:rPr>
        <w:noProof/>
      </w:rPr>
    </w:sdtEndPr>
    <w:sdtContent>
      <w:p w14:paraId="4CF811EF" w14:textId="142BCD18" w:rsidR="00776A1F" w:rsidRDefault="00D8574B">
        <w:pPr>
          <w:pStyle w:val="Footer"/>
          <w:jc w:val="center"/>
        </w:pPr>
        <w:r>
          <w:fldChar w:fldCharType="begin"/>
        </w:r>
        <w:r>
          <w:instrText xml:space="preserve"> PAGE   \* MERGEFORMAT </w:instrText>
        </w:r>
        <w:r>
          <w:fldChar w:fldCharType="separate"/>
        </w:r>
        <w:r w:rsidR="00EC6A5B">
          <w:rPr>
            <w:noProof/>
          </w:rPr>
          <w:t>176</w:t>
        </w:r>
        <w:r>
          <w:fldChar w:fldCharType="end"/>
        </w:r>
      </w:p>
    </w:sdtContent>
  </w:sdt>
  <w:p w14:paraId="21E2B198" w14:textId="77777777" w:rsidR="00776A1F" w:rsidRDefault="00776A1F">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7961" w14:textId="77777777" w:rsidR="00776A1F" w:rsidRDefault="00776A1F">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7371" w14:textId="77777777" w:rsidR="00776A1F" w:rsidRDefault="00776A1F">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91529"/>
      <w:docPartObj>
        <w:docPartGallery w:val="Page Numbers (Bottom of Page)"/>
        <w:docPartUnique/>
      </w:docPartObj>
    </w:sdtPr>
    <w:sdtEndPr>
      <w:rPr>
        <w:noProof/>
      </w:rPr>
    </w:sdtEndPr>
    <w:sdtContent>
      <w:p w14:paraId="126DF290" w14:textId="079E1FC9" w:rsidR="00776A1F" w:rsidRDefault="00D8574B">
        <w:pPr>
          <w:pStyle w:val="Footer"/>
          <w:jc w:val="center"/>
        </w:pPr>
        <w:r>
          <w:fldChar w:fldCharType="begin"/>
        </w:r>
        <w:r>
          <w:instrText xml:space="preserve"> PAGE   \* MERGEFORMAT </w:instrText>
        </w:r>
        <w:r>
          <w:fldChar w:fldCharType="separate"/>
        </w:r>
        <w:r w:rsidR="00EC6A5B">
          <w:rPr>
            <w:noProof/>
          </w:rPr>
          <w:t>182</w:t>
        </w:r>
        <w:r>
          <w:fldChar w:fldCharType="end"/>
        </w:r>
      </w:p>
    </w:sdtContent>
  </w:sdt>
  <w:p w14:paraId="2D623DEB" w14:textId="77777777" w:rsidR="00776A1F" w:rsidRDefault="00776A1F">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51D7" w14:textId="77777777" w:rsidR="00776A1F" w:rsidRDefault="00776A1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0C83" w14:textId="77777777" w:rsidR="00776A1F" w:rsidRDefault="00776A1F">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9E64" w14:textId="77777777" w:rsidR="00776A1F" w:rsidRDefault="00776A1F">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50509"/>
      <w:docPartObj>
        <w:docPartGallery w:val="Page Numbers (Bottom of Page)"/>
        <w:docPartUnique/>
      </w:docPartObj>
    </w:sdtPr>
    <w:sdtEndPr>
      <w:rPr>
        <w:noProof/>
      </w:rPr>
    </w:sdtEndPr>
    <w:sdtContent>
      <w:p w14:paraId="398E9E99" w14:textId="04E9286F" w:rsidR="00776A1F" w:rsidRDefault="00D8574B">
        <w:pPr>
          <w:pStyle w:val="Footer"/>
          <w:jc w:val="center"/>
        </w:pPr>
        <w:r>
          <w:fldChar w:fldCharType="begin"/>
        </w:r>
        <w:r>
          <w:instrText xml:space="preserve"> PAGE   \* MERGEFORMAT </w:instrText>
        </w:r>
        <w:r>
          <w:fldChar w:fldCharType="separate"/>
        </w:r>
        <w:r w:rsidR="00EC6A5B">
          <w:rPr>
            <w:noProof/>
          </w:rPr>
          <w:t>184</w:t>
        </w:r>
        <w:r>
          <w:fldChar w:fldCharType="end"/>
        </w:r>
      </w:p>
    </w:sdtContent>
  </w:sdt>
  <w:p w14:paraId="1EBDB67F" w14:textId="77777777" w:rsidR="00776A1F" w:rsidRDefault="00776A1F">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2AB5" w14:textId="77777777" w:rsidR="00776A1F" w:rsidRDefault="00776A1F">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9CDF8" w14:textId="77777777" w:rsidR="00776A1F" w:rsidRDefault="00776A1F">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71365"/>
      <w:docPartObj>
        <w:docPartGallery w:val="Page Numbers (Bottom of Page)"/>
        <w:docPartUnique/>
      </w:docPartObj>
    </w:sdtPr>
    <w:sdtEndPr>
      <w:rPr>
        <w:noProof/>
      </w:rPr>
    </w:sdtEndPr>
    <w:sdtContent>
      <w:p w14:paraId="62055C4B" w14:textId="48B1F3DE" w:rsidR="00776A1F" w:rsidRDefault="00D8574B">
        <w:pPr>
          <w:pStyle w:val="Footer"/>
          <w:jc w:val="center"/>
        </w:pPr>
        <w:r>
          <w:fldChar w:fldCharType="begin"/>
        </w:r>
        <w:r>
          <w:instrText xml:space="preserve"> PAGE   \* MERGEFORMAT </w:instrText>
        </w:r>
        <w:r>
          <w:fldChar w:fldCharType="separate"/>
        </w:r>
        <w:r w:rsidR="00EC6A5B">
          <w:rPr>
            <w:noProof/>
          </w:rPr>
          <w:t>187</w:t>
        </w:r>
        <w:r>
          <w:fldChar w:fldCharType="end"/>
        </w:r>
      </w:p>
    </w:sdtContent>
  </w:sdt>
  <w:p w14:paraId="3DFBE96B" w14:textId="77777777" w:rsidR="00776A1F" w:rsidRDefault="00776A1F">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A32A" w14:textId="77777777" w:rsidR="00776A1F" w:rsidRDefault="00776A1F">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7CC1" w14:textId="77777777" w:rsidR="00776A1F" w:rsidRDefault="00776A1F">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6313"/>
      <w:docPartObj>
        <w:docPartGallery w:val="Page Numbers (Bottom of Page)"/>
        <w:docPartUnique/>
      </w:docPartObj>
    </w:sdtPr>
    <w:sdtEndPr>
      <w:rPr>
        <w:noProof/>
      </w:rPr>
    </w:sdtEndPr>
    <w:sdtContent>
      <w:p w14:paraId="4B6FA002" w14:textId="11F55D76" w:rsidR="00776A1F" w:rsidRDefault="00D8574B">
        <w:pPr>
          <w:pStyle w:val="Footer"/>
          <w:jc w:val="center"/>
        </w:pPr>
        <w:r>
          <w:fldChar w:fldCharType="begin"/>
        </w:r>
        <w:r>
          <w:instrText xml:space="preserve"> PAGE   \* MERGEFORMAT </w:instrText>
        </w:r>
        <w:r>
          <w:fldChar w:fldCharType="separate"/>
        </w:r>
        <w:r w:rsidR="00EC6A5B">
          <w:rPr>
            <w:noProof/>
          </w:rPr>
          <w:t>193</w:t>
        </w:r>
        <w:r>
          <w:fldChar w:fldCharType="end"/>
        </w:r>
      </w:p>
    </w:sdtContent>
  </w:sdt>
  <w:p w14:paraId="6B1E739A" w14:textId="77777777" w:rsidR="00776A1F" w:rsidRDefault="00776A1F">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DC62" w14:textId="77777777" w:rsidR="00776A1F" w:rsidRDefault="00776A1F">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71EE" w14:textId="77777777" w:rsidR="00776A1F" w:rsidRDefault="00776A1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44112"/>
      <w:docPartObj>
        <w:docPartGallery w:val="Page Numbers (Bottom of Page)"/>
        <w:docPartUnique/>
      </w:docPartObj>
    </w:sdtPr>
    <w:sdtEndPr>
      <w:rPr>
        <w:noProof/>
      </w:rPr>
    </w:sdtEndPr>
    <w:sdtContent>
      <w:p w14:paraId="12CB0D27" w14:textId="6044397D" w:rsidR="00776A1F" w:rsidRDefault="00D8574B">
        <w:pPr>
          <w:pStyle w:val="Footer"/>
          <w:jc w:val="center"/>
        </w:pPr>
        <w:r>
          <w:fldChar w:fldCharType="begin"/>
        </w:r>
        <w:r>
          <w:instrText xml:space="preserve"> PAGE   \* MERGEFORMAT </w:instrText>
        </w:r>
        <w:r>
          <w:fldChar w:fldCharType="separate"/>
        </w:r>
        <w:r w:rsidR="0025297A">
          <w:rPr>
            <w:noProof/>
          </w:rPr>
          <w:t>21</w:t>
        </w:r>
        <w:r>
          <w:fldChar w:fldCharType="end"/>
        </w:r>
      </w:p>
    </w:sdtContent>
  </w:sdt>
  <w:p w14:paraId="0B5F64D9" w14:textId="77777777" w:rsidR="00776A1F" w:rsidRDefault="00776A1F">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06568"/>
      <w:docPartObj>
        <w:docPartGallery w:val="Page Numbers (Bottom of Page)"/>
        <w:docPartUnique/>
      </w:docPartObj>
    </w:sdtPr>
    <w:sdtEndPr>
      <w:rPr>
        <w:noProof/>
      </w:rPr>
    </w:sdtEndPr>
    <w:sdtContent>
      <w:p w14:paraId="28D3693D" w14:textId="616D32A1" w:rsidR="00776A1F" w:rsidRDefault="00D8574B">
        <w:pPr>
          <w:pStyle w:val="Footer"/>
          <w:jc w:val="center"/>
        </w:pPr>
        <w:r>
          <w:fldChar w:fldCharType="begin"/>
        </w:r>
        <w:r>
          <w:instrText xml:space="preserve"> PAGE   \* MERGEFORMAT </w:instrText>
        </w:r>
        <w:r>
          <w:fldChar w:fldCharType="separate"/>
        </w:r>
        <w:r w:rsidR="00EC6A5B">
          <w:rPr>
            <w:noProof/>
          </w:rPr>
          <w:t>200</w:t>
        </w:r>
        <w:r>
          <w:fldChar w:fldCharType="end"/>
        </w:r>
      </w:p>
    </w:sdtContent>
  </w:sdt>
  <w:p w14:paraId="12266354" w14:textId="77777777" w:rsidR="00776A1F" w:rsidRDefault="00776A1F">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6BB2" w14:textId="77777777" w:rsidR="00776A1F" w:rsidRDefault="00776A1F">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FECF" w14:textId="77777777" w:rsidR="00776A1F" w:rsidRDefault="00776A1F">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02"/>
      <w:docPartObj>
        <w:docPartGallery w:val="Page Numbers (Bottom of Page)"/>
        <w:docPartUnique/>
      </w:docPartObj>
    </w:sdtPr>
    <w:sdtEndPr>
      <w:rPr>
        <w:noProof/>
      </w:rPr>
    </w:sdtEndPr>
    <w:sdtContent>
      <w:p w14:paraId="53C379DD" w14:textId="490BD049" w:rsidR="00776A1F" w:rsidRDefault="00D8574B">
        <w:pPr>
          <w:pStyle w:val="Footer"/>
          <w:jc w:val="center"/>
        </w:pPr>
        <w:r>
          <w:fldChar w:fldCharType="begin"/>
        </w:r>
        <w:r>
          <w:instrText xml:space="preserve"> PAGE   \* MERGEFORMAT </w:instrText>
        </w:r>
        <w:r>
          <w:fldChar w:fldCharType="separate"/>
        </w:r>
        <w:r w:rsidR="00EC6A5B">
          <w:rPr>
            <w:noProof/>
          </w:rPr>
          <w:t>203</w:t>
        </w:r>
        <w:r>
          <w:fldChar w:fldCharType="end"/>
        </w:r>
      </w:p>
    </w:sdtContent>
  </w:sdt>
  <w:p w14:paraId="435C4841" w14:textId="77777777" w:rsidR="00776A1F" w:rsidRDefault="00776A1F">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D8EB" w14:textId="77777777" w:rsidR="00776A1F" w:rsidRDefault="00776A1F">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0043" w14:textId="77777777" w:rsidR="00776A1F" w:rsidRDefault="00776A1F">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754586"/>
      <w:docPartObj>
        <w:docPartGallery w:val="Page Numbers (Bottom of Page)"/>
        <w:docPartUnique/>
      </w:docPartObj>
    </w:sdtPr>
    <w:sdtEndPr>
      <w:rPr>
        <w:noProof/>
      </w:rPr>
    </w:sdtEndPr>
    <w:sdtContent>
      <w:p w14:paraId="7AEAA58B" w14:textId="1128133A" w:rsidR="00776A1F" w:rsidRDefault="00D8574B">
        <w:pPr>
          <w:pStyle w:val="Footer"/>
          <w:jc w:val="center"/>
        </w:pPr>
        <w:r>
          <w:fldChar w:fldCharType="begin"/>
        </w:r>
        <w:r>
          <w:instrText xml:space="preserve"> PAGE   \* MERGEFORMAT </w:instrText>
        </w:r>
        <w:r>
          <w:fldChar w:fldCharType="separate"/>
        </w:r>
        <w:r w:rsidR="00EC6A5B">
          <w:rPr>
            <w:noProof/>
          </w:rPr>
          <w:t>206</w:t>
        </w:r>
        <w:r>
          <w:fldChar w:fldCharType="end"/>
        </w:r>
      </w:p>
    </w:sdtContent>
  </w:sdt>
  <w:p w14:paraId="74B82BCE" w14:textId="77777777" w:rsidR="00776A1F" w:rsidRDefault="00776A1F">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499E" w14:textId="77777777" w:rsidR="00776A1F" w:rsidRDefault="00776A1F">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D40B" w14:textId="77777777" w:rsidR="00776A1F" w:rsidRDefault="00776A1F">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24723"/>
      <w:docPartObj>
        <w:docPartGallery w:val="Page Numbers (Bottom of Page)"/>
        <w:docPartUnique/>
      </w:docPartObj>
    </w:sdtPr>
    <w:sdtEndPr>
      <w:rPr>
        <w:noProof/>
      </w:rPr>
    </w:sdtEndPr>
    <w:sdtContent>
      <w:p w14:paraId="01B45A81" w14:textId="532A47F9" w:rsidR="00776A1F" w:rsidRDefault="00D8574B">
        <w:pPr>
          <w:pStyle w:val="Footer"/>
          <w:jc w:val="center"/>
        </w:pPr>
        <w:r>
          <w:fldChar w:fldCharType="begin"/>
        </w:r>
        <w:r>
          <w:instrText xml:space="preserve"> PAGE   \* MERGEFORMAT </w:instrText>
        </w:r>
        <w:r>
          <w:fldChar w:fldCharType="separate"/>
        </w:r>
        <w:r w:rsidR="00EC6A5B">
          <w:rPr>
            <w:noProof/>
          </w:rPr>
          <w:t>215</w:t>
        </w:r>
        <w:r>
          <w:fldChar w:fldCharType="end"/>
        </w:r>
      </w:p>
    </w:sdtContent>
  </w:sdt>
  <w:p w14:paraId="6DD189E6" w14:textId="77777777" w:rsidR="00776A1F" w:rsidRDefault="00776A1F">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6430" w14:textId="77777777" w:rsidR="00776A1F" w:rsidRDefault="00776A1F">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73D8" w14:textId="77777777" w:rsidR="00776A1F" w:rsidRDefault="00776A1F">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68AC" w14:textId="77777777" w:rsidR="00776A1F" w:rsidRDefault="00776A1F">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08648"/>
      <w:docPartObj>
        <w:docPartGallery w:val="Page Numbers (Bottom of Page)"/>
        <w:docPartUnique/>
      </w:docPartObj>
    </w:sdtPr>
    <w:sdtEndPr>
      <w:rPr>
        <w:noProof/>
      </w:rPr>
    </w:sdtEndPr>
    <w:sdtContent>
      <w:p w14:paraId="13ED70D2" w14:textId="48AC30A1" w:rsidR="00776A1F" w:rsidRDefault="00D8574B">
        <w:pPr>
          <w:pStyle w:val="Footer"/>
          <w:jc w:val="center"/>
        </w:pPr>
        <w:r>
          <w:fldChar w:fldCharType="begin"/>
        </w:r>
        <w:r>
          <w:instrText xml:space="preserve"> PAGE   \* MERGEFORMAT </w:instrText>
        </w:r>
        <w:r>
          <w:fldChar w:fldCharType="separate"/>
        </w:r>
        <w:r w:rsidR="00EC6A5B">
          <w:rPr>
            <w:noProof/>
          </w:rPr>
          <w:t>222</w:t>
        </w:r>
        <w:r>
          <w:fldChar w:fldCharType="end"/>
        </w:r>
      </w:p>
    </w:sdtContent>
  </w:sdt>
  <w:p w14:paraId="32C7D1A9" w14:textId="77777777" w:rsidR="00776A1F" w:rsidRDefault="00776A1F">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3600" w14:textId="77777777" w:rsidR="00776A1F" w:rsidRDefault="00776A1F">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FED2" w14:textId="77777777" w:rsidR="00776A1F" w:rsidRDefault="00776A1F">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87532"/>
      <w:docPartObj>
        <w:docPartGallery w:val="Page Numbers (Bottom of Page)"/>
        <w:docPartUnique/>
      </w:docPartObj>
    </w:sdtPr>
    <w:sdtEndPr>
      <w:rPr>
        <w:noProof/>
      </w:rPr>
    </w:sdtEndPr>
    <w:sdtContent>
      <w:p w14:paraId="53677020" w14:textId="21372727" w:rsidR="00776A1F" w:rsidRDefault="00D8574B">
        <w:pPr>
          <w:pStyle w:val="Footer"/>
          <w:jc w:val="center"/>
        </w:pPr>
        <w:r>
          <w:fldChar w:fldCharType="begin"/>
        </w:r>
        <w:r>
          <w:instrText xml:space="preserve"> PAGE   \* MERGEFORMAT </w:instrText>
        </w:r>
        <w:r>
          <w:fldChar w:fldCharType="separate"/>
        </w:r>
        <w:r w:rsidR="00EC6A5B">
          <w:rPr>
            <w:noProof/>
          </w:rPr>
          <w:t>223</w:t>
        </w:r>
        <w:r>
          <w:fldChar w:fldCharType="end"/>
        </w:r>
      </w:p>
    </w:sdtContent>
  </w:sdt>
  <w:p w14:paraId="0A3B62C6" w14:textId="77777777" w:rsidR="00776A1F" w:rsidRDefault="00776A1F">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8487" w14:textId="77777777" w:rsidR="00776A1F" w:rsidRDefault="00776A1F">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AF4" w14:textId="77777777" w:rsidR="00776A1F" w:rsidRDefault="00776A1F">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5917"/>
      <w:docPartObj>
        <w:docPartGallery w:val="Page Numbers (Bottom of Page)"/>
        <w:docPartUnique/>
      </w:docPartObj>
    </w:sdtPr>
    <w:sdtEndPr>
      <w:rPr>
        <w:noProof/>
      </w:rPr>
    </w:sdtEndPr>
    <w:sdtContent>
      <w:p w14:paraId="508043F1" w14:textId="37662A4C" w:rsidR="00776A1F" w:rsidRDefault="00D8574B">
        <w:pPr>
          <w:pStyle w:val="Footer"/>
          <w:jc w:val="center"/>
        </w:pPr>
        <w:r>
          <w:fldChar w:fldCharType="begin"/>
        </w:r>
        <w:r>
          <w:instrText xml:space="preserve"> PAGE   \* MERGEFORMAT </w:instrText>
        </w:r>
        <w:r>
          <w:fldChar w:fldCharType="separate"/>
        </w:r>
        <w:r w:rsidR="00EC6A5B">
          <w:rPr>
            <w:noProof/>
          </w:rPr>
          <w:t>224</w:t>
        </w:r>
        <w:r>
          <w:fldChar w:fldCharType="end"/>
        </w:r>
      </w:p>
    </w:sdtContent>
  </w:sdt>
  <w:p w14:paraId="2BD69011" w14:textId="77777777" w:rsidR="00776A1F" w:rsidRDefault="00776A1F">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8B47" w14:textId="77777777" w:rsidR="00776A1F" w:rsidRDefault="00776A1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8854" w14:textId="77777777" w:rsidR="00EC6A5B" w:rsidRDefault="00EC6A5B">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BBC0" w14:textId="77777777" w:rsidR="00776A1F" w:rsidRDefault="00776A1F">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4516"/>
      <w:docPartObj>
        <w:docPartGallery w:val="Page Numbers (Bottom of Page)"/>
        <w:docPartUnique/>
      </w:docPartObj>
    </w:sdtPr>
    <w:sdtEndPr>
      <w:rPr>
        <w:noProof/>
      </w:rPr>
    </w:sdtEndPr>
    <w:sdtContent>
      <w:p w14:paraId="4A7028B2" w14:textId="45DDD5D0" w:rsidR="00776A1F" w:rsidRDefault="00D8574B">
        <w:pPr>
          <w:pStyle w:val="Footer"/>
          <w:jc w:val="center"/>
        </w:pPr>
        <w:r>
          <w:fldChar w:fldCharType="begin"/>
        </w:r>
        <w:r>
          <w:instrText xml:space="preserve"> PAGE   \* MERGEFORMAT </w:instrText>
        </w:r>
        <w:r>
          <w:fldChar w:fldCharType="separate"/>
        </w:r>
        <w:r w:rsidR="00EC6A5B">
          <w:rPr>
            <w:noProof/>
          </w:rPr>
          <w:t>251</w:t>
        </w:r>
        <w:r>
          <w:fldChar w:fldCharType="end"/>
        </w:r>
      </w:p>
    </w:sdtContent>
  </w:sdt>
  <w:p w14:paraId="33B5F61B" w14:textId="77777777" w:rsidR="00776A1F" w:rsidRDefault="00776A1F">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DA6B" w14:textId="77777777" w:rsidR="00776A1F" w:rsidRDefault="00776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06E6" w14:textId="4BC87669" w:rsidR="00975DC5" w:rsidRPr="00EE722F" w:rsidRDefault="00EE722F" w:rsidP="00EE722F">
    <w:pPr>
      <w:pStyle w:val="FooterCoverPage"/>
      <w:rPr>
        <w:rFonts w:ascii="Arial" w:hAnsi="Arial" w:cs="Arial"/>
        <w:b/>
        <w:sz w:val="48"/>
      </w:rPr>
    </w:pPr>
    <w:r w:rsidRPr="00EE722F">
      <w:rPr>
        <w:rFonts w:ascii="Arial" w:hAnsi="Arial" w:cs="Arial"/>
        <w:b/>
        <w:sz w:val="48"/>
      </w:rPr>
      <w:t>LV</w:t>
    </w:r>
    <w:r w:rsidRPr="00EE722F">
      <w:rPr>
        <w:rFonts w:ascii="Arial" w:hAnsi="Arial" w:cs="Arial"/>
        <w:b/>
        <w:sz w:val="48"/>
      </w:rPr>
      <w:tab/>
    </w:r>
    <w:r w:rsidRPr="00EE722F">
      <w:rPr>
        <w:rFonts w:ascii="Arial" w:hAnsi="Arial" w:cs="Arial"/>
        <w:b/>
        <w:sz w:val="48"/>
      </w:rPr>
      <w:tab/>
    </w:r>
    <w:r w:rsidRPr="00EE722F">
      <w:tab/>
    </w:r>
    <w:r w:rsidRPr="00EE722F">
      <w:rPr>
        <w:rFonts w:ascii="Arial" w:hAnsi="Arial" w:cs="Arial"/>
        <w:b/>
        <w:sz w:val="48"/>
      </w:rPr>
      <w:t>LV</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826380"/>
      <w:docPartObj>
        <w:docPartGallery w:val="Page Numbers (Bottom of Page)"/>
        <w:docPartUnique/>
      </w:docPartObj>
    </w:sdtPr>
    <w:sdtEndPr>
      <w:rPr>
        <w:noProof/>
      </w:rPr>
    </w:sdtEndPr>
    <w:sdtContent>
      <w:p w14:paraId="67DC4A01" w14:textId="605A7148" w:rsidR="00EC6A5B" w:rsidRDefault="00EC6A5B">
        <w:pPr>
          <w:pStyle w:val="Footer"/>
          <w:jc w:val="center"/>
        </w:pPr>
        <w:r>
          <w:fldChar w:fldCharType="begin"/>
        </w:r>
        <w:r>
          <w:instrText xml:space="preserve"> PAGE   \* MERGEFORMAT </w:instrText>
        </w:r>
        <w:r>
          <w:fldChar w:fldCharType="separate"/>
        </w:r>
        <w:r w:rsidR="0025297A">
          <w:rPr>
            <w:noProof/>
          </w:rPr>
          <w:t>22</w:t>
        </w:r>
        <w:r>
          <w:fldChar w:fldCharType="end"/>
        </w:r>
      </w:p>
    </w:sdtContent>
  </w:sdt>
  <w:p w14:paraId="09100067" w14:textId="77777777" w:rsidR="00EC6A5B" w:rsidRDefault="00EC6A5B">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9D7A" w14:textId="77777777" w:rsidR="00EC6A5B" w:rsidRDefault="00EC6A5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01BA" w14:textId="77777777" w:rsidR="00776A1F" w:rsidRDefault="00776A1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30203"/>
      <w:docPartObj>
        <w:docPartGallery w:val="Page Numbers (Bottom of Page)"/>
        <w:docPartUnique/>
      </w:docPartObj>
    </w:sdtPr>
    <w:sdtEndPr>
      <w:rPr>
        <w:noProof/>
      </w:rPr>
    </w:sdtEndPr>
    <w:sdtContent>
      <w:p w14:paraId="2CED8AC6" w14:textId="342CEAB1" w:rsidR="00776A1F" w:rsidRDefault="00D8574B">
        <w:pPr>
          <w:pStyle w:val="Footer"/>
          <w:jc w:val="center"/>
        </w:pPr>
        <w:r>
          <w:fldChar w:fldCharType="begin"/>
        </w:r>
        <w:r>
          <w:instrText xml:space="preserve"> PAGE   \* MERGEFORMAT </w:instrText>
        </w:r>
        <w:r>
          <w:fldChar w:fldCharType="separate"/>
        </w:r>
        <w:r w:rsidR="000C48A7">
          <w:rPr>
            <w:noProof/>
          </w:rPr>
          <w:t>28</w:t>
        </w:r>
        <w:r>
          <w:fldChar w:fldCharType="end"/>
        </w:r>
      </w:p>
    </w:sdtContent>
  </w:sdt>
  <w:p w14:paraId="75C9F863" w14:textId="77777777" w:rsidR="00776A1F" w:rsidRDefault="00776A1F">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2863" w14:textId="77777777" w:rsidR="00776A1F" w:rsidRDefault="00776A1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E3D" w14:textId="77777777" w:rsidR="00776A1F" w:rsidRDefault="00776A1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98613"/>
      <w:docPartObj>
        <w:docPartGallery w:val="Page Numbers (Bottom of Page)"/>
        <w:docPartUnique/>
      </w:docPartObj>
    </w:sdtPr>
    <w:sdtEndPr>
      <w:rPr>
        <w:noProof/>
      </w:rPr>
    </w:sdtEndPr>
    <w:sdtContent>
      <w:p w14:paraId="05F0F492" w14:textId="53D82B98" w:rsidR="00776A1F" w:rsidRDefault="00D8574B">
        <w:pPr>
          <w:pStyle w:val="Footer"/>
          <w:jc w:val="center"/>
        </w:pPr>
        <w:r>
          <w:fldChar w:fldCharType="begin"/>
        </w:r>
        <w:r>
          <w:instrText xml:space="preserve"> PAGE   \* MERGEFORMAT </w:instrText>
        </w:r>
        <w:r>
          <w:fldChar w:fldCharType="separate"/>
        </w:r>
        <w:r w:rsidR="000C48A7">
          <w:rPr>
            <w:noProof/>
          </w:rPr>
          <w:t>29</w:t>
        </w:r>
        <w:r>
          <w:fldChar w:fldCharType="end"/>
        </w:r>
      </w:p>
    </w:sdtContent>
  </w:sdt>
  <w:p w14:paraId="0741FD69" w14:textId="77777777" w:rsidR="00776A1F" w:rsidRDefault="00776A1F">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0E57" w14:textId="77777777" w:rsidR="00776A1F" w:rsidRDefault="00776A1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600E" w14:textId="77777777" w:rsidR="00776A1F" w:rsidRDefault="00776A1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7096"/>
      <w:docPartObj>
        <w:docPartGallery w:val="Page Numbers (Bottom of Page)"/>
        <w:docPartUnique/>
      </w:docPartObj>
    </w:sdtPr>
    <w:sdtEndPr>
      <w:rPr>
        <w:noProof/>
      </w:rPr>
    </w:sdtEndPr>
    <w:sdtContent>
      <w:p w14:paraId="2DEBA96A" w14:textId="39FD6E70" w:rsidR="00776A1F" w:rsidRDefault="00D8574B">
        <w:pPr>
          <w:pStyle w:val="Footer"/>
          <w:jc w:val="center"/>
        </w:pPr>
        <w:r>
          <w:fldChar w:fldCharType="begin"/>
        </w:r>
        <w:r>
          <w:instrText xml:space="preserve"> PAGE   \* MERGEFORMAT </w:instrText>
        </w:r>
        <w:r>
          <w:fldChar w:fldCharType="separate"/>
        </w:r>
        <w:r w:rsidR="000C48A7">
          <w:rPr>
            <w:noProof/>
          </w:rPr>
          <w:t>32</w:t>
        </w:r>
        <w:r>
          <w:fldChar w:fldCharType="end"/>
        </w:r>
      </w:p>
    </w:sdtContent>
  </w:sdt>
  <w:p w14:paraId="7EB36D5D" w14:textId="77777777" w:rsidR="00776A1F" w:rsidRDefault="00776A1F">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4158" w14:textId="77777777" w:rsidR="00EE722F" w:rsidRPr="00EE722F" w:rsidRDefault="00EE722F" w:rsidP="00EE722F">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295D" w14:textId="77777777" w:rsidR="00776A1F" w:rsidRDefault="00776A1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C1FE" w14:textId="77777777" w:rsidR="00776A1F" w:rsidRDefault="00776A1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698929"/>
      <w:docPartObj>
        <w:docPartGallery w:val="Page Numbers (Bottom of Page)"/>
        <w:docPartUnique/>
      </w:docPartObj>
    </w:sdtPr>
    <w:sdtEndPr>
      <w:rPr>
        <w:noProof/>
      </w:rPr>
    </w:sdtEndPr>
    <w:sdtContent>
      <w:p w14:paraId="714D1441" w14:textId="5281EFAB" w:rsidR="00776A1F" w:rsidRDefault="00D8574B">
        <w:pPr>
          <w:pStyle w:val="Footer"/>
          <w:jc w:val="center"/>
        </w:pPr>
        <w:r>
          <w:fldChar w:fldCharType="begin"/>
        </w:r>
        <w:r>
          <w:instrText xml:space="preserve"> PAGE   \* MERGEFORMAT </w:instrText>
        </w:r>
        <w:r>
          <w:fldChar w:fldCharType="separate"/>
        </w:r>
        <w:r w:rsidR="000C48A7">
          <w:rPr>
            <w:noProof/>
          </w:rPr>
          <w:t>40</w:t>
        </w:r>
        <w:r>
          <w:fldChar w:fldCharType="end"/>
        </w:r>
      </w:p>
    </w:sdtContent>
  </w:sdt>
  <w:p w14:paraId="719E7858" w14:textId="77777777" w:rsidR="00776A1F" w:rsidRDefault="00776A1F">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A4F3" w14:textId="77777777" w:rsidR="00776A1F" w:rsidRDefault="00776A1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9EF6" w14:textId="77777777" w:rsidR="00776A1F" w:rsidRDefault="00776A1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99938"/>
      <w:docPartObj>
        <w:docPartGallery w:val="Page Numbers (Bottom of Page)"/>
        <w:docPartUnique/>
      </w:docPartObj>
    </w:sdtPr>
    <w:sdtEndPr>
      <w:rPr>
        <w:noProof/>
      </w:rPr>
    </w:sdtEndPr>
    <w:sdtContent>
      <w:p w14:paraId="345873AE" w14:textId="7B984556" w:rsidR="00776A1F" w:rsidRDefault="00D8574B">
        <w:pPr>
          <w:pStyle w:val="Footer"/>
          <w:jc w:val="center"/>
        </w:pPr>
        <w:r>
          <w:fldChar w:fldCharType="begin"/>
        </w:r>
        <w:r>
          <w:instrText xml:space="preserve"> PAGE   \* MERGEFORMAT </w:instrText>
        </w:r>
        <w:r>
          <w:fldChar w:fldCharType="separate"/>
        </w:r>
        <w:r w:rsidR="000C48A7">
          <w:rPr>
            <w:noProof/>
          </w:rPr>
          <w:t>47</w:t>
        </w:r>
        <w:r>
          <w:fldChar w:fldCharType="end"/>
        </w:r>
      </w:p>
    </w:sdtContent>
  </w:sdt>
  <w:p w14:paraId="2986C6F5" w14:textId="77777777" w:rsidR="00776A1F" w:rsidRDefault="00776A1F">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3DE8" w14:textId="77777777" w:rsidR="00776A1F" w:rsidRDefault="00776A1F">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039" w14:textId="77777777" w:rsidR="00776A1F" w:rsidRDefault="00776A1F">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7009"/>
      <w:docPartObj>
        <w:docPartGallery w:val="Page Numbers (Bottom of Page)"/>
        <w:docPartUnique/>
      </w:docPartObj>
    </w:sdtPr>
    <w:sdtEndPr>
      <w:rPr>
        <w:noProof/>
      </w:rPr>
    </w:sdtEndPr>
    <w:sdtContent>
      <w:p w14:paraId="65098364" w14:textId="17AE4AEB" w:rsidR="00776A1F" w:rsidRDefault="00D8574B">
        <w:pPr>
          <w:pStyle w:val="Footer"/>
          <w:jc w:val="center"/>
        </w:pPr>
        <w:r>
          <w:fldChar w:fldCharType="begin"/>
        </w:r>
        <w:r>
          <w:instrText xml:space="preserve"> PAGE   \* MERGEFORMAT </w:instrText>
        </w:r>
        <w:r>
          <w:fldChar w:fldCharType="separate"/>
        </w:r>
        <w:r w:rsidR="000C48A7">
          <w:rPr>
            <w:noProof/>
          </w:rPr>
          <w:t>49</w:t>
        </w:r>
        <w:r>
          <w:fldChar w:fldCharType="end"/>
        </w:r>
      </w:p>
    </w:sdtContent>
  </w:sdt>
  <w:p w14:paraId="4643FB93" w14:textId="77777777" w:rsidR="00776A1F" w:rsidRDefault="00776A1F">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F6AF8" w14:textId="77777777" w:rsidR="00776A1F" w:rsidRDefault="00776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0DE0" w14:textId="77777777" w:rsidR="00776A1F" w:rsidRDefault="00776A1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2116" w14:textId="77777777" w:rsidR="00776A1F" w:rsidRDefault="00776A1F">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741893"/>
      <w:docPartObj>
        <w:docPartGallery w:val="Page Numbers (Bottom of Page)"/>
        <w:docPartUnique/>
      </w:docPartObj>
    </w:sdtPr>
    <w:sdtEndPr>
      <w:rPr>
        <w:noProof/>
      </w:rPr>
    </w:sdtEndPr>
    <w:sdtContent>
      <w:p w14:paraId="00966A19" w14:textId="76670E2C" w:rsidR="00776A1F" w:rsidRDefault="00D8574B">
        <w:pPr>
          <w:pStyle w:val="Footer"/>
          <w:jc w:val="center"/>
        </w:pPr>
        <w:r>
          <w:fldChar w:fldCharType="begin"/>
        </w:r>
        <w:r>
          <w:instrText xml:space="preserve"> PAGE   \* MERGEFORMAT </w:instrText>
        </w:r>
        <w:r>
          <w:fldChar w:fldCharType="separate"/>
        </w:r>
        <w:r w:rsidR="000C48A7">
          <w:rPr>
            <w:noProof/>
          </w:rPr>
          <w:t>53</w:t>
        </w:r>
        <w:r>
          <w:fldChar w:fldCharType="end"/>
        </w:r>
      </w:p>
    </w:sdtContent>
  </w:sdt>
  <w:p w14:paraId="3F45C853" w14:textId="77777777" w:rsidR="00776A1F" w:rsidRDefault="00776A1F">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0EAA" w14:textId="77777777" w:rsidR="00776A1F" w:rsidRDefault="00776A1F">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00FE" w14:textId="77777777" w:rsidR="00776A1F" w:rsidRDefault="00776A1F">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36114"/>
      <w:docPartObj>
        <w:docPartGallery w:val="Page Numbers (Bottom of Page)"/>
        <w:docPartUnique/>
      </w:docPartObj>
    </w:sdtPr>
    <w:sdtEndPr>
      <w:rPr>
        <w:noProof/>
      </w:rPr>
    </w:sdtEndPr>
    <w:sdtContent>
      <w:p w14:paraId="25167880" w14:textId="200F046C" w:rsidR="00776A1F" w:rsidRDefault="00D8574B">
        <w:pPr>
          <w:pStyle w:val="Footer"/>
          <w:jc w:val="center"/>
        </w:pPr>
        <w:r>
          <w:fldChar w:fldCharType="begin"/>
        </w:r>
        <w:r>
          <w:instrText xml:space="preserve"> PAGE   \* MERGEFORMAT </w:instrText>
        </w:r>
        <w:r>
          <w:fldChar w:fldCharType="separate"/>
        </w:r>
        <w:r w:rsidR="000C48A7">
          <w:rPr>
            <w:noProof/>
          </w:rPr>
          <w:t>62</w:t>
        </w:r>
        <w:r>
          <w:fldChar w:fldCharType="end"/>
        </w:r>
      </w:p>
    </w:sdtContent>
  </w:sdt>
  <w:p w14:paraId="4B6037DF" w14:textId="77777777" w:rsidR="00776A1F" w:rsidRDefault="00776A1F">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1D7A" w14:textId="77777777" w:rsidR="00776A1F" w:rsidRDefault="00776A1F">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43A7" w14:textId="77777777" w:rsidR="00776A1F" w:rsidRDefault="00776A1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07974"/>
      <w:docPartObj>
        <w:docPartGallery w:val="Page Numbers (Bottom of Page)"/>
        <w:docPartUnique/>
      </w:docPartObj>
    </w:sdtPr>
    <w:sdtEndPr>
      <w:rPr>
        <w:noProof/>
      </w:rPr>
    </w:sdtEndPr>
    <w:sdtContent>
      <w:p w14:paraId="1811EA1C" w14:textId="507C7BE1" w:rsidR="00776A1F" w:rsidRDefault="00D8574B">
        <w:pPr>
          <w:pStyle w:val="Footer"/>
          <w:jc w:val="center"/>
        </w:pPr>
        <w:r>
          <w:fldChar w:fldCharType="begin"/>
        </w:r>
        <w:r>
          <w:instrText xml:space="preserve"> PAGE   \* MERGEFORMAT </w:instrText>
        </w:r>
        <w:r>
          <w:fldChar w:fldCharType="separate"/>
        </w:r>
        <w:r w:rsidR="000C48A7">
          <w:rPr>
            <w:noProof/>
          </w:rPr>
          <w:t>71</w:t>
        </w:r>
        <w:r>
          <w:fldChar w:fldCharType="end"/>
        </w:r>
      </w:p>
    </w:sdtContent>
  </w:sdt>
  <w:p w14:paraId="01988643" w14:textId="77777777" w:rsidR="00776A1F" w:rsidRDefault="00776A1F">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4B48" w14:textId="77777777" w:rsidR="00776A1F" w:rsidRDefault="00776A1F">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73585" w14:textId="77777777" w:rsidR="00776A1F" w:rsidRDefault="00776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46073"/>
      <w:docPartObj>
        <w:docPartGallery w:val="Page Numbers (Bottom of Page)"/>
        <w:docPartUnique/>
      </w:docPartObj>
    </w:sdtPr>
    <w:sdtEndPr>
      <w:rPr>
        <w:noProof/>
      </w:rPr>
    </w:sdtEndPr>
    <w:sdtContent>
      <w:p w14:paraId="2AA68066" w14:textId="17F7840D" w:rsidR="00776A1F" w:rsidRDefault="00D8574B">
        <w:pPr>
          <w:pStyle w:val="Footer"/>
          <w:jc w:val="center"/>
        </w:pPr>
        <w:r>
          <w:fldChar w:fldCharType="begin"/>
        </w:r>
        <w:r>
          <w:instrText xml:space="preserve"> PAGE   \* MERGEFORMAT </w:instrText>
        </w:r>
        <w:r>
          <w:fldChar w:fldCharType="separate"/>
        </w:r>
        <w:r w:rsidR="00EE722F">
          <w:rPr>
            <w:noProof/>
          </w:rPr>
          <w:t>3</w:t>
        </w:r>
        <w:r>
          <w:fldChar w:fldCharType="end"/>
        </w:r>
      </w:p>
    </w:sdtContent>
  </w:sdt>
  <w:p w14:paraId="0DEA6884" w14:textId="77777777" w:rsidR="00776A1F" w:rsidRDefault="00776A1F">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01915"/>
      <w:docPartObj>
        <w:docPartGallery w:val="Page Numbers (Bottom of Page)"/>
        <w:docPartUnique/>
      </w:docPartObj>
    </w:sdtPr>
    <w:sdtEndPr>
      <w:rPr>
        <w:noProof/>
      </w:rPr>
    </w:sdtEndPr>
    <w:sdtContent>
      <w:p w14:paraId="7D3A79CE" w14:textId="38A0E57B" w:rsidR="00776A1F" w:rsidRDefault="00D8574B">
        <w:pPr>
          <w:pStyle w:val="Footer"/>
          <w:jc w:val="center"/>
        </w:pPr>
        <w:r>
          <w:fldChar w:fldCharType="begin"/>
        </w:r>
        <w:r>
          <w:instrText xml:space="preserve"> PAGE   \* MERGEFORMAT </w:instrText>
        </w:r>
        <w:r>
          <w:fldChar w:fldCharType="separate"/>
        </w:r>
        <w:r w:rsidR="000C48A7">
          <w:rPr>
            <w:noProof/>
          </w:rPr>
          <w:t>74</w:t>
        </w:r>
        <w:r>
          <w:fldChar w:fldCharType="end"/>
        </w:r>
      </w:p>
    </w:sdtContent>
  </w:sdt>
  <w:p w14:paraId="68DB9891" w14:textId="77777777" w:rsidR="00776A1F" w:rsidRDefault="00776A1F">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6A8D" w14:textId="77777777" w:rsidR="00776A1F" w:rsidRDefault="00776A1F">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2201" w14:textId="77777777" w:rsidR="00776A1F" w:rsidRDefault="00776A1F">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415558"/>
      <w:docPartObj>
        <w:docPartGallery w:val="Page Numbers (Bottom of Page)"/>
        <w:docPartUnique/>
      </w:docPartObj>
    </w:sdtPr>
    <w:sdtEndPr>
      <w:rPr>
        <w:noProof/>
      </w:rPr>
    </w:sdtEndPr>
    <w:sdtContent>
      <w:p w14:paraId="3C55196F" w14:textId="1197A677" w:rsidR="00776A1F" w:rsidRDefault="00D8574B">
        <w:pPr>
          <w:pStyle w:val="Footer"/>
          <w:jc w:val="center"/>
        </w:pPr>
        <w:r>
          <w:fldChar w:fldCharType="begin"/>
        </w:r>
        <w:r>
          <w:instrText xml:space="preserve"> PAGE   \* MERGEFORMAT </w:instrText>
        </w:r>
        <w:r>
          <w:fldChar w:fldCharType="separate"/>
        </w:r>
        <w:r w:rsidR="000C48A7">
          <w:rPr>
            <w:noProof/>
          </w:rPr>
          <w:t>79</w:t>
        </w:r>
        <w:r>
          <w:fldChar w:fldCharType="end"/>
        </w:r>
      </w:p>
    </w:sdtContent>
  </w:sdt>
  <w:p w14:paraId="008F913B" w14:textId="77777777" w:rsidR="00776A1F" w:rsidRDefault="00776A1F">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2109" w14:textId="77777777" w:rsidR="00776A1F" w:rsidRDefault="00776A1F">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1565" w14:textId="77777777" w:rsidR="00776A1F" w:rsidRDefault="00776A1F">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578241"/>
      <w:docPartObj>
        <w:docPartGallery w:val="Page Numbers (Bottom of Page)"/>
        <w:docPartUnique/>
      </w:docPartObj>
    </w:sdtPr>
    <w:sdtEndPr>
      <w:rPr>
        <w:noProof/>
      </w:rPr>
    </w:sdtEndPr>
    <w:sdtContent>
      <w:p w14:paraId="491E5022" w14:textId="2147692C" w:rsidR="00776A1F" w:rsidRDefault="00D8574B">
        <w:pPr>
          <w:pStyle w:val="Footer"/>
          <w:jc w:val="center"/>
        </w:pPr>
        <w:r>
          <w:fldChar w:fldCharType="begin"/>
        </w:r>
        <w:r>
          <w:instrText xml:space="preserve"> PAGE   \* MERGEFORMAT </w:instrText>
        </w:r>
        <w:r>
          <w:fldChar w:fldCharType="separate"/>
        </w:r>
        <w:r w:rsidR="000C48A7">
          <w:rPr>
            <w:noProof/>
          </w:rPr>
          <w:t>87</w:t>
        </w:r>
        <w:r>
          <w:fldChar w:fldCharType="end"/>
        </w:r>
      </w:p>
    </w:sdtContent>
  </w:sdt>
  <w:p w14:paraId="11540942" w14:textId="77777777" w:rsidR="00776A1F" w:rsidRDefault="00776A1F">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2774" w14:textId="77777777" w:rsidR="00776A1F" w:rsidRDefault="00776A1F">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3ED" w14:textId="77777777" w:rsidR="00776A1F" w:rsidRDefault="00776A1F">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12463"/>
      <w:docPartObj>
        <w:docPartGallery w:val="Page Numbers (Bottom of Page)"/>
        <w:docPartUnique/>
      </w:docPartObj>
    </w:sdtPr>
    <w:sdtEndPr>
      <w:rPr>
        <w:noProof/>
      </w:rPr>
    </w:sdtEndPr>
    <w:sdtContent>
      <w:p w14:paraId="553A0A03" w14:textId="72B80C02" w:rsidR="00776A1F" w:rsidRDefault="00D8574B">
        <w:pPr>
          <w:pStyle w:val="Footer"/>
          <w:jc w:val="center"/>
        </w:pPr>
        <w:r>
          <w:fldChar w:fldCharType="begin"/>
        </w:r>
        <w:r>
          <w:instrText xml:space="preserve"> PAGE   \* MERGEFORMAT </w:instrText>
        </w:r>
        <w:r>
          <w:fldChar w:fldCharType="separate"/>
        </w:r>
        <w:r w:rsidR="000C48A7">
          <w:rPr>
            <w:noProof/>
          </w:rPr>
          <w:t>93</w:t>
        </w:r>
        <w:r>
          <w:fldChar w:fldCharType="end"/>
        </w:r>
      </w:p>
    </w:sdtContent>
  </w:sdt>
  <w:p w14:paraId="423CC830" w14:textId="77777777" w:rsidR="00776A1F" w:rsidRDefault="00776A1F">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863A" w14:textId="77777777" w:rsidR="00776A1F" w:rsidRDefault="00776A1F">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3F60" w14:textId="77777777" w:rsidR="00776A1F" w:rsidRDefault="00776A1F">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2836" w14:textId="77777777" w:rsidR="00776A1F" w:rsidRDefault="00776A1F">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33270"/>
      <w:docPartObj>
        <w:docPartGallery w:val="Page Numbers (Bottom of Page)"/>
        <w:docPartUnique/>
      </w:docPartObj>
    </w:sdtPr>
    <w:sdtEndPr>
      <w:rPr>
        <w:noProof/>
      </w:rPr>
    </w:sdtEndPr>
    <w:sdtContent>
      <w:p w14:paraId="0F5CF51F" w14:textId="14CEFF13" w:rsidR="00776A1F" w:rsidRDefault="00D8574B">
        <w:pPr>
          <w:pStyle w:val="Footer"/>
          <w:jc w:val="center"/>
        </w:pPr>
        <w:r>
          <w:fldChar w:fldCharType="begin"/>
        </w:r>
        <w:r>
          <w:instrText xml:space="preserve"> PAGE   \* MERGEFORMAT </w:instrText>
        </w:r>
        <w:r>
          <w:fldChar w:fldCharType="separate"/>
        </w:r>
        <w:r w:rsidR="000C48A7">
          <w:rPr>
            <w:noProof/>
          </w:rPr>
          <w:t>94</w:t>
        </w:r>
        <w:r>
          <w:fldChar w:fldCharType="end"/>
        </w:r>
      </w:p>
    </w:sdtContent>
  </w:sdt>
  <w:p w14:paraId="4135D1FF" w14:textId="77777777" w:rsidR="00776A1F" w:rsidRDefault="00776A1F">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5A9E" w14:textId="77777777" w:rsidR="00776A1F" w:rsidRDefault="00776A1F">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CD2B" w14:textId="77777777" w:rsidR="00776A1F" w:rsidRDefault="00776A1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83907"/>
      <w:docPartObj>
        <w:docPartGallery w:val="Page Numbers (Bottom of Page)"/>
        <w:docPartUnique/>
      </w:docPartObj>
    </w:sdtPr>
    <w:sdtEndPr>
      <w:rPr>
        <w:noProof/>
      </w:rPr>
    </w:sdtEndPr>
    <w:sdtContent>
      <w:p w14:paraId="1E7DE44E" w14:textId="39B91D16" w:rsidR="00776A1F" w:rsidRDefault="00D8574B">
        <w:pPr>
          <w:pStyle w:val="Footer"/>
          <w:jc w:val="center"/>
        </w:pPr>
        <w:r>
          <w:fldChar w:fldCharType="begin"/>
        </w:r>
        <w:r>
          <w:instrText xml:space="preserve"> PAGE   \* MERGEFORMAT </w:instrText>
        </w:r>
        <w:r>
          <w:fldChar w:fldCharType="separate"/>
        </w:r>
        <w:r w:rsidR="000C48A7">
          <w:rPr>
            <w:noProof/>
          </w:rPr>
          <w:t>95</w:t>
        </w:r>
        <w:r>
          <w:fldChar w:fldCharType="end"/>
        </w:r>
      </w:p>
    </w:sdtContent>
  </w:sdt>
  <w:p w14:paraId="368A7015" w14:textId="77777777" w:rsidR="00776A1F" w:rsidRDefault="00776A1F">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2D1F" w14:textId="77777777" w:rsidR="00776A1F" w:rsidRDefault="00776A1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DB6A" w14:textId="77777777" w:rsidR="00776A1F" w:rsidRDefault="00776A1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4488"/>
      <w:docPartObj>
        <w:docPartGallery w:val="Page Numbers (Bottom of Page)"/>
        <w:docPartUnique/>
      </w:docPartObj>
    </w:sdtPr>
    <w:sdtEndPr>
      <w:rPr>
        <w:noProof/>
      </w:rPr>
    </w:sdtEndPr>
    <w:sdtContent>
      <w:p w14:paraId="26B90A8C" w14:textId="41882149" w:rsidR="00776A1F" w:rsidRDefault="00D8574B">
        <w:pPr>
          <w:pStyle w:val="Footer"/>
          <w:jc w:val="center"/>
        </w:pPr>
        <w:r>
          <w:fldChar w:fldCharType="begin"/>
        </w:r>
        <w:r>
          <w:instrText xml:space="preserve"> PAGE   \* MERGEFORMAT </w:instrText>
        </w:r>
        <w:r>
          <w:fldChar w:fldCharType="separate"/>
        </w:r>
        <w:r w:rsidR="000C48A7">
          <w:rPr>
            <w:noProof/>
          </w:rPr>
          <w:t>98</w:t>
        </w:r>
        <w:r>
          <w:fldChar w:fldCharType="end"/>
        </w:r>
      </w:p>
    </w:sdtContent>
  </w:sdt>
  <w:p w14:paraId="22113364" w14:textId="77777777" w:rsidR="00776A1F" w:rsidRDefault="00776A1F">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D2FD" w14:textId="77777777" w:rsidR="00776A1F" w:rsidRDefault="00776A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0481" w14:textId="77777777" w:rsidR="00EC6A5B" w:rsidRDefault="00EC6A5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96EC" w14:textId="77777777" w:rsidR="00776A1F" w:rsidRDefault="00776A1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375543"/>
      <w:docPartObj>
        <w:docPartGallery w:val="Page Numbers (Bottom of Page)"/>
        <w:docPartUnique/>
      </w:docPartObj>
    </w:sdtPr>
    <w:sdtEndPr>
      <w:rPr>
        <w:noProof/>
      </w:rPr>
    </w:sdtEndPr>
    <w:sdtContent>
      <w:p w14:paraId="20D54BE6" w14:textId="2D2E5D30" w:rsidR="00776A1F" w:rsidRDefault="00D8574B">
        <w:pPr>
          <w:pStyle w:val="Footer"/>
          <w:jc w:val="center"/>
        </w:pPr>
        <w:r>
          <w:fldChar w:fldCharType="begin"/>
        </w:r>
        <w:r>
          <w:instrText xml:space="preserve"> PAGE   \* MERGEFORMAT </w:instrText>
        </w:r>
        <w:r>
          <w:fldChar w:fldCharType="separate"/>
        </w:r>
        <w:r w:rsidR="000C48A7">
          <w:rPr>
            <w:noProof/>
          </w:rPr>
          <w:t>100</w:t>
        </w:r>
        <w:r>
          <w:fldChar w:fldCharType="end"/>
        </w:r>
      </w:p>
    </w:sdtContent>
  </w:sdt>
  <w:p w14:paraId="20347BDD" w14:textId="77777777" w:rsidR="00776A1F" w:rsidRDefault="00776A1F">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22CD" w14:textId="77777777" w:rsidR="00776A1F" w:rsidRDefault="00776A1F">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697E" w14:textId="77777777" w:rsidR="00776A1F" w:rsidRDefault="00776A1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92075"/>
      <w:docPartObj>
        <w:docPartGallery w:val="Page Numbers (Bottom of Page)"/>
        <w:docPartUnique/>
      </w:docPartObj>
    </w:sdtPr>
    <w:sdtEndPr>
      <w:rPr>
        <w:noProof/>
      </w:rPr>
    </w:sdtEndPr>
    <w:sdtContent>
      <w:p w14:paraId="27D12E9D" w14:textId="6CACC2EA" w:rsidR="00776A1F" w:rsidRDefault="00D8574B">
        <w:pPr>
          <w:pStyle w:val="Footer"/>
          <w:jc w:val="center"/>
        </w:pPr>
        <w:r>
          <w:fldChar w:fldCharType="begin"/>
        </w:r>
        <w:r>
          <w:instrText xml:space="preserve"> PAGE   \* MERGEFORMAT </w:instrText>
        </w:r>
        <w:r>
          <w:fldChar w:fldCharType="separate"/>
        </w:r>
        <w:r w:rsidR="000C48A7">
          <w:rPr>
            <w:noProof/>
          </w:rPr>
          <w:t>102</w:t>
        </w:r>
        <w:r>
          <w:fldChar w:fldCharType="end"/>
        </w:r>
      </w:p>
    </w:sdtContent>
  </w:sdt>
  <w:p w14:paraId="6CA32D1F" w14:textId="77777777" w:rsidR="00776A1F" w:rsidRDefault="00776A1F">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6821" w14:textId="77777777" w:rsidR="00776A1F" w:rsidRDefault="00776A1F">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7E8F" w14:textId="77777777" w:rsidR="00776A1F" w:rsidRDefault="00776A1F">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046173"/>
      <w:docPartObj>
        <w:docPartGallery w:val="Page Numbers (Bottom of Page)"/>
        <w:docPartUnique/>
      </w:docPartObj>
    </w:sdtPr>
    <w:sdtEndPr>
      <w:rPr>
        <w:noProof/>
      </w:rPr>
    </w:sdtEndPr>
    <w:sdtContent>
      <w:p w14:paraId="7812839D" w14:textId="62605633" w:rsidR="00776A1F" w:rsidRDefault="00D8574B">
        <w:pPr>
          <w:pStyle w:val="Footer"/>
          <w:jc w:val="center"/>
        </w:pPr>
        <w:r>
          <w:fldChar w:fldCharType="begin"/>
        </w:r>
        <w:r>
          <w:instrText xml:space="preserve"> PAGE   \* MERGEFORMAT </w:instrText>
        </w:r>
        <w:r>
          <w:fldChar w:fldCharType="separate"/>
        </w:r>
        <w:r w:rsidR="000C48A7">
          <w:rPr>
            <w:noProof/>
          </w:rPr>
          <w:t>103</w:t>
        </w:r>
        <w:r>
          <w:fldChar w:fldCharType="end"/>
        </w:r>
      </w:p>
    </w:sdtContent>
  </w:sdt>
  <w:p w14:paraId="00134FDC" w14:textId="77777777" w:rsidR="00776A1F" w:rsidRDefault="00776A1F">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D1FF" w14:textId="77777777" w:rsidR="00776A1F" w:rsidRDefault="00776A1F">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67FC" w14:textId="77777777" w:rsidR="00776A1F" w:rsidRDefault="00776A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302077"/>
      <w:docPartObj>
        <w:docPartGallery w:val="Page Numbers (Bottom of Page)"/>
        <w:docPartUnique/>
      </w:docPartObj>
    </w:sdtPr>
    <w:sdtEndPr>
      <w:rPr>
        <w:noProof/>
      </w:rPr>
    </w:sdtEndPr>
    <w:sdtContent>
      <w:p w14:paraId="37821E57" w14:textId="38A24831" w:rsidR="00EC6A5B" w:rsidRDefault="00EC6A5B">
        <w:pPr>
          <w:pStyle w:val="Footer"/>
          <w:jc w:val="center"/>
        </w:pPr>
        <w:r>
          <w:fldChar w:fldCharType="begin"/>
        </w:r>
        <w:r>
          <w:instrText xml:space="preserve"> PAGE   \* MERGEFORMAT </w:instrText>
        </w:r>
        <w:r>
          <w:fldChar w:fldCharType="separate"/>
        </w:r>
        <w:r w:rsidR="00EE722F">
          <w:rPr>
            <w:noProof/>
          </w:rPr>
          <w:t>7</w:t>
        </w:r>
        <w:r>
          <w:fldChar w:fldCharType="end"/>
        </w:r>
      </w:p>
    </w:sdtContent>
  </w:sdt>
  <w:p w14:paraId="15D2BB49" w14:textId="77777777" w:rsidR="00EC6A5B" w:rsidRDefault="00EC6A5B">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50081"/>
      <w:docPartObj>
        <w:docPartGallery w:val="Page Numbers (Bottom of Page)"/>
        <w:docPartUnique/>
      </w:docPartObj>
    </w:sdtPr>
    <w:sdtEndPr>
      <w:rPr>
        <w:noProof/>
      </w:rPr>
    </w:sdtEndPr>
    <w:sdtContent>
      <w:p w14:paraId="171ABC93" w14:textId="46C8A8E2" w:rsidR="00776A1F" w:rsidRDefault="00D8574B">
        <w:pPr>
          <w:pStyle w:val="Footer"/>
          <w:jc w:val="center"/>
        </w:pPr>
        <w:r>
          <w:fldChar w:fldCharType="begin"/>
        </w:r>
        <w:r>
          <w:instrText xml:space="preserve"> PAGE   \* MERGEFORMAT </w:instrText>
        </w:r>
        <w:r>
          <w:fldChar w:fldCharType="separate"/>
        </w:r>
        <w:r w:rsidR="000C48A7">
          <w:rPr>
            <w:noProof/>
          </w:rPr>
          <w:t>104</w:t>
        </w:r>
        <w:r>
          <w:fldChar w:fldCharType="end"/>
        </w:r>
      </w:p>
    </w:sdtContent>
  </w:sdt>
  <w:p w14:paraId="75AA0CD7" w14:textId="77777777" w:rsidR="00776A1F" w:rsidRDefault="00776A1F">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2D4F" w14:textId="77777777" w:rsidR="00776A1F" w:rsidRDefault="00776A1F">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F74F" w14:textId="77777777" w:rsidR="00776A1F" w:rsidRDefault="00776A1F">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917768"/>
      <w:docPartObj>
        <w:docPartGallery w:val="Page Numbers (Bottom of Page)"/>
        <w:docPartUnique/>
      </w:docPartObj>
    </w:sdtPr>
    <w:sdtEndPr>
      <w:rPr>
        <w:noProof/>
      </w:rPr>
    </w:sdtEndPr>
    <w:sdtContent>
      <w:p w14:paraId="5DEDEBC3" w14:textId="0870A1C4" w:rsidR="00776A1F" w:rsidRDefault="00D8574B">
        <w:pPr>
          <w:pStyle w:val="Footer"/>
          <w:jc w:val="center"/>
        </w:pPr>
        <w:r>
          <w:fldChar w:fldCharType="begin"/>
        </w:r>
        <w:r>
          <w:instrText xml:space="preserve"> PAGE   \* MERGEFORMAT </w:instrText>
        </w:r>
        <w:r>
          <w:fldChar w:fldCharType="separate"/>
        </w:r>
        <w:r w:rsidR="00EC6A5B">
          <w:rPr>
            <w:noProof/>
          </w:rPr>
          <w:t>113</w:t>
        </w:r>
        <w:r>
          <w:fldChar w:fldCharType="end"/>
        </w:r>
      </w:p>
    </w:sdtContent>
  </w:sdt>
  <w:p w14:paraId="657ED285" w14:textId="77777777" w:rsidR="00776A1F" w:rsidRDefault="00776A1F">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A91C" w14:textId="77777777" w:rsidR="00776A1F" w:rsidRDefault="00776A1F">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FFA4" w14:textId="77777777" w:rsidR="00776A1F" w:rsidRDefault="00776A1F">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580077"/>
      <w:docPartObj>
        <w:docPartGallery w:val="Page Numbers (Bottom of Page)"/>
        <w:docPartUnique/>
      </w:docPartObj>
    </w:sdtPr>
    <w:sdtEndPr>
      <w:rPr>
        <w:noProof/>
      </w:rPr>
    </w:sdtEndPr>
    <w:sdtContent>
      <w:p w14:paraId="38B617B1" w14:textId="6F3AB91F" w:rsidR="00776A1F" w:rsidRDefault="00D8574B">
        <w:pPr>
          <w:pStyle w:val="Footer"/>
          <w:jc w:val="center"/>
        </w:pPr>
        <w:r>
          <w:fldChar w:fldCharType="begin"/>
        </w:r>
        <w:r>
          <w:instrText xml:space="preserve"> PAGE   \* MERGEFORMAT </w:instrText>
        </w:r>
        <w:r>
          <w:fldChar w:fldCharType="separate"/>
        </w:r>
        <w:r w:rsidR="00EC6A5B">
          <w:rPr>
            <w:noProof/>
          </w:rPr>
          <w:t>116</w:t>
        </w:r>
        <w:r>
          <w:fldChar w:fldCharType="end"/>
        </w:r>
      </w:p>
    </w:sdtContent>
  </w:sdt>
  <w:p w14:paraId="40204AFC" w14:textId="77777777" w:rsidR="00776A1F" w:rsidRDefault="00776A1F">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680E" w14:textId="77777777" w:rsidR="00776A1F" w:rsidRDefault="00776A1F">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ED65" w14:textId="77777777" w:rsidR="00776A1F" w:rsidRDefault="00776A1F">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825800"/>
      <w:docPartObj>
        <w:docPartGallery w:val="Page Numbers (Bottom of Page)"/>
        <w:docPartUnique/>
      </w:docPartObj>
    </w:sdtPr>
    <w:sdtEndPr>
      <w:rPr>
        <w:noProof/>
      </w:rPr>
    </w:sdtEndPr>
    <w:sdtContent>
      <w:p w14:paraId="16F8FF98" w14:textId="60E38251" w:rsidR="00776A1F" w:rsidRDefault="00D8574B">
        <w:pPr>
          <w:pStyle w:val="Footer"/>
          <w:jc w:val="center"/>
        </w:pPr>
        <w:r>
          <w:fldChar w:fldCharType="begin"/>
        </w:r>
        <w:r>
          <w:instrText xml:space="preserve"> PAGE   \* MERGEFORMAT </w:instrText>
        </w:r>
        <w:r>
          <w:fldChar w:fldCharType="separate"/>
        </w:r>
        <w:r w:rsidR="00EC6A5B">
          <w:rPr>
            <w:noProof/>
          </w:rPr>
          <w:t>119</w:t>
        </w:r>
        <w:r>
          <w:fldChar w:fldCharType="end"/>
        </w:r>
      </w:p>
    </w:sdtContent>
  </w:sdt>
  <w:p w14:paraId="612C7217" w14:textId="77777777" w:rsidR="00776A1F" w:rsidRDefault="00776A1F">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CE1A" w14:textId="77777777" w:rsidR="00EC6A5B" w:rsidRDefault="00EC6A5B">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ABC1" w14:textId="77777777" w:rsidR="00776A1F" w:rsidRDefault="00776A1F">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B419F" w14:textId="77777777" w:rsidR="00EC6A5B" w:rsidRDefault="00EC6A5B">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319443"/>
      <w:docPartObj>
        <w:docPartGallery w:val="Page Numbers (Bottom of Page)"/>
        <w:docPartUnique/>
      </w:docPartObj>
    </w:sdtPr>
    <w:sdtEndPr>
      <w:rPr>
        <w:noProof/>
      </w:rPr>
    </w:sdtEndPr>
    <w:sdtContent>
      <w:p w14:paraId="0080DDDC" w14:textId="2EDA96DC" w:rsidR="00EC6A5B" w:rsidRDefault="00EC6A5B">
        <w:pPr>
          <w:pStyle w:val="Footer"/>
          <w:jc w:val="center"/>
        </w:pPr>
        <w:r>
          <w:fldChar w:fldCharType="begin"/>
        </w:r>
        <w:r>
          <w:instrText xml:space="preserve"> PAGE   \* MERGEFORMAT </w:instrText>
        </w:r>
        <w:r>
          <w:fldChar w:fldCharType="separate"/>
        </w:r>
        <w:r>
          <w:rPr>
            <w:noProof/>
          </w:rPr>
          <w:t>120</w:t>
        </w:r>
        <w:r>
          <w:fldChar w:fldCharType="end"/>
        </w:r>
      </w:p>
    </w:sdtContent>
  </w:sdt>
  <w:p w14:paraId="6ACBFBD0" w14:textId="77777777" w:rsidR="00EC6A5B" w:rsidRDefault="00EC6A5B">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4FC1" w14:textId="77777777" w:rsidR="00EC6A5B" w:rsidRDefault="00EC6A5B">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0D0E" w14:textId="77777777" w:rsidR="00EC6A5B" w:rsidRDefault="00EC6A5B">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778173"/>
      <w:docPartObj>
        <w:docPartGallery w:val="Page Numbers (Bottom of Page)"/>
        <w:docPartUnique/>
      </w:docPartObj>
    </w:sdtPr>
    <w:sdtEndPr>
      <w:rPr>
        <w:noProof/>
      </w:rPr>
    </w:sdtEndPr>
    <w:sdtContent>
      <w:p w14:paraId="2895EC19" w14:textId="31AB6339" w:rsidR="00EC6A5B" w:rsidRDefault="00EC6A5B">
        <w:pPr>
          <w:pStyle w:val="Footer"/>
          <w:jc w:val="center"/>
        </w:pPr>
        <w:r>
          <w:fldChar w:fldCharType="begin"/>
        </w:r>
        <w:r>
          <w:instrText xml:space="preserve"> PAGE   \* MERGEFORMAT </w:instrText>
        </w:r>
        <w:r>
          <w:fldChar w:fldCharType="separate"/>
        </w:r>
        <w:r>
          <w:rPr>
            <w:noProof/>
          </w:rPr>
          <w:t>121</w:t>
        </w:r>
        <w:r>
          <w:fldChar w:fldCharType="end"/>
        </w:r>
      </w:p>
    </w:sdtContent>
  </w:sdt>
  <w:p w14:paraId="1A8F408B" w14:textId="77777777" w:rsidR="00EC6A5B" w:rsidRDefault="00EC6A5B">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2F6D" w14:textId="77777777" w:rsidR="00EC6A5B" w:rsidRDefault="00EC6A5B">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D914" w14:textId="77777777" w:rsidR="00EC6A5B" w:rsidRDefault="00EC6A5B">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23673"/>
      <w:docPartObj>
        <w:docPartGallery w:val="Page Numbers (Bottom of Page)"/>
        <w:docPartUnique/>
      </w:docPartObj>
    </w:sdtPr>
    <w:sdtEndPr>
      <w:rPr>
        <w:noProof/>
      </w:rPr>
    </w:sdtEndPr>
    <w:sdtContent>
      <w:p w14:paraId="3012B0F7" w14:textId="0D34992C" w:rsidR="00EC6A5B" w:rsidRDefault="00EC6A5B">
        <w:pPr>
          <w:pStyle w:val="Footer"/>
          <w:jc w:val="center"/>
        </w:pPr>
        <w:r>
          <w:fldChar w:fldCharType="begin"/>
        </w:r>
        <w:r>
          <w:instrText xml:space="preserve"> PAGE   \* MERGEFORMAT </w:instrText>
        </w:r>
        <w:r>
          <w:fldChar w:fldCharType="separate"/>
        </w:r>
        <w:r>
          <w:rPr>
            <w:noProof/>
          </w:rPr>
          <w:t>122</w:t>
        </w:r>
        <w:r>
          <w:fldChar w:fldCharType="end"/>
        </w:r>
      </w:p>
    </w:sdtContent>
  </w:sdt>
  <w:p w14:paraId="581BADA6" w14:textId="77777777" w:rsidR="00EC6A5B" w:rsidRDefault="00EC6A5B">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9183" w14:textId="77777777" w:rsidR="00EC6A5B" w:rsidRDefault="00EC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B0077" w14:textId="77777777" w:rsidR="00D8574B" w:rsidRDefault="00D8574B">
      <w:pPr>
        <w:spacing w:after="0" w:line="240" w:lineRule="auto"/>
      </w:pPr>
      <w:r>
        <w:separator/>
      </w:r>
    </w:p>
  </w:footnote>
  <w:footnote w:type="continuationSeparator" w:id="0">
    <w:p w14:paraId="0791906F" w14:textId="77777777" w:rsidR="00D8574B" w:rsidRDefault="00D8574B">
      <w:pPr>
        <w:spacing w:after="0" w:line="240" w:lineRule="auto"/>
      </w:pPr>
      <w:r>
        <w:continuationSeparator/>
      </w:r>
    </w:p>
  </w:footnote>
  <w:footnote w:type="continuationNotice" w:id="1">
    <w:p w14:paraId="27AC9F6A" w14:textId="77777777" w:rsidR="00D8574B" w:rsidRDefault="00D8574B">
      <w:pPr>
        <w:spacing w:after="0" w:line="240" w:lineRule="auto"/>
      </w:pPr>
    </w:p>
  </w:footnote>
  <w:footnote w:id="2">
    <w:p w14:paraId="4F724CD0" w14:textId="77777777" w:rsidR="00776A1F" w:rsidRDefault="00D8574B">
      <w:pPr>
        <w:pStyle w:val="FootnoteText"/>
        <w:ind w:left="709" w:hanging="709"/>
      </w:pPr>
      <w:r>
        <w:rPr>
          <w:rStyle w:val="FootnoteReference"/>
        </w:rPr>
        <w:footnoteRef/>
      </w:r>
      <w:r>
        <w:t xml:space="preserve"> </w:t>
      </w:r>
      <w:hyperlink r:id="rId1" w:history="1">
        <w:r>
          <w:rPr>
            <w:rStyle w:val="Hyperlink"/>
          </w:rPr>
          <w:t>https://www.un.org/development/desa/disabilities/convention-on-the-rights-of-persons-with-disabilities.html</w:t>
        </w:r>
      </w:hyperlink>
      <w:r>
        <w:t xml:space="preserve">.    </w:t>
      </w:r>
    </w:p>
  </w:footnote>
  <w:footnote w:id="3">
    <w:p w14:paraId="6EF9B016" w14:textId="77777777" w:rsidR="00776A1F" w:rsidRDefault="00D8574B">
      <w:pPr>
        <w:pStyle w:val="FootnoteText"/>
        <w:ind w:left="709" w:hanging="709"/>
      </w:pPr>
      <w:r>
        <w:rPr>
          <w:rStyle w:val="FootnoteReference"/>
        </w:rPr>
        <w:footnoteRef/>
      </w:r>
      <w:r>
        <w:t xml:space="preserve"> </w:t>
      </w:r>
      <w:hyperlink r:id="rId2" w:history="1">
        <w:r>
          <w:rPr>
            <w:rStyle w:val="Hyperlink"/>
          </w:rPr>
          <w:t>https://ec.europa.eu/social/main.jsp?catId=738&amp;langId=en&amp;pubId=8376&amp;furtherPubs=yes</w:t>
        </w:r>
      </w:hyperlink>
      <w:r>
        <w:t xml:space="preserve"> </w:t>
      </w:r>
    </w:p>
  </w:footnote>
  <w:footnote w:id="4">
    <w:p w14:paraId="7BE524BD" w14:textId="77777777" w:rsidR="00776A1F" w:rsidRDefault="00D8574B">
      <w:pPr>
        <w:pStyle w:val="FootnoteText"/>
        <w:ind w:left="709" w:hanging="709"/>
      </w:pPr>
      <w:r>
        <w:rPr>
          <w:rStyle w:val="FootnoteReference"/>
        </w:rPr>
        <w:footnoteRef/>
      </w:r>
      <w:r>
        <w:t xml:space="preserve"> </w:t>
      </w:r>
      <w:hyperlink r:id="rId3" w:history="1">
        <w:r>
          <w:rPr>
            <w:rStyle w:val="Hyperlink"/>
          </w:rPr>
          <w:t>https://ec.europa.eu/info/sites/default/files/1_en_act_part1_v8_0.pdf</w:t>
        </w:r>
      </w:hyperlink>
      <w:r>
        <w:t xml:space="preserve"> </w:t>
      </w:r>
    </w:p>
  </w:footnote>
  <w:footnote w:id="5">
    <w:p w14:paraId="20BF6478" w14:textId="77777777" w:rsidR="00776A1F" w:rsidRDefault="00D8574B">
      <w:pPr>
        <w:pStyle w:val="FootnoteText"/>
        <w:ind w:left="709" w:hanging="709"/>
      </w:pPr>
      <w:r>
        <w:rPr>
          <w:rStyle w:val="FootnoteReference"/>
        </w:rPr>
        <w:footnoteRef/>
      </w:r>
      <w:r>
        <w:t xml:space="preserve"> </w:t>
      </w:r>
      <w:hyperlink r:id="rId4" w:history="1">
        <w:r>
          <w:rPr>
            <w:rStyle w:val="Hyperlink"/>
          </w:rPr>
          <w:t>https://www.un.org/development/desa/disabilities/convention-on-the-rights-of-persons-with-disabilities.html</w:t>
        </w:r>
      </w:hyperlink>
      <w:r>
        <w:t xml:space="preserve">.    </w:t>
      </w:r>
    </w:p>
  </w:footnote>
  <w:footnote w:id="6">
    <w:p w14:paraId="697E022B" w14:textId="77777777" w:rsidR="00776A1F" w:rsidRDefault="00D8574B">
      <w:pPr>
        <w:pStyle w:val="FootnoteText"/>
        <w:ind w:left="709" w:hanging="709"/>
      </w:pPr>
      <w:r>
        <w:rPr>
          <w:rStyle w:val="FootnoteReference"/>
        </w:rPr>
        <w:footnoteRef/>
      </w:r>
      <w:r>
        <w:t xml:space="preserve"> </w:t>
      </w:r>
      <w:hyperlink r:id="rId5" w:history="1">
        <w:r>
          <w:rPr>
            <w:rStyle w:val="Hyperlink"/>
          </w:rPr>
          <w:t>https://ec.europa.eu/social/main.jsp?catId=738&amp;langId=en&amp;pubId=8376&amp;furtherPubs=yes</w:t>
        </w:r>
      </w:hyperlink>
      <w:r>
        <w:t xml:space="preserve"> </w:t>
      </w:r>
    </w:p>
  </w:footnote>
  <w:footnote w:id="7">
    <w:p w14:paraId="22261CC4" w14:textId="77777777" w:rsidR="00776A1F" w:rsidRDefault="00D8574B">
      <w:pPr>
        <w:pStyle w:val="FootnoteText"/>
        <w:ind w:left="709" w:hanging="709"/>
      </w:pPr>
      <w: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8">
    <w:p w14:paraId="2B2A4952" w14:textId="77777777" w:rsidR="00776A1F" w:rsidRDefault="00D8574B">
      <w:pPr>
        <w:pStyle w:val="FootnoteText"/>
        <w:ind w:left="709" w:hanging="709"/>
      </w:pPr>
      <w: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9">
    <w:p w14:paraId="104B9886" w14:textId="77777777" w:rsidR="00776A1F" w:rsidRDefault="00D8574B">
      <w:pPr>
        <w:pStyle w:val="FootnoteText"/>
        <w:ind w:left="709" w:hanging="709"/>
      </w:pPr>
      <w: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10">
    <w:p w14:paraId="3F26F5F7" w14:textId="77777777" w:rsidR="00776A1F" w:rsidRDefault="00D8574B">
      <w:pPr>
        <w:pStyle w:val="FootnoteText"/>
        <w:ind w:left="709" w:hanging="709"/>
      </w:pPr>
      <w: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11">
    <w:p w14:paraId="54B6E1CA" w14:textId="77777777" w:rsidR="00776A1F" w:rsidRDefault="00D8574B">
      <w:pPr>
        <w:pStyle w:val="FootnoteText"/>
        <w:ind w:left="709" w:hanging="709"/>
      </w:pPr>
      <w: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12">
    <w:p w14:paraId="0700F327" w14:textId="77777777" w:rsidR="00776A1F" w:rsidRDefault="00D8574B">
      <w:pPr>
        <w:pStyle w:val="FootnoteText"/>
        <w:ind w:left="709" w:hanging="709"/>
      </w:pPr>
      <w: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13">
    <w:p w14:paraId="4A7CE0CE"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14">
    <w:p w14:paraId="33C91D2C" w14:textId="77777777" w:rsidR="00776A1F" w:rsidRDefault="00D8574B">
      <w:pPr>
        <w:pStyle w:val="FootnoteText"/>
        <w:ind w:left="709" w:hanging="709"/>
      </w:pPr>
      <w: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15">
    <w:p w14:paraId="4570EEC3"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16">
    <w:p w14:paraId="18847726"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17">
    <w:p w14:paraId="2CDBAB26" w14:textId="77777777" w:rsidR="00776A1F" w:rsidRDefault="00D8574B">
      <w:pPr>
        <w:spacing w:after="0" w:line="240" w:lineRule="auto"/>
        <w:ind w:left="709" w:hanging="709"/>
        <w:jc w:val="both"/>
        <w:rPr>
          <w:rFonts w:ascii="Times New Roman" w:eastAsiaTheme="minorEastAsia"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18">
    <w:p w14:paraId="02418914"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19">
    <w:p w14:paraId="2734878E"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20">
    <w:p w14:paraId="25410A69"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21">
    <w:p w14:paraId="4B3934FC" w14:textId="77777777" w:rsidR="00776A1F" w:rsidRDefault="00D8574B">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22">
    <w:p w14:paraId="6CB29564"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23">
    <w:p w14:paraId="1A1A021C"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24">
    <w:p w14:paraId="72CFAB7C"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25">
    <w:p w14:paraId="23F2A08C" w14:textId="77777777" w:rsidR="00776A1F" w:rsidRDefault="00D8574B">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26">
    <w:p w14:paraId="2E05CEF0"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27">
    <w:p w14:paraId="2FE089E1"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28">
    <w:p w14:paraId="54165B86"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29">
    <w:p w14:paraId="78C1F4E6" w14:textId="77777777" w:rsidR="00776A1F" w:rsidRDefault="00D8574B">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30">
    <w:p w14:paraId="43DD17DC"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31">
    <w:p w14:paraId="27354B64" w14:textId="77777777" w:rsidR="00776A1F" w:rsidRDefault="00D8574B">
      <w:pPr>
        <w:pStyle w:val="FootnoteText"/>
      </w:pPr>
      <w:r>
        <w:rPr>
          <w:rStyle w:val="FootnoteReference"/>
        </w:rPr>
        <w:footnoteRef/>
      </w:r>
      <w:r>
        <w:t xml:space="preserve"> 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 </w:t>
      </w:r>
    </w:p>
  </w:footnote>
  <w:footnote w:id="32">
    <w:p w14:paraId="4299F52C" w14:textId="77777777" w:rsidR="00776A1F" w:rsidRDefault="00D8574B">
      <w:pPr>
        <w:pStyle w:val="FootnoteText"/>
      </w:pPr>
      <w:r>
        <w:rPr>
          <w:rStyle w:val="FootnoteReference"/>
        </w:rPr>
        <w:footnoteRef/>
      </w:r>
      <w:r>
        <w:t xml:space="preserve"> Ja atbalstītā darbība sasniedz prognozētās siltumnīcefekta gāzu emisijas, kas nav ievērojami zemākas par attiecīgajām līmeņatzīmēm, sniedz paskaidrojumu par iemesliem, kāpēc tas nav iespējams. Līmeņatzīmes, kas noteiktas bezmaksas kvotu piešķiršanai darbībām, kuras ietilpst emisijas kvotu tirdzniecības sistēmas darbības jomā, kā noteikts Komisijas Īstenošanas regulā (ES) 2021/447. </w:t>
      </w:r>
    </w:p>
  </w:footnote>
  <w:footnote w:id="33">
    <w:p w14:paraId="275F7B84" w14:textId="77777777" w:rsidR="00776A1F" w:rsidRDefault="00D8574B">
      <w:pPr>
        <w:pStyle w:val="FootnoteText"/>
      </w:pPr>
      <w:r>
        <w:rPr>
          <w:rStyle w:val="FootnoteReference"/>
        </w:rPr>
        <w:footnoteRef/>
      </w:r>
      <w:r>
        <w:t xml:space="preserve"> 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 </w:t>
      </w:r>
    </w:p>
  </w:footnote>
  <w:footnote w:id="34">
    <w:p w14:paraId="15124B53" w14:textId="77777777" w:rsidR="00776A1F" w:rsidRDefault="00D8574B">
      <w:pPr>
        <w:pStyle w:val="FootnoteText"/>
      </w:pPr>
      <w:r>
        <w:rPr>
          <w:rStyle w:val="FootnoteReference"/>
        </w:rPr>
        <w:footnoteRef/>
      </w:r>
      <w:r>
        <w:t xml:space="preserve">  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 </w:t>
      </w:r>
    </w:p>
  </w:footnote>
  <w:footnote w:id="35">
    <w:p w14:paraId="13E939F4" w14:textId="77777777" w:rsidR="00776A1F" w:rsidRDefault="00D8574B">
      <w:pPr>
        <w:pStyle w:val="FootnoteText"/>
        <w:spacing w:line="240" w:lineRule="auto"/>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36">
    <w:p w14:paraId="7560EFBF" w14:textId="77777777" w:rsidR="00776A1F" w:rsidRDefault="00D8574B">
      <w:pPr>
        <w:pStyle w:val="FootnoteText"/>
        <w:spacing w:line="240" w:lineRule="auto"/>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37">
    <w:p w14:paraId="22DA75BD" w14:textId="77777777" w:rsidR="00776A1F" w:rsidRDefault="00D8574B">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38">
    <w:p w14:paraId="31E3972C" w14:textId="77777777" w:rsidR="00776A1F" w:rsidRDefault="00D8574B">
      <w:pPr>
        <w:pStyle w:val="FootnoteText"/>
        <w:spacing w:line="240" w:lineRule="auto"/>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39">
    <w:p w14:paraId="032B3FB7" w14:textId="017008BD" w:rsidR="00776A1F" w:rsidRDefault="00D8574B">
      <w:pPr>
        <w:pStyle w:val="FootnoteText"/>
        <w:ind w:left="709" w:hanging="709"/>
      </w:pPr>
      <w:r>
        <w:rPr>
          <w:rStyle w:val="FootnoteReference"/>
        </w:rPr>
        <w:footnoteRef/>
      </w:r>
      <w:r>
        <w:t xml:space="preserve"> </w:t>
      </w:r>
      <w:r>
        <w:tab/>
        <w:t xml:space="preserve">Decreto Regulamentar n.° 9-A/2017: </w:t>
      </w:r>
      <w:hyperlink r:id="rId6" w:history="1">
        <w:r>
          <w:rPr>
            <w:rStyle w:val="Hyperlink"/>
          </w:rPr>
          <w:t>https://dre.pt/application/conteudo/114152782</w:t>
        </w:r>
      </w:hyperlink>
      <w:r>
        <w:t xml:space="preserve">  </w:t>
      </w:r>
    </w:p>
  </w:footnote>
  <w:footnote w:id="40">
    <w:p w14:paraId="0D885102" w14:textId="77777777" w:rsidR="00776A1F" w:rsidRDefault="00D8574B">
      <w:pPr>
        <w:pStyle w:val="FootnoteText"/>
        <w:spacing w:line="240" w:lineRule="auto"/>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41">
    <w:p w14:paraId="41986EED" w14:textId="77777777" w:rsidR="00776A1F" w:rsidRDefault="00D8574B">
      <w:pPr>
        <w:pStyle w:val="FootnoteText"/>
        <w:spacing w:line="240" w:lineRule="auto"/>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42">
    <w:p w14:paraId="0FE45297" w14:textId="77777777" w:rsidR="00776A1F" w:rsidRDefault="00D8574B">
      <w:pPr>
        <w:pStyle w:val="FootnoteText"/>
        <w:spacing w:line="240" w:lineRule="auto"/>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43">
    <w:p w14:paraId="45413230" w14:textId="77777777" w:rsidR="00776A1F" w:rsidRDefault="00D8574B">
      <w:pPr>
        <w:pStyle w:val="FootnoteText"/>
        <w:spacing w:line="240" w:lineRule="auto"/>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44">
    <w:p w14:paraId="2D3802F5" w14:textId="77777777" w:rsidR="00776A1F" w:rsidRDefault="00D8574B">
      <w:pPr>
        <w:pStyle w:val="FootnoteText"/>
        <w:spacing w:line="240" w:lineRule="auto"/>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45">
    <w:p w14:paraId="58D642AD" w14:textId="77777777" w:rsidR="00776A1F" w:rsidRDefault="00D8574B">
      <w:pPr>
        <w:pStyle w:val="FootnoteText"/>
        <w:spacing w:line="240" w:lineRule="auto"/>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46">
    <w:p w14:paraId="2EC8D73E" w14:textId="77777777" w:rsidR="00776A1F" w:rsidRDefault="00D8574B">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47">
    <w:p w14:paraId="69F62AAE" w14:textId="77777777" w:rsidR="00776A1F" w:rsidRDefault="00D8574B">
      <w:pPr>
        <w:pStyle w:val="FootnoteText"/>
        <w:spacing w:line="240" w:lineRule="auto"/>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48">
    <w:p w14:paraId="23D04827" w14:textId="77777777" w:rsidR="00776A1F" w:rsidRDefault="00D8574B">
      <w:pPr>
        <w:pStyle w:val="FootnoteText"/>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49">
    <w:p w14:paraId="086CCC13" w14:textId="77777777" w:rsidR="00776A1F" w:rsidRDefault="00D8574B">
      <w:pPr>
        <w:pStyle w:val="FootnoteText"/>
        <w:spacing w:line="240" w:lineRule="auto"/>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50">
    <w:p w14:paraId="50DDA874" w14:textId="77777777" w:rsidR="00776A1F" w:rsidRDefault="00D8574B">
      <w:pPr>
        <w:spacing w:after="0" w:line="240" w:lineRule="auto"/>
        <w:ind w:left="709" w:hanging="709"/>
        <w:jc w:val="both"/>
        <w:rPr>
          <w:rFonts w:ascii="Times New Roman" w:hAnsi="Times New Roman" w:cs="Times New Roman"/>
        </w:rPr>
      </w:pPr>
      <w:r>
        <w:rPr>
          <w:rStyle w:val="FootnoteReference"/>
          <w:sz w:val="20"/>
        </w:rPr>
        <w:footnoteRef/>
      </w:r>
      <w:r>
        <w:rPr>
          <w:rFonts w:ascii="Times New Roman" w:hAnsi="Times New Roman"/>
          <w:sz w:val="20"/>
        </w:rPr>
        <w:t xml:space="preserve"> </w:t>
      </w:r>
      <w:r>
        <w:rPr>
          <w:rFonts w:ascii="Times New Roman" w:hAnsi="Times New Roman"/>
          <w:sz w:val="20"/>
        </w:rP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51">
    <w:p w14:paraId="629442C7" w14:textId="77777777" w:rsidR="00776A1F" w:rsidRDefault="00D8574B">
      <w:pPr>
        <w:pStyle w:val="FootnoteText"/>
        <w:spacing w:line="240" w:lineRule="auto"/>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52">
    <w:p w14:paraId="6CD2C7EC"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53">
    <w:p w14:paraId="6D4C9DB2"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54">
    <w:p w14:paraId="2F4AA456"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55">
    <w:p w14:paraId="5D8F35A8"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56">
    <w:p w14:paraId="5A0A53A2"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57">
    <w:p w14:paraId="59375361"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58">
    <w:p w14:paraId="3A868ECC"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59">
    <w:p w14:paraId="57210ACA"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60">
    <w:p w14:paraId="29A7C9B1" w14:textId="77777777" w:rsidR="00776A1F" w:rsidRDefault="00D8574B">
      <w:pPr>
        <w:pStyle w:val="FootnoteText"/>
        <w:ind w:left="709" w:hanging="709"/>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61">
    <w:p w14:paraId="24F14AC4" w14:textId="77777777" w:rsidR="00776A1F" w:rsidRDefault="00D8574B">
      <w:pPr>
        <w:pStyle w:val="FootnoteText"/>
        <w:ind w:left="709" w:hanging="709"/>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62">
    <w:p w14:paraId="57CE1546"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63">
    <w:p w14:paraId="1812F0A1" w14:textId="77777777" w:rsidR="00776A1F" w:rsidRDefault="00D8574B">
      <w:pPr>
        <w:pStyle w:val="FootnoteText"/>
        <w:ind w:left="709" w:hanging="709"/>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64">
    <w:p w14:paraId="3705F09F" w14:textId="77777777" w:rsidR="00776A1F" w:rsidRDefault="00D8574B">
      <w:pPr>
        <w:pStyle w:val="FootnoteText"/>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65">
    <w:p w14:paraId="79ECCF36" w14:textId="77777777" w:rsidR="00776A1F" w:rsidRDefault="00D8574B">
      <w:pPr>
        <w:pStyle w:val="FootnoteText"/>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66">
    <w:p w14:paraId="0CD64774" w14:textId="77777777" w:rsidR="00776A1F" w:rsidRDefault="00D8574B">
      <w:pPr>
        <w:pStyle w:val="FootnoteText"/>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67">
    <w:p w14:paraId="137FD1EF" w14:textId="77777777" w:rsidR="00776A1F" w:rsidRDefault="00D8574B">
      <w:pPr>
        <w:pStyle w:val="FootnoteText"/>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68">
    <w:p w14:paraId="405D3F43" w14:textId="77777777" w:rsidR="00776A1F" w:rsidRDefault="00D8574B">
      <w:pPr>
        <w:pStyle w:val="FootnoteText"/>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69">
    <w:p w14:paraId="5450CE25" w14:textId="77777777" w:rsidR="00776A1F" w:rsidRDefault="00D8574B">
      <w:pPr>
        <w:pStyle w:val="FootnoteText"/>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70">
    <w:p w14:paraId="3B01555B" w14:textId="77777777" w:rsidR="00776A1F" w:rsidRDefault="00D8574B">
      <w:pPr>
        <w:pStyle w:val="FootnoteText"/>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71">
    <w:p w14:paraId="3D345DD3" w14:textId="77777777" w:rsidR="00776A1F" w:rsidRDefault="00D8574B">
      <w:pPr>
        <w:pStyle w:val="FootnoteText"/>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72">
    <w:p w14:paraId="1D00325C" w14:textId="77777777" w:rsidR="00776A1F" w:rsidRDefault="00D8574B">
      <w:pPr>
        <w:pStyle w:val="FootnoteText"/>
      </w:pPr>
      <w:r>
        <w:rPr>
          <w:rStyle w:val="FootnoteReference"/>
        </w:rPr>
        <w:footnoteRef/>
      </w:r>
      <w:r>
        <w:t xml:space="preserve"> </w:t>
      </w:r>
      <w:r>
        <w:tab/>
        <w:t>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w:t>
      </w:r>
    </w:p>
  </w:footnote>
  <w:footnote w:id="73">
    <w:p w14:paraId="2B98AA92" w14:textId="77777777" w:rsidR="00776A1F" w:rsidRDefault="00D8574B">
      <w:pPr>
        <w:pStyle w:val="FootnoteText"/>
      </w:pPr>
      <w:r>
        <w:rPr>
          <w:rStyle w:val="FootnoteReference"/>
        </w:rPr>
        <w:footnoteRef/>
      </w:r>
      <w:r>
        <w:t xml:space="preserve"> </w:t>
      </w:r>
      <w:r>
        <w:tab/>
        <w:t>Ja atbalstītā darbība sasniedz prognozētās siltumnīcefekta gāzu emisijas, kas nav ievērojami zemākas par attiecīgajām līmeņatzīmēm, būtu jāsniedz paskaidrojums par iemesliem, kāpēc tas nav iespējams. Līmeņatzīmes, kas noteiktas bezmaksas kvotu piešķiršanai darbībām, kuras ietilpst emisijas kvotu tirdzniecības sistēmas darbības jomā, kā noteikts Komisijas Īstenošanas regulā (ES) 2021/447.</w:t>
      </w:r>
    </w:p>
  </w:footnote>
  <w:footnote w:id="74">
    <w:p w14:paraId="1AD470E4" w14:textId="77777777" w:rsidR="00776A1F" w:rsidRDefault="00D8574B">
      <w:pPr>
        <w:pStyle w:val="FootnoteText"/>
      </w:pPr>
      <w:r>
        <w:rPr>
          <w:rStyle w:val="FootnoteReference"/>
        </w:rPr>
        <w:footnoteRef/>
      </w:r>
      <w:r>
        <w:t xml:space="preserve"> </w:t>
      </w:r>
      <w:r>
        <w:tab/>
        <w:t>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w:t>
      </w:r>
    </w:p>
  </w:footnote>
  <w:footnote w:id="75">
    <w:p w14:paraId="62FBAA1A" w14:textId="77777777" w:rsidR="00776A1F" w:rsidRDefault="00D8574B">
      <w:pPr>
        <w:pStyle w:val="FootnoteText"/>
      </w:pPr>
      <w:r>
        <w:rPr>
          <w:rStyle w:val="FootnoteReference"/>
        </w:rPr>
        <w:footnoteRef/>
      </w:r>
      <w:r>
        <w:t xml:space="preserve"> </w:t>
      </w:r>
      <w:r>
        <w:tab/>
        <w:t>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w:t>
      </w:r>
    </w:p>
  </w:footnote>
  <w:footnote w:id="76">
    <w:p w14:paraId="7ECA6AE2" w14:textId="77777777" w:rsidR="00776A1F" w:rsidRDefault="00D8574B">
      <w:pPr>
        <w:pStyle w:val="FootnoteText"/>
      </w:pPr>
      <w:r>
        <w:rPr>
          <w:rStyle w:val="FootnoteReference"/>
        </w:rPr>
        <w:footnoteRef/>
      </w:r>
      <w:r>
        <w:t xml:space="preserve"> Nodokļu priekšrocības jēdziens ir definēts </w:t>
      </w:r>
      <w:r>
        <w:rPr>
          <w:i/>
        </w:rPr>
        <w:t xml:space="preserve">Estatuto dos Benefícios Fiscais </w:t>
      </w:r>
      <w:r>
        <w:t>(1989. gada 1. jūlija Dekrētlikuma Nr. 215/1989 pielikums) 2. pantā. Nodokļu izdevumus definē kā ietekmi uz budžetu, ko rada nodokļu atvieglojumi.</w:t>
      </w:r>
    </w:p>
  </w:footnote>
  <w:footnote w:id="77">
    <w:p w14:paraId="29A60DEE" w14:textId="77777777" w:rsidR="00776A1F" w:rsidRDefault="00D8574B">
      <w:pPr>
        <w:pStyle w:val="FootnoteText"/>
        <w:ind w:left="709" w:hanging="709"/>
      </w:pPr>
      <w:r>
        <w:rPr>
          <w:rStyle w:val="FootnoteReference"/>
        </w:rPr>
        <w:footnoteRef/>
      </w:r>
      <w:r>
        <w:t xml:space="preserve"> </w:t>
      </w:r>
      <w:r>
        <w:tab/>
        <w:t>Telpas, kas izveidotas, lai ietekmētu sensoro sistēmu, lai brīdinātu vai mierīgu</w:t>
      </w:r>
    </w:p>
  </w:footnote>
  <w:footnote w:id="78">
    <w:p w14:paraId="4E79D273" w14:textId="77777777" w:rsidR="00776A1F" w:rsidRDefault="00D8574B">
      <w:pPr>
        <w:pStyle w:val="FootnoteText"/>
      </w:pPr>
      <w:r>
        <w:rPr>
          <w:rStyle w:val="FootnoteReference"/>
        </w:rPr>
        <w:footnoteRef/>
      </w:r>
      <w:r>
        <w:t xml:space="preserve"> Izņemot projektus saskaņā ar šo pasākumu elektroenerģijas un/vai siltuma ražošanā, kā arī saistītajā pārvades un sadales infrastruktūrā, izmantojot dabasgāzi, kas atbilst tehnisko vadlīniju “Nenodari būtisku kaitējumu” (2021/C58/01) III pielikumā izklāstītajiem nosacījumiem. </w:t>
      </w:r>
    </w:p>
  </w:footnote>
  <w:footnote w:id="79">
    <w:p w14:paraId="328B7220" w14:textId="77777777" w:rsidR="00776A1F" w:rsidRDefault="00D8574B">
      <w:pPr>
        <w:pStyle w:val="FootnoteText"/>
      </w:pPr>
      <w:r>
        <w:rPr>
          <w:rStyle w:val="FootnoteReference"/>
        </w:rPr>
        <w:footnoteRef/>
      </w:r>
      <w:r>
        <w:t xml:space="preserve"> 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 </w:t>
      </w:r>
    </w:p>
  </w:footnote>
  <w:footnote w:id="80">
    <w:p w14:paraId="2AA60221" w14:textId="0051F9E1" w:rsidR="00776A1F" w:rsidRDefault="00D8574B">
      <w:pPr>
        <w:pStyle w:val="FootnoteText"/>
      </w:pPr>
      <w:r>
        <w:rPr>
          <w:rStyle w:val="FootnoteReference"/>
        </w:rPr>
        <w:footnoteRef/>
      </w:r>
      <w:r>
        <w:t xml:space="preserve"> 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 </w:t>
      </w:r>
    </w:p>
  </w:footnote>
  <w:footnote w:id="81">
    <w:p w14:paraId="4213660C" w14:textId="77777777" w:rsidR="00776A1F" w:rsidRDefault="00D8574B">
      <w:pPr>
        <w:pStyle w:val="FootnoteText"/>
      </w:pPr>
      <w:r>
        <w:rPr>
          <w:rStyle w:val="FootnoteReference"/>
        </w:rPr>
        <w:footnoteRef/>
      </w:r>
      <w:r>
        <w:t xml:space="preserve"> Šis izņēmums neattiecas uz darbībām saskaņā ar šo pasākumu iekārtās, kas paredzētas tikai nepārstrādājamu bīstamo atkritumu apstrādei, un esošām iekārtām, ja darbības saskaņā ar šo pasākumu ir paredzētas, lai palielinātu energoefektivitāti, uztvertu dūmgāzes glabāšanai vai izmantošanai, vai reģenerētu materiālus no sadedzināšanas pelniem, ar noteikumu, ka šādas darbības saskaņā ar šo pasākumu nepalielina iekārtu atkritumu pārstrādes jaudu vai nepagarina iekārtu darbmūžu; par kuriem ir sniegti pierādījumi uzņēmuma līmenī. </w:t>
      </w:r>
    </w:p>
  </w:footnote>
  <w:footnote w:id="82">
    <w:p w14:paraId="7D3EBBC3" w14:textId="63EBD02D" w:rsidR="00776A1F" w:rsidRDefault="00D8574B">
      <w:pPr>
        <w:pStyle w:val="FootnoteText"/>
      </w:pPr>
      <w:r>
        <w:rPr>
          <w:rStyle w:val="FootnoteReference"/>
        </w:rPr>
        <w:footnoteRef/>
      </w:r>
      <w:r>
        <w:t xml:space="preserve"> Šis izņēmums neattiecas uz darbībām saskaņā ar šo pasākumu esošajās mehāniski bioloģiskās apstrādes iekārtās, ja darbības saskaņā ar šo pasākumu ir paredzētas, lai palielinātu energoefektivitāti vai modernizētu dalīto atkritumu pārstrādes darbības, tos pārveidojot par komposta bioatkritumiem un bioatkritumu anaerobo noārdīšanu, ar noteikumu, ka šādas darbības saskaņā ar šo pasākumu nepalielina iekārtu atkritumu pārstrādes jaudu vai nepagarina iekārtu darbmūžu; par kuriem ir sniegti pierādījumi uzņēmuma līmenī.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DF4A" w14:textId="77777777" w:rsidR="00EE722F" w:rsidRPr="00EE722F" w:rsidRDefault="00EE722F" w:rsidP="00EE72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A39B" w14:textId="77777777" w:rsidR="00EC6A5B" w:rsidRDefault="00EC6A5B">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6A1E" w14:textId="77777777" w:rsidR="00776A1F" w:rsidRDefault="00776A1F">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F3E1" w14:textId="77777777" w:rsidR="00776A1F" w:rsidRDefault="00776A1F">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4980" w14:textId="77777777" w:rsidR="00776A1F" w:rsidRDefault="00776A1F">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770D" w14:textId="77777777" w:rsidR="00776A1F" w:rsidRDefault="00776A1F">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5FE9" w14:textId="77777777" w:rsidR="00776A1F" w:rsidRDefault="00776A1F">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124B8" w14:textId="77777777" w:rsidR="00776A1F" w:rsidRDefault="00776A1F">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13E6" w14:textId="77777777" w:rsidR="00776A1F" w:rsidRDefault="00776A1F">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A8AC" w14:textId="77777777" w:rsidR="00776A1F" w:rsidRDefault="00776A1F">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232E" w14:textId="77777777" w:rsidR="00776A1F" w:rsidRDefault="00776A1F">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0F5A" w14:textId="77777777" w:rsidR="00776A1F" w:rsidRDefault="00776A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BBB1" w14:textId="77777777" w:rsidR="00EC6A5B" w:rsidRDefault="00EC6A5B">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8A13" w14:textId="77777777" w:rsidR="00776A1F" w:rsidRDefault="00776A1F">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C2F1" w14:textId="77777777" w:rsidR="00776A1F" w:rsidRDefault="00776A1F">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DF1B" w14:textId="77777777" w:rsidR="00776A1F" w:rsidRDefault="00776A1F">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2C45" w14:textId="77777777" w:rsidR="00776A1F" w:rsidRDefault="00776A1F">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C8D" w14:textId="77777777" w:rsidR="00776A1F" w:rsidRDefault="00776A1F">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B982" w14:textId="77777777" w:rsidR="00776A1F" w:rsidRDefault="00776A1F">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9295" w14:textId="77777777" w:rsidR="00776A1F" w:rsidRDefault="00776A1F">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0039" w14:textId="77777777" w:rsidR="00776A1F" w:rsidRDefault="00776A1F">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ED21" w14:textId="77777777" w:rsidR="00776A1F" w:rsidRDefault="00776A1F">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7854" w14:textId="77777777" w:rsidR="00776A1F" w:rsidRDefault="00776A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7743" w14:textId="77777777" w:rsidR="00EC6A5B" w:rsidRDefault="00EC6A5B">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08FE" w14:textId="77777777" w:rsidR="00776A1F" w:rsidRDefault="00776A1F">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F815" w14:textId="77777777" w:rsidR="00776A1F" w:rsidRDefault="00776A1F">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4230" w14:textId="77777777" w:rsidR="00776A1F" w:rsidRDefault="00776A1F">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D6CB" w14:textId="77777777" w:rsidR="00776A1F" w:rsidRDefault="00776A1F">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4D6A" w14:textId="77777777" w:rsidR="00776A1F" w:rsidRDefault="00776A1F">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3F1B" w14:textId="77777777" w:rsidR="00776A1F" w:rsidRDefault="00776A1F">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9215" w14:textId="77777777" w:rsidR="00776A1F" w:rsidRDefault="00776A1F">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C4D0" w14:textId="77777777" w:rsidR="00776A1F" w:rsidRDefault="00776A1F">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DB31" w14:textId="77777777" w:rsidR="00776A1F" w:rsidRDefault="00776A1F">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D58F" w14:textId="77777777" w:rsidR="00776A1F" w:rsidRDefault="00776A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8DEE" w14:textId="77777777" w:rsidR="00776A1F" w:rsidRDefault="00776A1F">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862C" w14:textId="77777777" w:rsidR="00776A1F" w:rsidRDefault="00776A1F">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0E8A" w14:textId="77777777" w:rsidR="00776A1F" w:rsidRDefault="00776A1F">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0F1E" w14:textId="77777777" w:rsidR="00776A1F" w:rsidRDefault="00776A1F">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6E8" w14:textId="77777777" w:rsidR="00776A1F" w:rsidRDefault="00776A1F">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D6FE" w14:textId="77777777" w:rsidR="00776A1F" w:rsidRDefault="00776A1F">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F8BF" w14:textId="77777777" w:rsidR="00776A1F" w:rsidRDefault="00776A1F">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682" w14:textId="77777777" w:rsidR="00776A1F" w:rsidRDefault="00776A1F">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EF45" w14:textId="77777777" w:rsidR="00776A1F" w:rsidRDefault="00776A1F">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2283" w14:textId="77777777" w:rsidR="00776A1F" w:rsidRDefault="00776A1F">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AFD4" w14:textId="77777777" w:rsidR="00776A1F" w:rsidRDefault="00776A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F86B" w14:textId="77777777" w:rsidR="00776A1F" w:rsidRDefault="00776A1F">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8B30" w14:textId="77777777" w:rsidR="00776A1F" w:rsidRDefault="00776A1F">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F833" w14:textId="77777777" w:rsidR="00776A1F" w:rsidRDefault="00776A1F">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421B" w14:textId="77777777" w:rsidR="00776A1F" w:rsidRDefault="00776A1F">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132F" w14:textId="77777777" w:rsidR="00776A1F" w:rsidRDefault="00776A1F">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3FC9" w14:textId="77777777" w:rsidR="00776A1F" w:rsidRDefault="00776A1F">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AC6D" w14:textId="77777777" w:rsidR="00776A1F" w:rsidRDefault="00776A1F">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58A8" w14:textId="77777777" w:rsidR="00776A1F" w:rsidRDefault="00776A1F">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450E" w14:textId="77777777" w:rsidR="00776A1F" w:rsidRDefault="00776A1F">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DBE5" w14:textId="77777777" w:rsidR="00776A1F" w:rsidRDefault="00776A1F">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A42D" w14:textId="77777777" w:rsidR="00776A1F" w:rsidRDefault="00776A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1AA0" w14:textId="77777777" w:rsidR="00776A1F" w:rsidRDefault="00776A1F">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B720" w14:textId="77777777" w:rsidR="00776A1F" w:rsidRDefault="00776A1F">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A31D" w14:textId="77777777" w:rsidR="00776A1F" w:rsidRDefault="00776A1F">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CB87" w14:textId="77777777" w:rsidR="00776A1F" w:rsidRDefault="00776A1F">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8866D" w14:textId="77777777" w:rsidR="00776A1F" w:rsidRDefault="00776A1F">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70DF" w14:textId="77777777" w:rsidR="00776A1F" w:rsidRDefault="00776A1F">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B748" w14:textId="77777777" w:rsidR="00776A1F" w:rsidRDefault="00776A1F">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44AE" w14:textId="77777777" w:rsidR="00776A1F" w:rsidRDefault="00776A1F">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5A93" w14:textId="77777777" w:rsidR="00776A1F" w:rsidRDefault="00776A1F">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66726" w14:textId="77777777" w:rsidR="00776A1F" w:rsidRDefault="00776A1F">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B7DF" w14:textId="77777777" w:rsidR="00776A1F" w:rsidRDefault="00776A1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CA62" w14:textId="77777777" w:rsidR="00776A1F" w:rsidRDefault="00776A1F">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57C" w14:textId="77777777" w:rsidR="00776A1F" w:rsidRDefault="00776A1F">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2D3D" w14:textId="77777777" w:rsidR="00776A1F" w:rsidRDefault="00776A1F">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A90E" w14:textId="77777777" w:rsidR="00776A1F" w:rsidRDefault="00776A1F">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D0B8" w14:textId="77777777" w:rsidR="00776A1F" w:rsidRDefault="00776A1F">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D044" w14:textId="77777777" w:rsidR="00776A1F" w:rsidRDefault="00776A1F">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8225" w14:textId="77777777" w:rsidR="00776A1F" w:rsidRDefault="00776A1F">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A6BA" w14:textId="77777777" w:rsidR="00776A1F" w:rsidRDefault="00776A1F">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E298E" w14:textId="77777777" w:rsidR="00776A1F" w:rsidRDefault="00776A1F">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6781" w14:textId="77777777" w:rsidR="00776A1F" w:rsidRDefault="00776A1F">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5563" w14:textId="77777777" w:rsidR="00776A1F" w:rsidRDefault="00776A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D2EF" w14:textId="77777777" w:rsidR="00776A1F" w:rsidRDefault="00776A1F">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F637" w14:textId="77777777" w:rsidR="00776A1F" w:rsidRDefault="00776A1F">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250D" w14:textId="77777777" w:rsidR="00776A1F" w:rsidRDefault="00776A1F">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7438" w14:textId="77777777" w:rsidR="00776A1F" w:rsidRDefault="00776A1F">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B3CA" w14:textId="77777777" w:rsidR="00776A1F" w:rsidRDefault="00776A1F">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D82A" w14:textId="77777777" w:rsidR="00776A1F" w:rsidRDefault="00776A1F">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B922" w14:textId="77777777" w:rsidR="00776A1F" w:rsidRDefault="00776A1F">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1FE" w14:textId="77777777" w:rsidR="00776A1F" w:rsidRDefault="00776A1F">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2D1C" w14:textId="77777777" w:rsidR="00776A1F" w:rsidRDefault="00776A1F">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39A6" w14:textId="77777777" w:rsidR="00776A1F" w:rsidRDefault="00776A1F">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FEBF" w14:textId="77777777" w:rsidR="00776A1F" w:rsidRDefault="00776A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A26F" w14:textId="77777777" w:rsidR="00776A1F" w:rsidRDefault="00776A1F">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7B59" w14:textId="77777777" w:rsidR="00776A1F" w:rsidRDefault="00776A1F">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728E" w14:textId="77777777" w:rsidR="00776A1F" w:rsidRDefault="00776A1F">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0B2F" w14:textId="77777777" w:rsidR="00776A1F" w:rsidRDefault="00776A1F">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09A8" w14:textId="77777777" w:rsidR="00776A1F" w:rsidRDefault="00776A1F">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07A1" w14:textId="77777777" w:rsidR="00776A1F" w:rsidRDefault="00776A1F">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ECA3" w14:textId="77777777" w:rsidR="00776A1F" w:rsidRDefault="00776A1F">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DB52" w14:textId="77777777" w:rsidR="00776A1F" w:rsidRDefault="00776A1F">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05A9" w14:textId="77777777" w:rsidR="00776A1F" w:rsidRDefault="00776A1F">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2904" w14:textId="77777777" w:rsidR="00776A1F" w:rsidRDefault="00776A1F">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F033E" w14:textId="77777777" w:rsidR="00776A1F" w:rsidRDefault="00776A1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BE53" w14:textId="77777777" w:rsidR="00EC6A5B" w:rsidRDefault="00EC6A5B">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54BC" w14:textId="77777777" w:rsidR="00776A1F" w:rsidRDefault="00776A1F">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19F9" w14:textId="77777777" w:rsidR="00776A1F" w:rsidRDefault="00776A1F">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3F7" w14:textId="77777777" w:rsidR="00776A1F" w:rsidRDefault="00776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209F" w14:textId="77777777" w:rsidR="00EE722F" w:rsidRPr="00EE722F" w:rsidRDefault="00EE722F" w:rsidP="00EE722F">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E7E9" w14:textId="77777777" w:rsidR="00EC6A5B" w:rsidRDefault="00EC6A5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A54AE" w14:textId="77777777" w:rsidR="00EC6A5B" w:rsidRDefault="00EC6A5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DDDB" w14:textId="77777777" w:rsidR="00776A1F" w:rsidRDefault="00776A1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94777" w14:textId="77777777" w:rsidR="00776A1F" w:rsidRDefault="00776A1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36C8" w14:textId="77777777" w:rsidR="00776A1F" w:rsidRDefault="00776A1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7C6F" w14:textId="77777777" w:rsidR="00776A1F" w:rsidRDefault="00776A1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3D9F" w14:textId="77777777" w:rsidR="00776A1F" w:rsidRDefault="00776A1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0942" w14:textId="77777777" w:rsidR="00776A1F" w:rsidRDefault="00776A1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F32A" w14:textId="77777777" w:rsidR="00776A1F" w:rsidRDefault="00776A1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A12F" w14:textId="77777777" w:rsidR="00776A1F" w:rsidRDefault="00776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A7F0" w14:textId="77777777" w:rsidR="00EE722F" w:rsidRPr="00EE722F" w:rsidRDefault="00EE722F" w:rsidP="00EE722F">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82F4" w14:textId="77777777" w:rsidR="00776A1F" w:rsidRDefault="00776A1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224F" w14:textId="77777777" w:rsidR="00776A1F" w:rsidRDefault="00776A1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77E7" w14:textId="77777777" w:rsidR="00776A1F" w:rsidRDefault="00776A1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9350" w14:textId="77777777" w:rsidR="00776A1F" w:rsidRDefault="00776A1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D4E8" w14:textId="77777777" w:rsidR="00776A1F" w:rsidRDefault="00776A1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8F10" w14:textId="77777777" w:rsidR="00776A1F" w:rsidRDefault="00776A1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DB30" w14:textId="77777777" w:rsidR="00776A1F" w:rsidRDefault="00776A1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93A6" w14:textId="77777777" w:rsidR="00776A1F" w:rsidRDefault="00776A1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F74" w14:textId="77777777" w:rsidR="00776A1F" w:rsidRDefault="00776A1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F793" w14:textId="77777777" w:rsidR="00776A1F" w:rsidRDefault="00776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4584" w14:textId="77777777" w:rsidR="00776A1F" w:rsidRDefault="00776A1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B4EF" w14:textId="77777777" w:rsidR="00776A1F" w:rsidRDefault="00776A1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D9AC" w14:textId="77777777" w:rsidR="00776A1F" w:rsidRDefault="00776A1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D491" w14:textId="77777777" w:rsidR="00776A1F" w:rsidRDefault="00776A1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7821" w14:textId="77777777" w:rsidR="00776A1F" w:rsidRDefault="00776A1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EAE9" w14:textId="77777777" w:rsidR="00776A1F" w:rsidRDefault="00776A1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A868" w14:textId="77777777" w:rsidR="00776A1F" w:rsidRDefault="00776A1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D584" w14:textId="77777777" w:rsidR="00776A1F" w:rsidRDefault="00776A1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F77A" w14:textId="77777777" w:rsidR="00776A1F" w:rsidRDefault="00776A1F">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AC8F" w14:textId="77777777" w:rsidR="00776A1F" w:rsidRDefault="00776A1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29F0" w14:textId="77777777" w:rsidR="00776A1F" w:rsidRDefault="00776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A92B" w14:textId="77777777" w:rsidR="00776A1F" w:rsidRDefault="00776A1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42A0" w14:textId="77777777" w:rsidR="00776A1F" w:rsidRDefault="00776A1F">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0269" w14:textId="77777777" w:rsidR="00776A1F" w:rsidRDefault="00776A1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1B2" w14:textId="77777777" w:rsidR="00776A1F" w:rsidRDefault="00776A1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79D1" w14:textId="77777777" w:rsidR="00776A1F" w:rsidRDefault="00776A1F">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858B" w14:textId="77777777" w:rsidR="00776A1F" w:rsidRDefault="00776A1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A12D" w14:textId="77777777" w:rsidR="00776A1F" w:rsidRDefault="00776A1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0596" w14:textId="77777777" w:rsidR="00776A1F" w:rsidRDefault="00776A1F">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B726" w14:textId="77777777" w:rsidR="00776A1F" w:rsidRDefault="00776A1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07AE" w14:textId="77777777" w:rsidR="00776A1F" w:rsidRDefault="00776A1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4CE1" w14:textId="77777777" w:rsidR="00776A1F" w:rsidRDefault="00776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762D" w14:textId="77777777" w:rsidR="00776A1F" w:rsidRDefault="00776A1F">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A0CB" w14:textId="77777777" w:rsidR="00776A1F" w:rsidRDefault="00776A1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58FF" w14:textId="77777777" w:rsidR="00776A1F" w:rsidRDefault="00776A1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A092" w14:textId="77777777" w:rsidR="00776A1F" w:rsidRDefault="00776A1F">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847C" w14:textId="77777777" w:rsidR="00776A1F" w:rsidRDefault="00776A1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D52B" w14:textId="77777777" w:rsidR="00776A1F" w:rsidRDefault="00776A1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05E5" w14:textId="77777777" w:rsidR="00776A1F" w:rsidRDefault="00776A1F">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32A9" w14:textId="77777777" w:rsidR="00776A1F" w:rsidRDefault="00776A1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465A" w14:textId="77777777" w:rsidR="00776A1F" w:rsidRDefault="00776A1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D111" w14:textId="77777777" w:rsidR="00776A1F" w:rsidRDefault="00776A1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D576" w14:textId="77777777" w:rsidR="00776A1F" w:rsidRDefault="00776A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D9BD8" w14:textId="77777777" w:rsidR="00EC6A5B" w:rsidRDefault="00EC6A5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C6C1" w14:textId="77777777" w:rsidR="00776A1F" w:rsidRDefault="00776A1F">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175B" w14:textId="77777777" w:rsidR="00776A1F" w:rsidRDefault="00776A1F">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AED7" w14:textId="77777777" w:rsidR="00776A1F" w:rsidRDefault="00776A1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63C7" w14:textId="77777777" w:rsidR="00776A1F" w:rsidRDefault="00776A1F">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838B" w14:textId="77777777" w:rsidR="00776A1F" w:rsidRDefault="00776A1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3AB4" w14:textId="77777777" w:rsidR="00776A1F" w:rsidRDefault="00776A1F">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C8A8" w14:textId="77777777" w:rsidR="00776A1F" w:rsidRDefault="00776A1F">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F6C0" w14:textId="77777777" w:rsidR="00776A1F" w:rsidRDefault="00776A1F">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2196" w14:textId="77777777" w:rsidR="00776A1F" w:rsidRDefault="00776A1F">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D0D7" w14:textId="77777777" w:rsidR="00776A1F" w:rsidRDefault="00776A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A855" w14:textId="77777777" w:rsidR="00EC6A5B" w:rsidRDefault="00EC6A5B">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D4CB" w14:textId="77777777" w:rsidR="00776A1F" w:rsidRDefault="00776A1F">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DDB9" w14:textId="77777777" w:rsidR="00776A1F" w:rsidRDefault="00776A1F">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1991" w14:textId="77777777" w:rsidR="00776A1F" w:rsidRDefault="00776A1F">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4B4D" w14:textId="77777777" w:rsidR="00776A1F" w:rsidRDefault="00776A1F">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2570" w14:textId="77777777" w:rsidR="00776A1F" w:rsidRDefault="00776A1F">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3226" w14:textId="77777777" w:rsidR="00776A1F" w:rsidRDefault="00776A1F">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3C44" w14:textId="77777777" w:rsidR="00776A1F" w:rsidRDefault="00776A1F">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3BA2" w14:textId="77777777" w:rsidR="00776A1F" w:rsidRDefault="00776A1F">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9537" w14:textId="77777777" w:rsidR="00776A1F" w:rsidRDefault="00776A1F">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3420" w14:textId="77777777" w:rsidR="00776A1F" w:rsidRDefault="00776A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08D44" w14:textId="77777777" w:rsidR="00EC6A5B" w:rsidRDefault="00EC6A5B">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EA38" w14:textId="77777777" w:rsidR="00776A1F" w:rsidRDefault="00776A1F">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9FD89" w14:textId="77777777" w:rsidR="00EC6A5B" w:rsidRDefault="00EC6A5B">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B8CB" w14:textId="77777777" w:rsidR="00EC6A5B" w:rsidRDefault="00EC6A5B">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9A2F" w14:textId="77777777" w:rsidR="00EC6A5B" w:rsidRDefault="00EC6A5B">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E049" w14:textId="77777777" w:rsidR="00EC6A5B" w:rsidRDefault="00EC6A5B">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0B4" w14:textId="77777777" w:rsidR="00EC6A5B" w:rsidRDefault="00EC6A5B">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7BB2" w14:textId="77777777" w:rsidR="00EC6A5B" w:rsidRDefault="00EC6A5B">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58DA" w14:textId="77777777" w:rsidR="00EC6A5B" w:rsidRDefault="00EC6A5B">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47C" w14:textId="77777777" w:rsidR="00EC6A5B" w:rsidRDefault="00EC6A5B">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E948" w14:textId="77777777" w:rsidR="00EC6A5B" w:rsidRDefault="00EC6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2091B"/>
    <w:multiLevelType w:val="hybridMultilevel"/>
    <w:tmpl w:val="0BDC60C2"/>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9868A0"/>
    <w:multiLevelType w:val="hybridMultilevel"/>
    <w:tmpl w:val="32C2A90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EC3743"/>
    <w:multiLevelType w:val="hybridMultilevel"/>
    <w:tmpl w:val="1E7E21BE"/>
    <w:lvl w:ilvl="0" w:tplc="F9B098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D3768"/>
    <w:multiLevelType w:val="hybridMultilevel"/>
    <w:tmpl w:val="FFFFFFFF"/>
    <w:lvl w:ilvl="0" w:tplc="DDF0C67C">
      <w:start w:val="8"/>
      <w:numFmt w:val="decimal"/>
      <w:lvlText w:val="%1."/>
      <w:lvlJc w:val="left"/>
      <w:pPr>
        <w:ind w:left="720" w:hanging="360"/>
      </w:pPr>
      <w:rPr>
        <w:rFonts w:ascii="Calibri" w:hAnsi="Calibri" w:hint="default"/>
      </w:rPr>
    </w:lvl>
    <w:lvl w:ilvl="1" w:tplc="38E8673E">
      <w:start w:val="1"/>
      <w:numFmt w:val="lowerLetter"/>
      <w:lvlText w:val="%2."/>
      <w:lvlJc w:val="left"/>
      <w:pPr>
        <w:ind w:left="1440" w:hanging="360"/>
      </w:pPr>
    </w:lvl>
    <w:lvl w:ilvl="2" w:tplc="33E8910E">
      <w:start w:val="1"/>
      <w:numFmt w:val="lowerRoman"/>
      <w:lvlText w:val="%3."/>
      <w:lvlJc w:val="right"/>
      <w:pPr>
        <w:ind w:left="2160" w:hanging="180"/>
      </w:pPr>
    </w:lvl>
    <w:lvl w:ilvl="3" w:tplc="50B22B8C">
      <w:start w:val="1"/>
      <w:numFmt w:val="decimal"/>
      <w:lvlText w:val="%4."/>
      <w:lvlJc w:val="left"/>
      <w:pPr>
        <w:ind w:left="2880" w:hanging="360"/>
      </w:pPr>
    </w:lvl>
    <w:lvl w:ilvl="4" w:tplc="090C8E02">
      <w:start w:val="1"/>
      <w:numFmt w:val="lowerLetter"/>
      <w:lvlText w:val="%5."/>
      <w:lvlJc w:val="left"/>
      <w:pPr>
        <w:ind w:left="3600" w:hanging="360"/>
      </w:pPr>
    </w:lvl>
    <w:lvl w:ilvl="5" w:tplc="8660A99C">
      <w:start w:val="1"/>
      <w:numFmt w:val="lowerRoman"/>
      <w:lvlText w:val="%6."/>
      <w:lvlJc w:val="right"/>
      <w:pPr>
        <w:ind w:left="4320" w:hanging="180"/>
      </w:pPr>
    </w:lvl>
    <w:lvl w:ilvl="6" w:tplc="6DE691CE">
      <w:start w:val="1"/>
      <w:numFmt w:val="decimal"/>
      <w:lvlText w:val="%7."/>
      <w:lvlJc w:val="left"/>
      <w:pPr>
        <w:ind w:left="5040" w:hanging="360"/>
      </w:pPr>
    </w:lvl>
    <w:lvl w:ilvl="7" w:tplc="282EBCCE">
      <w:start w:val="1"/>
      <w:numFmt w:val="lowerLetter"/>
      <w:lvlText w:val="%8."/>
      <w:lvlJc w:val="left"/>
      <w:pPr>
        <w:ind w:left="5760" w:hanging="360"/>
      </w:pPr>
    </w:lvl>
    <w:lvl w:ilvl="8" w:tplc="CE7018EC">
      <w:start w:val="1"/>
      <w:numFmt w:val="lowerRoman"/>
      <w:lvlText w:val="%9."/>
      <w:lvlJc w:val="right"/>
      <w:pPr>
        <w:ind w:left="6480" w:hanging="180"/>
      </w:pPr>
    </w:lvl>
  </w:abstractNum>
  <w:abstractNum w:abstractNumId="8" w15:restartNumberingAfterBreak="0">
    <w:nsid w:val="0507090B"/>
    <w:multiLevelType w:val="hybridMultilevel"/>
    <w:tmpl w:val="22E61F54"/>
    <w:lvl w:ilvl="0" w:tplc="FFFFFFFF">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Yu Mincho Light" w:hAnsi="Yu Mincho Light" w:cs="Yu Mincho Light" w:hint="default"/>
      </w:rPr>
    </w:lvl>
    <w:lvl w:ilvl="2" w:tplc="18090005" w:tentative="1">
      <w:start w:val="1"/>
      <w:numFmt w:val="bullet"/>
      <w:lvlText w:val=""/>
      <w:lvlJc w:val="left"/>
      <w:pPr>
        <w:ind w:left="2220" w:hanging="360"/>
      </w:pPr>
      <w:rPr>
        <w:rFonts w:ascii="MS Mincho" w:hAnsi="MS Mincho" w:hint="default"/>
      </w:rPr>
    </w:lvl>
    <w:lvl w:ilvl="3" w:tplc="18090001" w:tentative="1">
      <w:start w:val="1"/>
      <w:numFmt w:val="bullet"/>
      <w:lvlText w:val=""/>
      <w:lvlJc w:val="left"/>
      <w:pPr>
        <w:ind w:left="2940" w:hanging="360"/>
      </w:pPr>
      <w:rPr>
        <w:rFonts w:ascii="MS Mincho" w:hAnsi="MS Mincho" w:hint="default"/>
      </w:rPr>
    </w:lvl>
    <w:lvl w:ilvl="4" w:tplc="18090003" w:tentative="1">
      <w:start w:val="1"/>
      <w:numFmt w:val="bullet"/>
      <w:lvlText w:val="o"/>
      <w:lvlJc w:val="left"/>
      <w:pPr>
        <w:ind w:left="3660" w:hanging="360"/>
      </w:pPr>
      <w:rPr>
        <w:rFonts w:ascii="Yu Mincho Light" w:hAnsi="Yu Mincho Light" w:cs="Yu Mincho Light" w:hint="default"/>
      </w:rPr>
    </w:lvl>
    <w:lvl w:ilvl="5" w:tplc="18090005" w:tentative="1">
      <w:start w:val="1"/>
      <w:numFmt w:val="bullet"/>
      <w:lvlText w:val=""/>
      <w:lvlJc w:val="left"/>
      <w:pPr>
        <w:ind w:left="4380" w:hanging="360"/>
      </w:pPr>
      <w:rPr>
        <w:rFonts w:ascii="MS Mincho" w:hAnsi="MS Mincho" w:hint="default"/>
      </w:rPr>
    </w:lvl>
    <w:lvl w:ilvl="6" w:tplc="18090001" w:tentative="1">
      <w:start w:val="1"/>
      <w:numFmt w:val="bullet"/>
      <w:lvlText w:val=""/>
      <w:lvlJc w:val="left"/>
      <w:pPr>
        <w:ind w:left="5100" w:hanging="360"/>
      </w:pPr>
      <w:rPr>
        <w:rFonts w:ascii="MS Mincho" w:hAnsi="MS Mincho" w:hint="default"/>
      </w:rPr>
    </w:lvl>
    <w:lvl w:ilvl="7" w:tplc="18090003" w:tentative="1">
      <w:start w:val="1"/>
      <w:numFmt w:val="bullet"/>
      <w:lvlText w:val="o"/>
      <w:lvlJc w:val="left"/>
      <w:pPr>
        <w:ind w:left="5820" w:hanging="360"/>
      </w:pPr>
      <w:rPr>
        <w:rFonts w:ascii="Yu Mincho Light" w:hAnsi="Yu Mincho Light" w:cs="Yu Mincho Light" w:hint="default"/>
      </w:rPr>
    </w:lvl>
    <w:lvl w:ilvl="8" w:tplc="18090005" w:tentative="1">
      <w:start w:val="1"/>
      <w:numFmt w:val="bullet"/>
      <w:lvlText w:val=""/>
      <w:lvlJc w:val="left"/>
      <w:pPr>
        <w:ind w:left="6540" w:hanging="360"/>
      </w:pPr>
      <w:rPr>
        <w:rFonts w:ascii="MS Mincho" w:hAnsi="MS Mincho" w:hint="default"/>
      </w:rPr>
    </w:lvl>
  </w:abstractNum>
  <w:abstractNum w:abstractNumId="9" w15:restartNumberingAfterBreak="0">
    <w:nsid w:val="0853DD90"/>
    <w:multiLevelType w:val="hybridMultilevel"/>
    <w:tmpl w:val="FFFFFFFF"/>
    <w:lvl w:ilvl="0" w:tplc="9B86F24C">
      <w:start w:val="1"/>
      <w:numFmt w:val="bullet"/>
      <w:lvlText w:val="-"/>
      <w:lvlJc w:val="left"/>
      <w:pPr>
        <w:ind w:left="720" w:hanging="360"/>
      </w:pPr>
      <w:rPr>
        <w:rFonts w:ascii="Arial" w:hAnsi="Arial" w:hint="default"/>
      </w:rPr>
    </w:lvl>
    <w:lvl w:ilvl="1" w:tplc="0C4E7CFA">
      <w:start w:val="1"/>
      <w:numFmt w:val="bullet"/>
      <w:lvlText w:val="o"/>
      <w:lvlJc w:val="left"/>
      <w:pPr>
        <w:ind w:left="1440" w:hanging="360"/>
      </w:pPr>
      <w:rPr>
        <w:rFonts w:ascii="Segoe UI Emoji" w:hAnsi="Segoe UI Emoji" w:hint="default"/>
      </w:rPr>
    </w:lvl>
    <w:lvl w:ilvl="2" w:tplc="21EE2022">
      <w:start w:val="1"/>
      <w:numFmt w:val="bullet"/>
      <w:lvlText w:val=""/>
      <w:lvlJc w:val="left"/>
      <w:pPr>
        <w:ind w:left="2160" w:hanging="360"/>
      </w:pPr>
      <w:rPr>
        <w:rFonts w:ascii="@MS Mincho" w:hAnsi="@MS Mincho" w:hint="default"/>
      </w:rPr>
    </w:lvl>
    <w:lvl w:ilvl="3" w:tplc="F8FA31DA">
      <w:start w:val="1"/>
      <w:numFmt w:val="bullet"/>
      <w:lvlText w:val=""/>
      <w:lvlJc w:val="left"/>
      <w:pPr>
        <w:ind w:left="2880" w:hanging="360"/>
      </w:pPr>
      <w:rPr>
        <w:rFonts w:ascii="Times New Roman félkövér" w:hAnsi="Times New Roman félkövér" w:hint="default"/>
      </w:rPr>
    </w:lvl>
    <w:lvl w:ilvl="4" w:tplc="045A305A">
      <w:start w:val="1"/>
      <w:numFmt w:val="bullet"/>
      <w:lvlText w:val="o"/>
      <w:lvlJc w:val="left"/>
      <w:pPr>
        <w:ind w:left="3600" w:hanging="360"/>
      </w:pPr>
      <w:rPr>
        <w:rFonts w:ascii="Segoe UI Emoji" w:hAnsi="Segoe UI Emoji" w:hint="default"/>
      </w:rPr>
    </w:lvl>
    <w:lvl w:ilvl="5" w:tplc="74125AAE">
      <w:start w:val="1"/>
      <w:numFmt w:val="bullet"/>
      <w:lvlText w:val=""/>
      <w:lvlJc w:val="left"/>
      <w:pPr>
        <w:ind w:left="4320" w:hanging="360"/>
      </w:pPr>
      <w:rPr>
        <w:rFonts w:ascii="@MS Mincho" w:hAnsi="@MS Mincho" w:hint="default"/>
      </w:rPr>
    </w:lvl>
    <w:lvl w:ilvl="6" w:tplc="2E8C3324">
      <w:start w:val="1"/>
      <w:numFmt w:val="bullet"/>
      <w:lvlText w:val=""/>
      <w:lvlJc w:val="left"/>
      <w:pPr>
        <w:ind w:left="5040" w:hanging="360"/>
      </w:pPr>
      <w:rPr>
        <w:rFonts w:ascii="Times New Roman félkövér" w:hAnsi="Times New Roman félkövér" w:hint="default"/>
      </w:rPr>
    </w:lvl>
    <w:lvl w:ilvl="7" w:tplc="6AD0341A">
      <w:start w:val="1"/>
      <w:numFmt w:val="bullet"/>
      <w:lvlText w:val="o"/>
      <w:lvlJc w:val="left"/>
      <w:pPr>
        <w:ind w:left="5760" w:hanging="360"/>
      </w:pPr>
      <w:rPr>
        <w:rFonts w:ascii="Segoe UI Emoji" w:hAnsi="Segoe UI Emoji" w:hint="default"/>
      </w:rPr>
    </w:lvl>
    <w:lvl w:ilvl="8" w:tplc="53ECFD58">
      <w:start w:val="1"/>
      <w:numFmt w:val="bullet"/>
      <w:lvlText w:val=""/>
      <w:lvlJc w:val="left"/>
      <w:pPr>
        <w:ind w:left="6480" w:hanging="360"/>
      </w:pPr>
      <w:rPr>
        <w:rFonts w:ascii="@MS Mincho" w:hAnsi="@MS Mincho" w:hint="default"/>
      </w:rPr>
    </w:lvl>
  </w:abstractNum>
  <w:abstractNum w:abstractNumId="10" w15:restartNumberingAfterBreak="0">
    <w:nsid w:val="0B7071AF"/>
    <w:multiLevelType w:val="hybridMultilevel"/>
    <w:tmpl w:val="338CE26C"/>
    <w:lvl w:ilvl="0" w:tplc="991C3E1E">
      <w:start w:val="1"/>
      <w:numFmt w:val="bullet"/>
      <w:lvlText w:val="-"/>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B9A3F81"/>
    <w:multiLevelType w:val="hybridMultilevel"/>
    <w:tmpl w:val="E17CE6DE"/>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C583D17"/>
    <w:multiLevelType w:val="hybridMultilevel"/>
    <w:tmpl w:val="B372B45A"/>
    <w:lvl w:ilvl="0" w:tplc="5EC66656">
      <w:start w:val="1"/>
      <w:numFmt w:val="bullet"/>
      <w:lvlText w:val=""/>
      <w:lvlJc w:val="left"/>
      <w:pPr>
        <w:ind w:left="720" w:hanging="360"/>
      </w:pPr>
      <w:rPr>
        <w:rFonts w:ascii="Symbol" w:hAnsi="Symbol"/>
      </w:rPr>
    </w:lvl>
    <w:lvl w:ilvl="1" w:tplc="6C1E4D28">
      <w:start w:val="1"/>
      <w:numFmt w:val="bullet"/>
      <w:lvlText w:val=""/>
      <w:lvlJc w:val="left"/>
      <w:pPr>
        <w:ind w:left="720" w:hanging="360"/>
      </w:pPr>
      <w:rPr>
        <w:rFonts w:ascii="Symbol" w:hAnsi="Symbol"/>
      </w:rPr>
    </w:lvl>
    <w:lvl w:ilvl="2" w:tplc="48B6CD7C">
      <w:start w:val="1"/>
      <w:numFmt w:val="bullet"/>
      <w:lvlText w:val=""/>
      <w:lvlJc w:val="left"/>
      <w:pPr>
        <w:ind w:left="720" w:hanging="360"/>
      </w:pPr>
      <w:rPr>
        <w:rFonts w:ascii="Symbol" w:hAnsi="Symbol"/>
      </w:rPr>
    </w:lvl>
    <w:lvl w:ilvl="3" w:tplc="8804AAEA">
      <w:start w:val="1"/>
      <w:numFmt w:val="bullet"/>
      <w:lvlText w:val=""/>
      <w:lvlJc w:val="left"/>
      <w:pPr>
        <w:ind w:left="720" w:hanging="360"/>
      </w:pPr>
      <w:rPr>
        <w:rFonts w:ascii="Symbol" w:hAnsi="Symbol"/>
      </w:rPr>
    </w:lvl>
    <w:lvl w:ilvl="4" w:tplc="7FBE0D5E">
      <w:start w:val="1"/>
      <w:numFmt w:val="bullet"/>
      <w:lvlText w:val=""/>
      <w:lvlJc w:val="left"/>
      <w:pPr>
        <w:ind w:left="720" w:hanging="360"/>
      </w:pPr>
      <w:rPr>
        <w:rFonts w:ascii="Symbol" w:hAnsi="Symbol"/>
      </w:rPr>
    </w:lvl>
    <w:lvl w:ilvl="5" w:tplc="55204034">
      <w:start w:val="1"/>
      <w:numFmt w:val="bullet"/>
      <w:lvlText w:val=""/>
      <w:lvlJc w:val="left"/>
      <w:pPr>
        <w:ind w:left="720" w:hanging="360"/>
      </w:pPr>
      <w:rPr>
        <w:rFonts w:ascii="Symbol" w:hAnsi="Symbol"/>
      </w:rPr>
    </w:lvl>
    <w:lvl w:ilvl="6" w:tplc="75747AF4">
      <w:start w:val="1"/>
      <w:numFmt w:val="bullet"/>
      <w:lvlText w:val=""/>
      <w:lvlJc w:val="left"/>
      <w:pPr>
        <w:ind w:left="720" w:hanging="360"/>
      </w:pPr>
      <w:rPr>
        <w:rFonts w:ascii="Symbol" w:hAnsi="Symbol"/>
      </w:rPr>
    </w:lvl>
    <w:lvl w:ilvl="7" w:tplc="5A6C7638">
      <w:start w:val="1"/>
      <w:numFmt w:val="bullet"/>
      <w:lvlText w:val=""/>
      <w:lvlJc w:val="left"/>
      <w:pPr>
        <w:ind w:left="720" w:hanging="360"/>
      </w:pPr>
      <w:rPr>
        <w:rFonts w:ascii="Symbol" w:hAnsi="Symbol"/>
      </w:rPr>
    </w:lvl>
    <w:lvl w:ilvl="8" w:tplc="DB141560">
      <w:start w:val="1"/>
      <w:numFmt w:val="bullet"/>
      <w:lvlText w:val=""/>
      <w:lvlJc w:val="left"/>
      <w:pPr>
        <w:ind w:left="720" w:hanging="360"/>
      </w:pPr>
      <w:rPr>
        <w:rFonts w:ascii="Symbol" w:hAnsi="Symbol"/>
      </w:rPr>
    </w:lvl>
  </w:abstractNum>
  <w:abstractNum w:abstractNumId="13" w15:restartNumberingAfterBreak="0">
    <w:nsid w:val="0C681D4E"/>
    <w:multiLevelType w:val="hybridMultilevel"/>
    <w:tmpl w:val="4E9642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0CBC6"/>
    <w:multiLevelType w:val="hybridMultilevel"/>
    <w:tmpl w:val="FFFFFFFF"/>
    <w:lvl w:ilvl="0" w:tplc="5762C3A6">
      <w:start w:val="1"/>
      <w:numFmt w:val="bullet"/>
      <w:lvlText w:val=""/>
      <w:lvlJc w:val="left"/>
      <w:pPr>
        <w:ind w:left="720" w:hanging="360"/>
      </w:pPr>
      <w:rPr>
        <w:rFonts w:ascii="Symbol" w:hAnsi="Symbol" w:hint="default"/>
      </w:rPr>
    </w:lvl>
    <w:lvl w:ilvl="1" w:tplc="523C60EA">
      <w:start w:val="1"/>
      <w:numFmt w:val="bullet"/>
      <w:lvlText w:val="o"/>
      <w:lvlJc w:val="left"/>
      <w:pPr>
        <w:ind w:left="1440" w:hanging="360"/>
      </w:pPr>
      <w:rPr>
        <w:rFonts w:ascii="Courier New" w:hAnsi="Courier New" w:hint="default"/>
      </w:rPr>
    </w:lvl>
    <w:lvl w:ilvl="2" w:tplc="8BFA6B86">
      <w:start w:val="1"/>
      <w:numFmt w:val="bullet"/>
      <w:lvlText w:val=""/>
      <w:lvlJc w:val="left"/>
      <w:pPr>
        <w:ind w:left="2160" w:hanging="360"/>
      </w:pPr>
      <w:rPr>
        <w:rFonts w:ascii="Wingdings" w:hAnsi="Wingdings" w:hint="default"/>
      </w:rPr>
    </w:lvl>
    <w:lvl w:ilvl="3" w:tplc="8842B4AE">
      <w:start w:val="1"/>
      <w:numFmt w:val="bullet"/>
      <w:lvlText w:val=""/>
      <w:lvlJc w:val="left"/>
      <w:pPr>
        <w:ind w:left="2880" w:hanging="360"/>
      </w:pPr>
      <w:rPr>
        <w:rFonts w:ascii="Symbol" w:hAnsi="Symbol" w:hint="default"/>
      </w:rPr>
    </w:lvl>
    <w:lvl w:ilvl="4" w:tplc="04A0D452">
      <w:start w:val="1"/>
      <w:numFmt w:val="bullet"/>
      <w:lvlText w:val="o"/>
      <w:lvlJc w:val="left"/>
      <w:pPr>
        <w:ind w:left="3600" w:hanging="360"/>
      </w:pPr>
      <w:rPr>
        <w:rFonts w:ascii="Courier New" w:hAnsi="Courier New" w:hint="default"/>
      </w:rPr>
    </w:lvl>
    <w:lvl w:ilvl="5" w:tplc="04F21308">
      <w:start w:val="1"/>
      <w:numFmt w:val="bullet"/>
      <w:lvlText w:val=""/>
      <w:lvlJc w:val="left"/>
      <w:pPr>
        <w:ind w:left="4320" w:hanging="360"/>
      </w:pPr>
      <w:rPr>
        <w:rFonts w:ascii="Wingdings" w:hAnsi="Wingdings" w:hint="default"/>
      </w:rPr>
    </w:lvl>
    <w:lvl w:ilvl="6" w:tplc="8BB88B5C">
      <w:start w:val="1"/>
      <w:numFmt w:val="bullet"/>
      <w:lvlText w:val=""/>
      <w:lvlJc w:val="left"/>
      <w:pPr>
        <w:ind w:left="5040" w:hanging="360"/>
      </w:pPr>
      <w:rPr>
        <w:rFonts w:ascii="Symbol" w:hAnsi="Symbol" w:hint="default"/>
      </w:rPr>
    </w:lvl>
    <w:lvl w:ilvl="7" w:tplc="C3DE9168">
      <w:start w:val="1"/>
      <w:numFmt w:val="bullet"/>
      <w:lvlText w:val="o"/>
      <w:lvlJc w:val="left"/>
      <w:pPr>
        <w:ind w:left="5760" w:hanging="360"/>
      </w:pPr>
      <w:rPr>
        <w:rFonts w:ascii="Courier New" w:hAnsi="Courier New" w:hint="default"/>
      </w:rPr>
    </w:lvl>
    <w:lvl w:ilvl="8" w:tplc="CEE831A4">
      <w:start w:val="1"/>
      <w:numFmt w:val="bullet"/>
      <w:lvlText w:val=""/>
      <w:lvlJc w:val="left"/>
      <w:pPr>
        <w:ind w:left="6480" w:hanging="360"/>
      </w:pPr>
      <w:rPr>
        <w:rFonts w:ascii="Wingdings" w:hAnsi="Wingdings" w:hint="default"/>
      </w:rPr>
    </w:lvl>
  </w:abstractNum>
  <w:abstractNum w:abstractNumId="15" w15:restartNumberingAfterBreak="0">
    <w:nsid w:val="0C990D6D"/>
    <w:multiLevelType w:val="hybridMultilevel"/>
    <w:tmpl w:val="9AE27DC0"/>
    <w:lvl w:ilvl="0" w:tplc="18090001">
      <w:start w:val="1"/>
      <w:numFmt w:val="bullet"/>
      <w:lvlText w:val=""/>
      <w:lvlJc w:val="left"/>
      <w:pPr>
        <w:ind w:left="720" w:hanging="360"/>
      </w:pPr>
      <w:rPr>
        <w:rFonts w:ascii="Times New Roman félkövér" w:hAnsi="Times New Roman félkövér" w:hint="default"/>
      </w:rPr>
    </w:lvl>
    <w:lvl w:ilvl="1" w:tplc="18090003" w:tentative="1">
      <w:start w:val="1"/>
      <w:numFmt w:val="bullet"/>
      <w:lvlText w:val="o"/>
      <w:lvlJc w:val="left"/>
      <w:pPr>
        <w:ind w:left="1440" w:hanging="360"/>
      </w:pPr>
      <w:rPr>
        <w:rFonts w:ascii="@MS Mincho" w:hAnsi="@MS Mincho" w:cs="@MS Mincho"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MS Mincho" w:hAnsi="@MS Mincho" w:cs="@MS Mincho"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MS Mincho" w:hAnsi="@MS Mincho" w:cs="@MS Mincho" w:hint="default"/>
      </w:rPr>
    </w:lvl>
    <w:lvl w:ilvl="8" w:tplc="18090005" w:tentative="1">
      <w:start w:val="1"/>
      <w:numFmt w:val="bullet"/>
      <w:lvlText w:val=""/>
      <w:lvlJc w:val="left"/>
      <w:pPr>
        <w:ind w:left="6480" w:hanging="360"/>
      </w:pPr>
      <w:rPr>
        <w:rFonts w:ascii="MS Mincho" w:hAnsi="MS Mincho" w:hint="default"/>
      </w:rPr>
    </w:lvl>
  </w:abstractNum>
  <w:abstractNum w:abstractNumId="16" w15:restartNumberingAfterBreak="0">
    <w:nsid w:val="0DFD6381"/>
    <w:multiLevelType w:val="hybridMultilevel"/>
    <w:tmpl w:val="5FA6E936"/>
    <w:lvl w:ilvl="0" w:tplc="B2AC25C2">
      <w:numFmt w:val="bullet"/>
      <w:lvlText w:val=""/>
      <w:lvlJc w:val="left"/>
      <w:pPr>
        <w:ind w:left="1080" w:hanging="360"/>
      </w:pPr>
      <w:rPr>
        <w:rFonts w:ascii="Symbol" w:eastAsiaTheme="minorEastAsia" w:hAnsi="Symbol" w:cs="Times New Roman" w:hint="default"/>
      </w:rPr>
    </w:lvl>
    <w:lvl w:ilvl="1" w:tplc="FFFFFFFF" w:tentative="1">
      <w:start w:val="1"/>
      <w:numFmt w:val="bullet"/>
      <w:lvlText w:val="o"/>
      <w:lvlJc w:val="left"/>
      <w:pPr>
        <w:ind w:left="1800" w:hanging="360"/>
      </w:pPr>
      <w:rPr>
        <w:rFonts w:ascii="@MS Mincho" w:hAnsi="@MS Mincho" w:cs="@MS Mincho" w:hint="default"/>
      </w:rPr>
    </w:lvl>
    <w:lvl w:ilvl="2" w:tplc="FFFFFFFF" w:tentative="1">
      <w:start w:val="1"/>
      <w:numFmt w:val="bullet"/>
      <w:lvlText w:val=""/>
      <w:lvlJc w:val="left"/>
      <w:pPr>
        <w:ind w:left="2520" w:hanging="360"/>
      </w:pPr>
      <w:rPr>
        <w:rFonts w:ascii="MS Mincho" w:hAnsi="MS Mincho" w:hint="default"/>
      </w:rPr>
    </w:lvl>
    <w:lvl w:ilvl="3" w:tplc="FFFFFFFF" w:tentative="1">
      <w:start w:val="1"/>
      <w:numFmt w:val="bullet"/>
      <w:lvlText w:val=""/>
      <w:lvlJc w:val="left"/>
      <w:pPr>
        <w:ind w:left="3240" w:hanging="360"/>
      </w:pPr>
      <w:rPr>
        <w:rFonts w:ascii="Times New Roman félkövér" w:hAnsi="Times New Roman félkövér" w:hint="default"/>
      </w:rPr>
    </w:lvl>
    <w:lvl w:ilvl="4" w:tplc="FFFFFFFF" w:tentative="1">
      <w:start w:val="1"/>
      <w:numFmt w:val="bullet"/>
      <w:lvlText w:val="o"/>
      <w:lvlJc w:val="left"/>
      <w:pPr>
        <w:ind w:left="3960" w:hanging="360"/>
      </w:pPr>
      <w:rPr>
        <w:rFonts w:ascii="@MS Mincho" w:hAnsi="@MS Mincho" w:cs="@MS Mincho" w:hint="default"/>
      </w:rPr>
    </w:lvl>
    <w:lvl w:ilvl="5" w:tplc="FFFFFFFF" w:tentative="1">
      <w:start w:val="1"/>
      <w:numFmt w:val="bullet"/>
      <w:lvlText w:val=""/>
      <w:lvlJc w:val="left"/>
      <w:pPr>
        <w:ind w:left="4680" w:hanging="360"/>
      </w:pPr>
      <w:rPr>
        <w:rFonts w:ascii="MS Mincho" w:hAnsi="MS Mincho" w:hint="default"/>
      </w:rPr>
    </w:lvl>
    <w:lvl w:ilvl="6" w:tplc="FFFFFFFF" w:tentative="1">
      <w:start w:val="1"/>
      <w:numFmt w:val="bullet"/>
      <w:lvlText w:val=""/>
      <w:lvlJc w:val="left"/>
      <w:pPr>
        <w:ind w:left="5400" w:hanging="360"/>
      </w:pPr>
      <w:rPr>
        <w:rFonts w:ascii="Times New Roman félkövér" w:hAnsi="Times New Roman félkövér" w:hint="default"/>
      </w:rPr>
    </w:lvl>
    <w:lvl w:ilvl="7" w:tplc="FFFFFFFF" w:tentative="1">
      <w:start w:val="1"/>
      <w:numFmt w:val="bullet"/>
      <w:lvlText w:val="o"/>
      <w:lvlJc w:val="left"/>
      <w:pPr>
        <w:ind w:left="6120" w:hanging="360"/>
      </w:pPr>
      <w:rPr>
        <w:rFonts w:ascii="@MS Mincho" w:hAnsi="@MS Mincho" w:cs="@MS Mincho" w:hint="default"/>
      </w:rPr>
    </w:lvl>
    <w:lvl w:ilvl="8" w:tplc="FFFFFFFF" w:tentative="1">
      <w:start w:val="1"/>
      <w:numFmt w:val="bullet"/>
      <w:lvlText w:val=""/>
      <w:lvlJc w:val="left"/>
      <w:pPr>
        <w:ind w:left="6840" w:hanging="360"/>
      </w:pPr>
      <w:rPr>
        <w:rFonts w:ascii="MS Mincho" w:hAnsi="MS Mincho" w:hint="default"/>
      </w:rPr>
    </w:lvl>
  </w:abstractNum>
  <w:abstractNum w:abstractNumId="17" w15:restartNumberingAfterBreak="0">
    <w:nsid w:val="0E686556"/>
    <w:multiLevelType w:val="hybridMultilevel"/>
    <w:tmpl w:val="C554E2BA"/>
    <w:lvl w:ilvl="0" w:tplc="FFFFFFFF">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B2AC25C2">
      <w:numFmt w:val="bullet"/>
      <w:lvlText w:val=""/>
      <w:lvlJc w:val="left"/>
      <w:pPr>
        <w:ind w:left="3600" w:hanging="720"/>
      </w:pPr>
      <w:rPr>
        <w:rFonts w:ascii="Symbol" w:eastAsiaTheme="minorEastAsia"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9FECC5"/>
    <w:multiLevelType w:val="hybridMultilevel"/>
    <w:tmpl w:val="FFFFFFFF"/>
    <w:lvl w:ilvl="0" w:tplc="2DBC04E0">
      <w:start w:val="2"/>
      <w:numFmt w:val="decimal"/>
      <w:lvlText w:val="%1."/>
      <w:lvlJc w:val="left"/>
      <w:pPr>
        <w:ind w:left="720" w:hanging="360"/>
      </w:pPr>
      <w:rPr>
        <w:rFonts w:ascii="Arial" w:hAnsi="Arial" w:hint="default"/>
      </w:rPr>
    </w:lvl>
    <w:lvl w:ilvl="1" w:tplc="66E873C6">
      <w:start w:val="1"/>
      <w:numFmt w:val="lowerLetter"/>
      <w:lvlText w:val="%2."/>
      <w:lvlJc w:val="left"/>
      <w:pPr>
        <w:ind w:left="1440" w:hanging="360"/>
      </w:pPr>
    </w:lvl>
    <w:lvl w:ilvl="2" w:tplc="E3A4A870">
      <w:start w:val="1"/>
      <w:numFmt w:val="lowerRoman"/>
      <w:lvlText w:val="%3."/>
      <w:lvlJc w:val="right"/>
      <w:pPr>
        <w:ind w:left="2160" w:hanging="180"/>
      </w:pPr>
    </w:lvl>
    <w:lvl w:ilvl="3" w:tplc="827099A4">
      <w:start w:val="1"/>
      <w:numFmt w:val="decimal"/>
      <w:lvlText w:val="%4."/>
      <w:lvlJc w:val="left"/>
      <w:pPr>
        <w:ind w:left="2880" w:hanging="360"/>
      </w:pPr>
    </w:lvl>
    <w:lvl w:ilvl="4" w:tplc="8D2EC904">
      <w:start w:val="1"/>
      <w:numFmt w:val="lowerLetter"/>
      <w:lvlText w:val="%5."/>
      <w:lvlJc w:val="left"/>
      <w:pPr>
        <w:ind w:left="3600" w:hanging="360"/>
      </w:pPr>
    </w:lvl>
    <w:lvl w:ilvl="5" w:tplc="291C5CEC">
      <w:start w:val="1"/>
      <w:numFmt w:val="lowerRoman"/>
      <w:lvlText w:val="%6."/>
      <w:lvlJc w:val="right"/>
      <w:pPr>
        <w:ind w:left="4320" w:hanging="180"/>
      </w:pPr>
    </w:lvl>
    <w:lvl w:ilvl="6" w:tplc="3E3E39AA">
      <w:start w:val="1"/>
      <w:numFmt w:val="decimal"/>
      <w:lvlText w:val="%7."/>
      <w:lvlJc w:val="left"/>
      <w:pPr>
        <w:ind w:left="5040" w:hanging="360"/>
      </w:pPr>
    </w:lvl>
    <w:lvl w:ilvl="7" w:tplc="AED002D2">
      <w:start w:val="1"/>
      <w:numFmt w:val="lowerLetter"/>
      <w:lvlText w:val="%8."/>
      <w:lvlJc w:val="left"/>
      <w:pPr>
        <w:ind w:left="5760" w:hanging="360"/>
      </w:pPr>
    </w:lvl>
    <w:lvl w:ilvl="8" w:tplc="896C89B0">
      <w:start w:val="1"/>
      <w:numFmt w:val="lowerRoman"/>
      <w:lvlText w:val="%9."/>
      <w:lvlJc w:val="right"/>
      <w:pPr>
        <w:ind w:left="6480" w:hanging="180"/>
      </w:pPr>
    </w:lvl>
  </w:abstractNum>
  <w:abstractNum w:abstractNumId="19" w15:restartNumberingAfterBreak="0">
    <w:nsid w:val="10B46BD6"/>
    <w:multiLevelType w:val="hybridMultilevel"/>
    <w:tmpl w:val="8FF4FAA2"/>
    <w:lvl w:ilvl="0" w:tplc="991C3E1E">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2242160"/>
    <w:multiLevelType w:val="hybridMultilevel"/>
    <w:tmpl w:val="D43A42EE"/>
    <w:lvl w:ilvl="0" w:tplc="37B223E2">
      <w:start w:val="1"/>
      <w:numFmt w:val="bullet"/>
      <w:lvlText w:val=""/>
      <w:lvlJc w:val="left"/>
      <w:pPr>
        <w:ind w:left="1004" w:hanging="360"/>
      </w:pPr>
      <w:rPr>
        <w:rFonts w:ascii="Times New Roman félkövér" w:hAnsi="Times New Roman félkövér"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21" w15:restartNumberingAfterBreak="0">
    <w:nsid w:val="14BC9304"/>
    <w:multiLevelType w:val="hybridMultilevel"/>
    <w:tmpl w:val="FFFFFFFF"/>
    <w:lvl w:ilvl="0" w:tplc="946A4DA8">
      <w:start w:val="9"/>
      <w:numFmt w:val="decimal"/>
      <w:lvlText w:val="%1."/>
      <w:lvlJc w:val="left"/>
      <w:pPr>
        <w:ind w:left="720" w:hanging="360"/>
      </w:pPr>
      <w:rPr>
        <w:rFonts w:ascii="Calibri" w:hAnsi="Calibri" w:hint="default"/>
      </w:rPr>
    </w:lvl>
    <w:lvl w:ilvl="1" w:tplc="BE925662">
      <w:start w:val="1"/>
      <w:numFmt w:val="lowerLetter"/>
      <w:lvlText w:val="%2."/>
      <w:lvlJc w:val="left"/>
      <w:pPr>
        <w:ind w:left="1440" w:hanging="360"/>
      </w:pPr>
    </w:lvl>
    <w:lvl w:ilvl="2" w:tplc="6972B792">
      <w:start w:val="1"/>
      <w:numFmt w:val="lowerRoman"/>
      <w:lvlText w:val="%3."/>
      <w:lvlJc w:val="right"/>
      <w:pPr>
        <w:ind w:left="2160" w:hanging="180"/>
      </w:pPr>
    </w:lvl>
    <w:lvl w:ilvl="3" w:tplc="D96C8D54">
      <w:start w:val="1"/>
      <w:numFmt w:val="decimal"/>
      <w:lvlText w:val="%4."/>
      <w:lvlJc w:val="left"/>
      <w:pPr>
        <w:ind w:left="2880" w:hanging="360"/>
      </w:pPr>
    </w:lvl>
    <w:lvl w:ilvl="4" w:tplc="7038816E">
      <w:start w:val="1"/>
      <w:numFmt w:val="lowerLetter"/>
      <w:lvlText w:val="%5."/>
      <w:lvlJc w:val="left"/>
      <w:pPr>
        <w:ind w:left="3600" w:hanging="360"/>
      </w:pPr>
    </w:lvl>
    <w:lvl w:ilvl="5" w:tplc="FBFA4DAA">
      <w:start w:val="1"/>
      <w:numFmt w:val="lowerRoman"/>
      <w:lvlText w:val="%6."/>
      <w:lvlJc w:val="right"/>
      <w:pPr>
        <w:ind w:left="4320" w:hanging="180"/>
      </w:pPr>
    </w:lvl>
    <w:lvl w:ilvl="6" w:tplc="F1FE5F90">
      <w:start w:val="1"/>
      <w:numFmt w:val="decimal"/>
      <w:lvlText w:val="%7."/>
      <w:lvlJc w:val="left"/>
      <w:pPr>
        <w:ind w:left="5040" w:hanging="360"/>
      </w:pPr>
    </w:lvl>
    <w:lvl w:ilvl="7" w:tplc="93C44108">
      <w:start w:val="1"/>
      <w:numFmt w:val="lowerLetter"/>
      <w:lvlText w:val="%8."/>
      <w:lvlJc w:val="left"/>
      <w:pPr>
        <w:ind w:left="5760" w:hanging="360"/>
      </w:pPr>
    </w:lvl>
    <w:lvl w:ilvl="8" w:tplc="2AC07D90">
      <w:start w:val="1"/>
      <w:numFmt w:val="lowerRoman"/>
      <w:lvlText w:val="%9."/>
      <w:lvlJc w:val="right"/>
      <w:pPr>
        <w:ind w:left="6480" w:hanging="180"/>
      </w:pPr>
    </w:lvl>
  </w:abstractNum>
  <w:abstractNum w:abstractNumId="22" w15:restartNumberingAfterBreak="0">
    <w:nsid w:val="157F6626"/>
    <w:multiLevelType w:val="hybridMultilevel"/>
    <w:tmpl w:val="3502E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613FA9"/>
    <w:multiLevelType w:val="hybridMultilevel"/>
    <w:tmpl w:val="D0B64B60"/>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F08CF"/>
    <w:multiLevelType w:val="hybridMultilevel"/>
    <w:tmpl w:val="0054108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MS Mincho" w:hAnsi="MS Mincho" w:hint="default"/>
      </w:rPr>
    </w:lvl>
    <w:lvl w:ilvl="3" w:tplc="FFFFFFFF" w:tentative="1">
      <w:start w:val="1"/>
      <w:numFmt w:val="bullet"/>
      <w:lvlText w:val=""/>
      <w:lvlJc w:val="left"/>
      <w:pPr>
        <w:ind w:left="2880" w:hanging="360"/>
      </w:pPr>
      <w:rPr>
        <w:rFonts w:ascii="Times New Roman félkövér" w:hAnsi="Times New Roman félkövér"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MS Mincho" w:hAnsi="MS Mincho" w:hint="default"/>
      </w:rPr>
    </w:lvl>
    <w:lvl w:ilvl="6" w:tplc="FFFFFFFF" w:tentative="1">
      <w:start w:val="1"/>
      <w:numFmt w:val="bullet"/>
      <w:lvlText w:val=""/>
      <w:lvlJc w:val="left"/>
      <w:pPr>
        <w:ind w:left="5040" w:hanging="360"/>
      </w:pPr>
      <w:rPr>
        <w:rFonts w:ascii="Times New Roman félkövér" w:hAnsi="Times New Roman félkövér"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MS Mincho" w:hAnsi="MS Mincho" w:hint="default"/>
      </w:rPr>
    </w:lvl>
  </w:abstractNum>
  <w:abstractNum w:abstractNumId="25" w15:restartNumberingAfterBreak="0">
    <w:nsid w:val="1AB43499"/>
    <w:multiLevelType w:val="hybridMultilevel"/>
    <w:tmpl w:val="229035E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15:restartNumberingAfterBreak="0">
    <w:nsid w:val="2081216A"/>
    <w:multiLevelType w:val="hybridMultilevel"/>
    <w:tmpl w:val="4B021F8C"/>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2624070"/>
    <w:multiLevelType w:val="hybridMultilevel"/>
    <w:tmpl w:val="8E7008C4"/>
    <w:lvl w:ilvl="0" w:tplc="991C3E1E">
      <w:start w:val="1"/>
      <w:numFmt w:val="bullet"/>
      <w:lvlText w:val="-"/>
      <w:lvlJc w:val="left"/>
      <w:pPr>
        <w:ind w:left="776" w:hanging="360"/>
      </w:pPr>
      <w:rPr>
        <w:rFonts w:ascii="Calibri" w:hAnsi="Calibri"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09700"/>
    <w:multiLevelType w:val="hybridMultilevel"/>
    <w:tmpl w:val="FFFFFFFF"/>
    <w:lvl w:ilvl="0" w:tplc="99B43E64">
      <w:start w:val="1"/>
      <w:numFmt w:val="decimal"/>
      <w:lvlText w:val="%1."/>
      <w:lvlJc w:val="left"/>
      <w:pPr>
        <w:ind w:left="720" w:hanging="360"/>
      </w:pPr>
    </w:lvl>
    <w:lvl w:ilvl="1" w:tplc="CCEE7EBA">
      <w:start w:val="1"/>
      <w:numFmt w:val="lowerLetter"/>
      <w:lvlText w:val="%2."/>
      <w:lvlJc w:val="left"/>
      <w:pPr>
        <w:ind w:left="1440" w:hanging="360"/>
      </w:pPr>
    </w:lvl>
    <w:lvl w:ilvl="2" w:tplc="05B68F20">
      <w:start w:val="1"/>
      <w:numFmt w:val="lowerRoman"/>
      <w:lvlText w:val="%3."/>
      <w:lvlJc w:val="right"/>
      <w:pPr>
        <w:ind w:left="2160" w:hanging="180"/>
      </w:pPr>
    </w:lvl>
    <w:lvl w:ilvl="3" w:tplc="4ED244CE">
      <w:start w:val="1"/>
      <w:numFmt w:val="decimal"/>
      <w:lvlText w:val="%4."/>
      <w:lvlJc w:val="left"/>
      <w:pPr>
        <w:ind w:left="2880" w:hanging="360"/>
      </w:pPr>
    </w:lvl>
    <w:lvl w:ilvl="4" w:tplc="EB8266EA">
      <w:start w:val="1"/>
      <w:numFmt w:val="lowerLetter"/>
      <w:lvlText w:val="%5."/>
      <w:lvlJc w:val="left"/>
      <w:pPr>
        <w:ind w:left="3600" w:hanging="360"/>
      </w:pPr>
    </w:lvl>
    <w:lvl w:ilvl="5" w:tplc="BF6ABFE8">
      <w:start w:val="1"/>
      <w:numFmt w:val="lowerRoman"/>
      <w:lvlText w:val="%6."/>
      <w:lvlJc w:val="right"/>
      <w:pPr>
        <w:ind w:left="4320" w:hanging="180"/>
      </w:pPr>
    </w:lvl>
    <w:lvl w:ilvl="6" w:tplc="CD3E4BBE">
      <w:start w:val="1"/>
      <w:numFmt w:val="decimal"/>
      <w:lvlText w:val="%7."/>
      <w:lvlJc w:val="left"/>
      <w:pPr>
        <w:ind w:left="5040" w:hanging="360"/>
      </w:pPr>
    </w:lvl>
    <w:lvl w:ilvl="7" w:tplc="24F2CCC0">
      <w:start w:val="1"/>
      <w:numFmt w:val="lowerLetter"/>
      <w:lvlText w:val="%8."/>
      <w:lvlJc w:val="left"/>
      <w:pPr>
        <w:ind w:left="5760" w:hanging="360"/>
      </w:pPr>
    </w:lvl>
    <w:lvl w:ilvl="8" w:tplc="82AC6408">
      <w:start w:val="1"/>
      <w:numFmt w:val="lowerRoman"/>
      <w:lvlText w:val="%9."/>
      <w:lvlJc w:val="right"/>
      <w:pPr>
        <w:ind w:left="6480" w:hanging="180"/>
      </w:pPr>
    </w:lvl>
  </w:abstractNum>
  <w:abstractNum w:abstractNumId="31" w15:restartNumberingAfterBreak="0">
    <w:nsid w:val="252E0C0D"/>
    <w:multiLevelType w:val="hybridMultilevel"/>
    <w:tmpl w:val="E09411D6"/>
    <w:lvl w:ilvl="0" w:tplc="991C3E1E">
      <w:start w:val="1"/>
      <w:numFmt w:val="bullet"/>
      <w:lvlText w:val="-"/>
      <w:lvlJc w:val="left"/>
      <w:pPr>
        <w:ind w:left="1080" w:hanging="720"/>
      </w:pPr>
      <w:rPr>
        <w:rFonts w:ascii="Calibri" w:hAnsi="Calibri"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253BC87E"/>
    <w:multiLevelType w:val="hybridMultilevel"/>
    <w:tmpl w:val="FFFFFFFF"/>
    <w:lvl w:ilvl="0" w:tplc="DFC40566">
      <w:start w:val="1"/>
      <w:numFmt w:val="bullet"/>
      <w:lvlText w:val="-"/>
      <w:lvlJc w:val="left"/>
      <w:pPr>
        <w:ind w:left="720" w:hanging="360"/>
      </w:pPr>
      <w:rPr>
        <w:rFonts w:ascii="Calibri" w:hAnsi="Calibri" w:hint="default"/>
      </w:rPr>
    </w:lvl>
    <w:lvl w:ilvl="1" w:tplc="605AC882">
      <w:start w:val="1"/>
      <w:numFmt w:val="bullet"/>
      <w:lvlText w:val="o"/>
      <w:lvlJc w:val="left"/>
      <w:pPr>
        <w:ind w:left="1440" w:hanging="360"/>
      </w:pPr>
      <w:rPr>
        <w:rFonts w:ascii="Courier New" w:hAnsi="Courier New" w:hint="default"/>
      </w:rPr>
    </w:lvl>
    <w:lvl w:ilvl="2" w:tplc="B2CCB334">
      <w:start w:val="1"/>
      <w:numFmt w:val="bullet"/>
      <w:lvlText w:val=""/>
      <w:lvlJc w:val="left"/>
      <w:pPr>
        <w:ind w:left="2160" w:hanging="360"/>
      </w:pPr>
      <w:rPr>
        <w:rFonts w:ascii="Wingdings" w:hAnsi="Wingdings" w:hint="default"/>
      </w:rPr>
    </w:lvl>
    <w:lvl w:ilvl="3" w:tplc="62502F0C">
      <w:start w:val="1"/>
      <w:numFmt w:val="bullet"/>
      <w:lvlText w:val=""/>
      <w:lvlJc w:val="left"/>
      <w:pPr>
        <w:ind w:left="2880" w:hanging="360"/>
      </w:pPr>
      <w:rPr>
        <w:rFonts w:ascii="Symbol" w:hAnsi="Symbol" w:hint="default"/>
      </w:rPr>
    </w:lvl>
    <w:lvl w:ilvl="4" w:tplc="6652CB26">
      <w:start w:val="1"/>
      <w:numFmt w:val="bullet"/>
      <w:lvlText w:val="o"/>
      <w:lvlJc w:val="left"/>
      <w:pPr>
        <w:ind w:left="3600" w:hanging="360"/>
      </w:pPr>
      <w:rPr>
        <w:rFonts w:ascii="Courier New" w:hAnsi="Courier New" w:hint="default"/>
      </w:rPr>
    </w:lvl>
    <w:lvl w:ilvl="5" w:tplc="E4E83CC2">
      <w:start w:val="1"/>
      <w:numFmt w:val="bullet"/>
      <w:lvlText w:val=""/>
      <w:lvlJc w:val="left"/>
      <w:pPr>
        <w:ind w:left="4320" w:hanging="360"/>
      </w:pPr>
      <w:rPr>
        <w:rFonts w:ascii="Wingdings" w:hAnsi="Wingdings" w:hint="default"/>
      </w:rPr>
    </w:lvl>
    <w:lvl w:ilvl="6" w:tplc="61C2AD16">
      <w:start w:val="1"/>
      <w:numFmt w:val="bullet"/>
      <w:lvlText w:val=""/>
      <w:lvlJc w:val="left"/>
      <w:pPr>
        <w:ind w:left="5040" w:hanging="360"/>
      </w:pPr>
      <w:rPr>
        <w:rFonts w:ascii="Symbol" w:hAnsi="Symbol" w:hint="default"/>
      </w:rPr>
    </w:lvl>
    <w:lvl w:ilvl="7" w:tplc="D716F0BA">
      <w:start w:val="1"/>
      <w:numFmt w:val="bullet"/>
      <w:lvlText w:val="o"/>
      <w:lvlJc w:val="left"/>
      <w:pPr>
        <w:ind w:left="5760" w:hanging="360"/>
      </w:pPr>
      <w:rPr>
        <w:rFonts w:ascii="Courier New" w:hAnsi="Courier New" w:hint="default"/>
      </w:rPr>
    </w:lvl>
    <w:lvl w:ilvl="8" w:tplc="A27AAE5C">
      <w:start w:val="1"/>
      <w:numFmt w:val="bullet"/>
      <w:lvlText w:val=""/>
      <w:lvlJc w:val="left"/>
      <w:pPr>
        <w:ind w:left="6480" w:hanging="360"/>
      </w:pPr>
      <w:rPr>
        <w:rFonts w:ascii="Wingdings" w:hAnsi="Wingdings" w:hint="default"/>
      </w:rPr>
    </w:lvl>
  </w:abstractNum>
  <w:abstractNum w:abstractNumId="33" w15:restartNumberingAfterBreak="0">
    <w:nsid w:val="25F7EFAC"/>
    <w:multiLevelType w:val="hybridMultilevel"/>
    <w:tmpl w:val="FFFFFFFF"/>
    <w:lvl w:ilvl="0" w:tplc="B4944A2A">
      <w:start w:val="1"/>
      <w:numFmt w:val="bullet"/>
      <w:lvlText w:val=""/>
      <w:lvlJc w:val="left"/>
      <w:pPr>
        <w:ind w:left="720" w:hanging="360"/>
      </w:pPr>
      <w:rPr>
        <w:rFonts w:ascii="Symbol" w:hAnsi="Symbol" w:hint="default"/>
      </w:rPr>
    </w:lvl>
    <w:lvl w:ilvl="1" w:tplc="B386AABC">
      <w:start w:val="1"/>
      <w:numFmt w:val="bullet"/>
      <w:lvlText w:val="o"/>
      <w:lvlJc w:val="left"/>
      <w:pPr>
        <w:ind w:left="1440" w:hanging="360"/>
      </w:pPr>
      <w:rPr>
        <w:rFonts w:ascii="Courier New" w:hAnsi="Courier New" w:hint="default"/>
      </w:rPr>
    </w:lvl>
    <w:lvl w:ilvl="2" w:tplc="88083F64">
      <w:start w:val="1"/>
      <w:numFmt w:val="bullet"/>
      <w:lvlText w:val=""/>
      <w:lvlJc w:val="left"/>
      <w:pPr>
        <w:ind w:left="2160" w:hanging="360"/>
      </w:pPr>
      <w:rPr>
        <w:rFonts w:ascii="Wingdings" w:hAnsi="Wingdings" w:hint="default"/>
      </w:rPr>
    </w:lvl>
    <w:lvl w:ilvl="3" w:tplc="3314D7D4">
      <w:start w:val="1"/>
      <w:numFmt w:val="bullet"/>
      <w:lvlText w:val=""/>
      <w:lvlJc w:val="left"/>
      <w:pPr>
        <w:ind w:left="2880" w:hanging="360"/>
      </w:pPr>
      <w:rPr>
        <w:rFonts w:ascii="Symbol" w:hAnsi="Symbol" w:hint="default"/>
      </w:rPr>
    </w:lvl>
    <w:lvl w:ilvl="4" w:tplc="86B8C04C">
      <w:start w:val="1"/>
      <w:numFmt w:val="bullet"/>
      <w:lvlText w:val="o"/>
      <w:lvlJc w:val="left"/>
      <w:pPr>
        <w:ind w:left="3600" w:hanging="360"/>
      </w:pPr>
      <w:rPr>
        <w:rFonts w:ascii="Courier New" w:hAnsi="Courier New" w:hint="default"/>
      </w:rPr>
    </w:lvl>
    <w:lvl w:ilvl="5" w:tplc="D1F069F0">
      <w:start w:val="1"/>
      <w:numFmt w:val="bullet"/>
      <w:lvlText w:val=""/>
      <w:lvlJc w:val="left"/>
      <w:pPr>
        <w:ind w:left="4320" w:hanging="360"/>
      </w:pPr>
      <w:rPr>
        <w:rFonts w:ascii="Wingdings" w:hAnsi="Wingdings" w:hint="default"/>
      </w:rPr>
    </w:lvl>
    <w:lvl w:ilvl="6" w:tplc="80A26088">
      <w:start w:val="1"/>
      <w:numFmt w:val="bullet"/>
      <w:lvlText w:val=""/>
      <w:lvlJc w:val="left"/>
      <w:pPr>
        <w:ind w:left="5040" w:hanging="360"/>
      </w:pPr>
      <w:rPr>
        <w:rFonts w:ascii="Symbol" w:hAnsi="Symbol" w:hint="default"/>
      </w:rPr>
    </w:lvl>
    <w:lvl w:ilvl="7" w:tplc="A8E01994">
      <w:start w:val="1"/>
      <w:numFmt w:val="bullet"/>
      <w:lvlText w:val="o"/>
      <w:lvlJc w:val="left"/>
      <w:pPr>
        <w:ind w:left="5760" w:hanging="360"/>
      </w:pPr>
      <w:rPr>
        <w:rFonts w:ascii="Courier New" w:hAnsi="Courier New" w:hint="default"/>
      </w:rPr>
    </w:lvl>
    <w:lvl w:ilvl="8" w:tplc="C6124E5A">
      <w:start w:val="1"/>
      <w:numFmt w:val="bullet"/>
      <w:lvlText w:val=""/>
      <w:lvlJc w:val="left"/>
      <w:pPr>
        <w:ind w:left="6480" w:hanging="360"/>
      </w:pPr>
      <w:rPr>
        <w:rFonts w:ascii="Wingdings" w:hAnsi="Wingdings" w:hint="default"/>
      </w:rPr>
    </w:lvl>
  </w:abstractNum>
  <w:abstractNum w:abstractNumId="34" w15:restartNumberingAfterBreak="0">
    <w:nsid w:val="27174F45"/>
    <w:multiLevelType w:val="hybridMultilevel"/>
    <w:tmpl w:val="B30C8676"/>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8B227E"/>
    <w:multiLevelType w:val="hybridMultilevel"/>
    <w:tmpl w:val="ED3E031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AE5023"/>
    <w:multiLevelType w:val="hybridMultilevel"/>
    <w:tmpl w:val="44E8D442"/>
    <w:lvl w:ilvl="0" w:tplc="3F16C13A">
      <w:start w:val="1"/>
      <w:numFmt w:val="decimal"/>
      <w:lvlText w:val="%1."/>
      <w:lvlJc w:val="left"/>
      <w:pPr>
        <w:ind w:left="720" w:hanging="360"/>
      </w:pPr>
      <w:rPr>
        <w:rFonts w:ascii="Segoe UI Emoji" w:eastAsiaTheme="minorHAnsi" w:hAnsi="Segoe UI Emoji" w:cs="Segoe UI Emoj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9" w15:restartNumberingAfterBreak="0">
    <w:nsid w:val="2D27ABB0"/>
    <w:multiLevelType w:val="hybridMultilevel"/>
    <w:tmpl w:val="1348036C"/>
    <w:lvl w:ilvl="0" w:tplc="18090001">
      <w:start w:val="1"/>
      <w:numFmt w:val="bullet"/>
      <w:lvlText w:val=""/>
      <w:lvlJc w:val="left"/>
      <w:pPr>
        <w:ind w:left="720" w:hanging="360"/>
      </w:pPr>
      <w:rPr>
        <w:rFonts w:ascii="Segoe UI Emoji" w:hAnsi="Segoe UI Emoji" w:hint="default"/>
      </w:rPr>
    </w:lvl>
    <w:lvl w:ilvl="1" w:tplc="1CC29F7A">
      <w:start w:val="1"/>
      <w:numFmt w:val="bullet"/>
      <w:lvlText w:val="o"/>
      <w:lvlJc w:val="left"/>
      <w:pPr>
        <w:ind w:left="1440" w:hanging="360"/>
      </w:pPr>
      <w:rPr>
        <w:rFonts w:ascii="Segoe UI Emoji" w:hAnsi="Segoe UI Emoji" w:hint="default"/>
      </w:rPr>
    </w:lvl>
    <w:lvl w:ilvl="2" w:tplc="AF805360">
      <w:start w:val="1"/>
      <w:numFmt w:val="bullet"/>
      <w:lvlText w:val=""/>
      <w:lvlJc w:val="left"/>
      <w:pPr>
        <w:ind w:left="2160" w:hanging="360"/>
      </w:pPr>
      <w:rPr>
        <w:rFonts w:ascii="@MS Mincho" w:hAnsi="@MS Mincho" w:hint="default"/>
      </w:rPr>
    </w:lvl>
    <w:lvl w:ilvl="3" w:tplc="DE9C8254">
      <w:start w:val="1"/>
      <w:numFmt w:val="bullet"/>
      <w:lvlText w:val=""/>
      <w:lvlJc w:val="left"/>
      <w:pPr>
        <w:ind w:left="2880" w:hanging="360"/>
      </w:pPr>
      <w:rPr>
        <w:rFonts w:ascii="Times New Roman félkövér" w:hAnsi="Times New Roman félkövér" w:hint="default"/>
      </w:rPr>
    </w:lvl>
    <w:lvl w:ilvl="4" w:tplc="6A00F8A0">
      <w:start w:val="1"/>
      <w:numFmt w:val="bullet"/>
      <w:lvlText w:val="o"/>
      <w:lvlJc w:val="left"/>
      <w:pPr>
        <w:ind w:left="3600" w:hanging="360"/>
      </w:pPr>
      <w:rPr>
        <w:rFonts w:ascii="Segoe UI Emoji" w:hAnsi="Segoe UI Emoji" w:hint="default"/>
      </w:rPr>
    </w:lvl>
    <w:lvl w:ilvl="5" w:tplc="AA06549C">
      <w:start w:val="1"/>
      <w:numFmt w:val="bullet"/>
      <w:lvlText w:val=""/>
      <w:lvlJc w:val="left"/>
      <w:pPr>
        <w:ind w:left="4320" w:hanging="360"/>
      </w:pPr>
      <w:rPr>
        <w:rFonts w:ascii="@MS Mincho" w:hAnsi="@MS Mincho" w:hint="default"/>
      </w:rPr>
    </w:lvl>
    <w:lvl w:ilvl="6" w:tplc="763448EE">
      <w:start w:val="1"/>
      <w:numFmt w:val="bullet"/>
      <w:lvlText w:val=""/>
      <w:lvlJc w:val="left"/>
      <w:pPr>
        <w:ind w:left="5040" w:hanging="360"/>
      </w:pPr>
      <w:rPr>
        <w:rFonts w:ascii="Times New Roman félkövér" w:hAnsi="Times New Roman félkövér" w:hint="default"/>
      </w:rPr>
    </w:lvl>
    <w:lvl w:ilvl="7" w:tplc="6ADE6886">
      <w:start w:val="1"/>
      <w:numFmt w:val="bullet"/>
      <w:lvlText w:val="o"/>
      <w:lvlJc w:val="left"/>
      <w:pPr>
        <w:ind w:left="5760" w:hanging="360"/>
      </w:pPr>
      <w:rPr>
        <w:rFonts w:ascii="Segoe UI Emoji" w:hAnsi="Segoe UI Emoji" w:hint="default"/>
      </w:rPr>
    </w:lvl>
    <w:lvl w:ilvl="8" w:tplc="68446ED0">
      <w:start w:val="1"/>
      <w:numFmt w:val="bullet"/>
      <w:lvlText w:val=""/>
      <w:lvlJc w:val="left"/>
      <w:pPr>
        <w:ind w:left="6480" w:hanging="360"/>
      </w:pPr>
      <w:rPr>
        <w:rFonts w:ascii="@MS Mincho" w:hAnsi="@MS Mincho" w:hint="default"/>
      </w:rPr>
    </w:lvl>
  </w:abstractNum>
  <w:abstractNum w:abstractNumId="40" w15:restartNumberingAfterBreak="0">
    <w:nsid w:val="2D560457"/>
    <w:multiLevelType w:val="hybridMultilevel"/>
    <w:tmpl w:val="41DE5612"/>
    <w:lvl w:ilvl="0" w:tplc="F9B098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AB5CF0"/>
    <w:multiLevelType w:val="hybridMultilevel"/>
    <w:tmpl w:val="4C7238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20A6796"/>
    <w:multiLevelType w:val="hybridMultilevel"/>
    <w:tmpl w:val="7C288002"/>
    <w:lvl w:ilvl="0" w:tplc="991C3E1E">
      <w:start w:val="1"/>
      <w:numFmt w:val="bullet"/>
      <w:lvlText w:val="-"/>
      <w:lvlJc w:val="left"/>
      <w:pPr>
        <w:ind w:left="1080" w:hanging="72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32E83EEB"/>
    <w:multiLevelType w:val="hybridMultilevel"/>
    <w:tmpl w:val="DBDC485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374D93"/>
    <w:multiLevelType w:val="hybridMultilevel"/>
    <w:tmpl w:val="1ADE3B4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45" w15:restartNumberingAfterBreak="0">
    <w:nsid w:val="39A060BB"/>
    <w:multiLevelType w:val="hybridMultilevel"/>
    <w:tmpl w:val="6F16191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6423A5"/>
    <w:multiLevelType w:val="hybridMultilevel"/>
    <w:tmpl w:val="604E2C64"/>
    <w:lvl w:ilvl="0" w:tplc="991C3E1E">
      <w:start w:val="1"/>
      <w:numFmt w:val="bullet"/>
      <w:lvlText w:val="-"/>
      <w:lvlJc w:val="left"/>
      <w:pPr>
        <w:ind w:left="1080" w:hanging="72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3C1FBB88"/>
    <w:multiLevelType w:val="hybridMultilevel"/>
    <w:tmpl w:val="FFFFFFFF"/>
    <w:lvl w:ilvl="0" w:tplc="D6EEFA86">
      <w:start w:val="1"/>
      <w:numFmt w:val="bullet"/>
      <w:lvlText w:val=""/>
      <w:lvlJc w:val="left"/>
      <w:pPr>
        <w:ind w:left="720" w:hanging="360"/>
      </w:pPr>
      <w:rPr>
        <w:rFonts w:ascii="Symbol" w:hAnsi="Symbol" w:hint="default"/>
      </w:rPr>
    </w:lvl>
    <w:lvl w:ilvl="1" w:tplc="9A541C76">
      <w:start w:val="1"/>
      <w:numFmt w:val="bullet"/>
      <w:lvlText w:val="o"/>
      <w:lvlJc w:val="left"/>
      <w:pPr>
        <w:ind w:left="1440" w:hanging="360"/>
      </w:pPr>
      <w:rPr>
        <w:rFonts w:ascii="Courier New" w:hAnsi="Courier New" w:hint="default"/>
      </w:rPr>
    </w:lvl>
    <w:lvl w:ilvl="2" w:tplc="4B103328">
      <w:start w:val="1"/>
      <w:numFmt w:val="bullet"/>
      <w:lvlText w:val=""/>
      <w:lvlJc w:val="left"/>
      <w:pPr>
        <w:ind w:left="2160" w:hanging="360"/>
      </w:pPr>
      <w:rPr>
        <w:rFonts w:ascii="Wingdings" w:hAnsi="Wingdings" w:hint="default"/>
      </w:rPr>
    </w:lvl>
    <w:lvl w:ilvl="3" w:tplc="CEEE1B2E">
      <w:start w:val="1"/>
      <w:numFmt w:val="bullet"/>
      <w:lvlText w:val=""/>
      <w:lvlJc w:val="left"/>
      <w:pPr>
        <w:ind w:left="2880" w:hanging="360"/>
      </w:pPr>
      <w:rPr>
        <w:rFonts w:ascii="Symbol" w:hAnsi="Symbol" w:hint="default"/>
      </w:rPr>
    </w:lvl>
    <w:lvl w:ilvl="4" w:tplc="37C0319C">
      <w:start w:val="1"/>
      <w:numFmt w:val="bullet"/>
      <w:lvlText w:val="o"/>
      <w:lvlJc w:val="left"/>
      <w:pPr>
        <w:ind w:left="3600" w:hanging="360"/>
      </w:pPr>
      <w:rPr>
        <w:rFonts w:ascii="Courier New" w:hAnsi="Courier New" w:hint="default"/>
      </w:rPr>
    </w:lvl>
    <w:lvl w:ilvl="5" w:tplc="81704DB0">
      <w:start w:val="1"/>
      <w:numFmt w:val="bullet"/>
      <w:lvlText w:val=""/>
      <w:lvlJc w:val="left"/>
      <w:pPr>
        <w:ind w:left="4320" w:hanging="360"/>
      </w:pPr>
      <w:rPr>
        <w:rFonts w:ascii="Wingdings" w:hAnsi="Wingdings" w:hint="default"/>
      </w:rPr>
    </w:lvl>
    <w:lvl w:ilvl="6" w:tplc="CE0C449A">
      <w:start w:val="1"/>
      <w:numFmt w:val="bullet"/>
      <w:lvlText w:val=""/>
      <w:lvlJc w:val="left"/>
      <w:pPr>
        <w:ind w:left="5040" w:hanging="360"/>
      </w:pPr>
      <w:rPr>
        <w:rFonts w:ascii="Symbol" w:hAnsi="Symbol" w:hint="default"/>
      </w:rPr>
    </w:lvl>
    <w:lvl w:ilvl="7" w:tplc="567E876E">
      <w:start w:val="1"/>
      <w:numFmt w:val="bullet"/>
      <w:lvlText w:val="o"/>
      <w:lvlJc w:val="left"/>
      <w:pPr>
        <w:ind w:left="5760" w:hanging="360"/>
      </w:pPr>
      <w:rPr>
        <w:rFonts w:ascii="Courier New" w:hAnsi="Courier New" w:hint="default"/>
      </w:rPr>
    </w:lvl>
    <w:lvl w:ilvl="8" w:tplc="26F00DEC">
      <w:start w:val="1"/>
      <w:numFmt w:val="bullet"/>
      <w:lvlText w:val=""/>
      <w:lvlJc w:val="left"/>
      <w:pPr>
        <w:ind w:left="6480" w:hanging="360"/>
      </w:pPr>
      <w:rPr>
        <w:rFonts w:ascii="Wingdings" w:hAnsi="Wingdings" w:hint="default"/>
      </w:rPr>
    </w:lvl>
  </w:abstractNum>
  <w:abstractNum w:abstractNumId="48" w15:restartNumberingAfterBreak="0">
    <w:nsid w:val="3CFD68E5"/>
    <w:multiLevelType w:val="hybridMultilevel"/>
    <w:tmpl w:val="B650A786"/>
    <w:lvl w:ilvl="0" w:tplc="1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49" w15:restartNumberingAfterBreak="0">
    <w:nsid w:val="400A7B18"/>
    <w:multiLevelType w:val="multilevel"/>
    <w:tmpl w:val="2F7AC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021A52"/>
    <w:multiLevelType w:val="hybridMultilevel"/>
    <w:tmpl w:val="D736BEA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E4070A"/>
    <w:multiLevelType w:val="hybridMultilevel"/>
    <w:tmpl w:val="59AC8B4E"/>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4" w15:restartNumberingAfterBreak="0">
    <w:nsid w:val="432C32C9"/>
    <w:multiLevelType w:val="multilevel"/>
    <w:tmpl w:val="6136D4B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A30E35"/>
    <w:multiLevelType w:val="hybridMultilevel"/>
    <w:tmpl w:val="541044B2"/>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A72B3A"/>
    <w:multiLevelType w:val="hybridMultilevel"/>
    <w:tmpl w:val="AFCC963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3B1786A"/>
    <w:multiLevelType w:val="hybridMultilevel"/>
    <w:tmpl w:val="0AA84568"/>
    <w:lvl w:ilvl="0" w:tplc="18090001">
      <w:start w:val="1"/>
      <w:numFmt w:val="bullet"/>
      <w:lvlText w:val=""/>
      <w:lvlJc w:val="left"/>
      <w:pPr>
        <w:ind w:left="720" w:hanging="360"/>
      </w:pPr>
      <w:rPr>
        <w:rFonts w:ascii="Symbol" w:hAnsi="Symbol" w:hint="default"/>
        <w:sz w:val="20"/>
        <w:szCs w:val="20"/>
      </w:rPr>
    </w:lvl>
    <w:lvl w:ilvl="1" w:tplc="260E68B2">
      <w:start w:val="1"/>
      <w:numFmt w:val="bullet"/>
      <w:lvlText w:val="o"/>
      <w:lvlJc w:val="left"/>
      <w:pPr>
        <w:ind w:left="1440" w:hanging="360"/>
      </w:pPr>
      <w:rPr>
        <w:rFonts w:ascii="Segoe UI Emoji" w:hAnsi="Segoe UI Emoji" w:hint="default"/>
      </w:rPr>
    </w:lvl>
    <w:lvl w:ilvl="2" w:tplc="E0024634">
      <w:start w:val="1"/>
      <w:numFmt w:val="bullet"/>
      <w:lvlText w:val=""/>
      <w:lvlJc w:val="left"/>
      <w:pPr>
        <w:ind w:left="2160" w:hanging="360"/>
      </w:pPr>
      <w:rPr>
        <w:rFonts w:ascii="@MS Mincho" w:hAnsi="@MS Mincho" w:hint="default"/>
      </w:rPr>
    </w:lvl>
    <w:lvl w:ilvl="3" w:tplc="92FC7814">
      <w:start w:val="1"/>
      <w:numFmt w:val="bullet"/>
      <w:lvlText w:val=""/>
      <w:lvlJc w:val="left"/>
      <w:pPr>
        <w:ind w:left="2880" w:hanging="360"/>
      </w:pPr>
      <w:rPr>
        <w:rFonts w:ascii="Times New Roman félkövér" w:hAnsi="Times New Roman félkövér" w:hint="default"/>
      </w:rPr>
    </w:lvl>
    <w:lvl w:ilvl="4" w:tplc="0D4A42B8">
      <w:start w:val="1"/>
      <w:numFmt w:val="bullet"/>
      <w:lvlText w:val="o"/>
      <w:lvlJc w:val="left"/>
      <w:pPr>
        <w:ind w:left="3600" w:hanging="360"/>
      </w:pPr>
      <w:rPr>
        <w:rFonts w:ascii="Segoe UI Emoji" w:hAnsi="Segoe UI Emoji" w:hint="default"/>
      </w:rPr>
    </w:lvl>
    <w:lvl w:ilvl="5" w:tplc="E1DAE3B8">
      <w:start w:val="1"/>
      <w:numFmt w:val="bullet"/>
      <w:lvlText w:val=""/>
      <w:lvlJc w:val="left"/>
      <w:pPr>
        <w:ind w:left="4320" w:hanging="360"/>
      </w:pPr>
      <w:rPr>
        <w:rFonts w:ascii="@MS Mincho" w:hAnsi="@MS Mincho" w:hint="default"/>
      </w:rPr>
    </w:lvl>
    <w:lvl w:ilvl="6" w:tplc="8DB4CBD2">
      <w:start w:val="1"/>
      <w:numFmt w:val="bullet"/>
      <w:lvlText w:val=""/>
      <w:lvlJc w:val="left"/>
      <w:pPr>
        <w:ind w:left="5040" w:hanging="360"/>
      </w:pPr>
      <w:rPr>
        <w:rFonts w:ascii="Times New Roman félkövér" w:hAnsi="Times New Roman félkövér" w:hint="default"/>
      </w:rPr>
    </w:lvl>
    <w:lvl w:ilvl="7" w:tplc="BDBA31D6">
      <w:start w:val="1"/>
      <w:numFmt w:val="bullet"/>
      <w:lvlText w:val="o"/>
      <w:lvlJc w:val="left"/>
      <w:pPr>
        <w:ind w:left="5760" w:hanging="360"/>
      </w:pPr>
      <w:rPr>
        <w:rFonts w:ascii="Segoe UI Emoji" w:hAnsi="Segoe UI Emoji" w:hint="default"/>
      </w:rPr>
    </w:lvl>
    <w:lvl w:ilvl="8" w:tplc="270C7E80">
      <w:start w:val="1"/>
      <w:numFmt w:val="bullet"/>
      <w:lvlText w:val=""/>
      <w:lvlJc w:val="left"/>
      <w:pPr>
        <w:ind w:left="6480" w:hanging="360"/>
      </w:pPr>
      <w:rPr>
        <w:rFonts w:ascii="@MS Mincho" w:hAnsi="@MS Mincho" w:hint="default"/>
      </w:rPr>
    </w:lvl>
  </w:abstractNum>
  <w:abstractNum w:abstractNumId="58" w15:restartNumberingAfterBreak="0">
    <w:nsid w:val="44136177"/>
    <w:multiLevelType w:val="hybridMultilevel"/>
    <w:tmpl w:val="D31ECAFC"/>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0" w15:restartNumberingAfterBreak="0">
    <w:nsid w:val="456A440E"/>
    <w:multiLevelType w:val="hybridMultilevel"/>
    <w:tmpl w:val="193469B6"/>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6A236D"/>
    <w:multiLevelType w:val="hybridMultilevel"/>
    <w:tmpl w:val="DC487180"/>
    <w:lvl w:ilvl="0" w:tplc="991C3E1E">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8477D5B"/>
    <w:multiLevelType w:val="hybridMultilevel"/>
    <w:tmpl w:val="A41A242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5C3822"/>
    <w:multiLevelType w:val="hybridMultilevel"/>
    <w:tmpl w:val="4BB007BE"/>
    <w:lvl w:ilvl="0" w:tplc="08160001">
      <w:start w:val="1"/>
      <w:numFmt w:val="bullet"/>
      <w:lvlText w:val=""/>
      <w:lvlJc w:val="left"/>
      <w:pPr>
        <w:ind w:left="6881"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4" w15:restartNumberingAfterBreak="0">
    <w:nsid w:val="4A1837DC"/>
    <w:multiLevelType w:val="multilevel"/>
    <w:tmpl w:val="5ED821E4"/>
    <w:lvl w:ilvl="0">
      <w:start w:val="1"/>
      <w:numFmt w:val="bullet"/>
      <w:lvlText w:val="-"/>
      <w:lvlJc w:val="left"/>
      <w:rPr>
        <w:rFonts w:ascii="Calibri" w:hAnsi="Calibri" w:hint="default"/>
        <w:b w:val="0"/>
        <w:bCs w:val="0"/>
        <w:i w:val="0"/>
        <w:iCs w:val="0"/>
        <w:smallCaps w:val="0"/>
        <w:strike w:val="0"/>
        <w:color w:val="000000"/>
        <w:spacing w:val="0"/>
        <w:w w:val="100"/>
        <w:position w:val="0"/>
        <w:sz w:val="21"/>
        <w:szCs w:val="21"/>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ABB3D79"/>
    <w:multiLevelType w:val="hybridMultilevel"/>
    <w:tmpl w:val="C06EC8F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MS Mincho" w:hAnsi="@MS Mincho"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MS Mincho" w:hAnsi="@MS Mincho"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MS Mincho" w:hAnsi="@MS Mincho" w:hint="default"/>
      </w:rPr>
    </w:lvl>
    <w:lvl w:ilvl="8" w:tplc="FFFFFFFF">
      <w:start w:val="1"/>
      <w:numFmt w:val="bullet"/>
      <w:lvlText w:val=""/>
      <w:lvlJc w:val="left"/>
      <w:pPr>
        <w:ind w:left="6480" w:hanging="360"/>
      </w:pPr>
      <w:rPr>
        <w:rFonts w:ascii="MS Mincho" w:hAnsi="MS Mincho" w:hint="default"/>
      </w:rPr>
    </w:lvl>
  </w:abstractNum>
  <w:abstractNum w:abstractNumId="66" w15:restartNumberingAfterBreak="0">
    <w:nsid w:val="4B1B1BD9"/>
    <w:multiLevelType w:val="hybridMultilevel"/>
    <w:tmpl w:val="30E29848"/>
    <w:lvl w:ilvl="0" w:tplc="B8D40F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9818A8"/>
    <w:multiLevelType w:val="hybridMultilevel"/>
    <w:tmpl w:val="2FD8C976"/>
    <w:lvl w:ilvl="0" w:tplc="991C3E1E">
      <w:start w:val="1"/>
      <w:numFmt w:val="bullet"/>
      <w:lvlText w:val="-"/>
      <w:lvlJc w:val="left"/>
      <w:pPr>
        <w:ind w:left="720" w:hanging="360"/>
      </w:pPr>
      <w:rPr>
        <w:rFonts w:ascii="Calibri" w:hAnsi="Calibri" w:hint="default"/>
      </w:rPr>
    </w:lvl>
    <w:lvl w:ilvl="1" w:tplc="991C3E1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B12C54"/>
    <w:multiLevelType w:val="hybridMultilevel"/>
    <w:tmpl w:val="FFFFFFFF"/>
    <w:lvl w:ilvl="0" w:tplc="67BE596E">
      <w:start w:val="1"/>
      <w:numFmt w:val="bullet"/>
      <w:lvlText w:val="-"/>
      <w:lvlJc w:val="left"/>
      <w:pPr>
        <w:ind w:left="720" w:hanging="360"/>
      </w:pPr>
      <w:rPr>
        <w:rFonts w:ascii="Calibri" w:hAnsi="Calibri" w:hint="default"/>
      </w:rPr>
    </w:lvl>
    <w:lvl w:ilvl="1" w:tplc="39DCF4AA">
      <w:start w:val="1"/>
      <w:numFmt w:val="bullet"/>
      <w:lvlText w:val="o"/>
      <w:lvlJc w:val="left"/>
      <w:pPr>
        <w:ind w:left="1440" w:hanging="360"/>
      </w:pPr>
      <w:rPr>
        <w:rFonts w:ascii="Courier New" w:hAnsi="Courier New" w:hint="default"/>
      </w:rPr>
    </w:lvl>
    <w:lvl w:ilvl="2" w:tplc="E71A66AE">
      <w:start w:val="1"/>
      <w:numFmt w:val="bullet"/>
      <w:lvlText w:val=""/>
      <w:lvlJc w:val="left"/>
      <w:pPr>
        <w:ind w:left="2160" w:hanging="360"/>
      </w:pPr>
      <w:rPr>
        <w:rFonts w:ascii="Wingdings" w:hAnsi="Wingdings" w:hint="default"/>
      </w:rPr>
    </w:lvl>
    <w:lvl w:ilvl="3" w:tplc="7D04A362">
      <w:start w:val="1"/>
      <w:numFmt w:val="bullet"/>
      <w:lvlText w:val=""/>
      <w:lvlJc w:val="left"/>
      <w:pPr>
        <w:ind w:left="2880" w:hanging="360"/>
      </w:pPr>
      <w:rPr>
        <w:rFonts w:ascii="Symbol" w:hAnsi="Symbol" w:hint="default"/>
      </w:rPr>
    </w:lvl>
    <w:lvl w:ilvl="4" w:tplc="6DBC2DA6">
      <w:start w:val="1"/>
      <w:numFmt w:val="bullet"/>
      <w:lvlText w:val="o"/>
      <w:lvlJc w:val="left"/>
      <w:pPr>
        <w:ind w:left="3600" w:hanging="360"/>
      </w:pPr>
      <w:rPr>
        <w:rFonts w:ascii="Courier New" w:hAnsi="Courier New" w:hint="default"/>
      </w:rPr>
    </w:lvl>
    <w:lvl w:ilvl="5" w:tplc="A5CCEC06">
      <w:start w:val="1"/>
      <w:numFmt w:val="bullet"/>
      <w:lvlText w:val=""/>
      <w:lvlJc w:val="left"/>
      <w:pPr>
        <w:ind w:left="4320" w:hanging="360"/>
      </w:pPr>
      <w:rPr>
        <w:rFonts w:ascii="Wingdings" w:hAnsi="Wingdings" w:hint="default"/>
      </w:rPr>
    </w:lvl>
    <w:lvl w:ilvl="6" w:tplc="2BEEA494">
      <w:start w:val="1"/>
      <w:numFmt w:val="bullet"/>
      <w:lvlText w:val=""/>
      <w:lvlJc w:val="left"/>
      <w:pPr>
        <w:ind w:left="5040" w:hanging="360"/>
      </w:pPr>
      <w:rPr>
        <w:rFonts w:ascii="Symbol" w:hAnsi="Symbol" w:hint="default"/>
      </w:rPr>
    </w:lvl>
    <w:lvl w:ilvl="7" w:tplc="5B7C1BD2">
      <w:start w:val="1"/>
      <w:numFmt w:val="bullet"/>
      <w:lvlText w:val="o"/>
      <w:lvlJc w:val="left"/>
      <w:pPr>
        <w:ind w:left="5760" w:hanging="360"/>
      </w:pPr>
      <w:rPr>
        <w:rFonts w:ascii="Courier New" w:hAnsi="Courier New" w:hint="default"/>
      </w:rPr>
    </w:lvl>
    <w:lvl w:ilvl="8" w:tplc="BE265C54">
      <w:start w:val="1"/>
      <w:numFmt w:val="bullet"/>
      <w:lvlText w:val=""/>
      <w:lvlJc w:val="left"/>
      <w:pPr>
        <w:ind w:left="6480" w:hanging="360"/>
      </w:pPr>
      <w:rPr>
        <w:rFonts w:ascii="Wingdings" w:hAnsi="Wingdings" w:hint="default"/>
      </w:rPr>
    </w:lvl>
  </w:abstractNum>
  <w:abstractNum w:abstractNumId="69" w15:restartNumberingAfterBreak="0">
    <w:nsid w:val="4ED0C028"/>
    <w:multiLevelType w:val="hybridMultilevel"/>
    <w:tmpl w:val="FFFFFFFF"/>
    <w:lvl w:ilvl="0" w:tplc="70B664EC">
      <w:start w:val="1"/>
      <w:numFmt w:val="bullet"/>
      <w:lvlText w:val=""/>
      <w:lvlJc w:val="left"/>
      <w:pPr>
        <w:ind w:left="720" w:hanging="360"/>
      </w:pPr>
      <w:rPr>
        <w:rFonts w:ascii="Symbol" w:hAnsi="Symbol" w:hint="default"/>
      </w:rPr>
    </w:lvl>
    <w:lvl w:ilvl="1" w:tplc="229C186A">
      <w:start w:val="1"/>
      <w:numFmt w:val="bullet"/>
      <w:lvlText w:val="o"/>
      <w:lvlJc w:val="left"/>
      <w:pPr>
        <w:ind w:left="1440" w:hanging="360"/>
      </w:pPr>
      <w:rPr>
        <w:rFonts w:ascii="Courier New" w:hAnsi="Courier New" w:hint="default"/>
      </w:rPr>
    </w:lvl>
    <w:lvl w:ilvl="2" w:tplc="DEAAE380">
      <w:start w:val="1"/>
      <w:numFmt w:val="bullet"/>
      <w:lvlText w:val=""/>
      <w:lvlJc w:val="left"/>
      <w:pPr>
        <w:ind w:left="2160" w:hanging="360"/>
      </w:pPr>
      <w:rPr>
        <w:rFonts w:ascii="Wingdings" w:hAnsi="Wingdings" w:hint="default"/>
      </w:rPr>
    </w:lvl>
    <w:lvl w:ilvl="3" w:tplc="3A6A8586">
      <w:start w:val="1"/>
      <w:numFmt w:val="bullet"/>
      <w:lvlText w:val=""/>
      <w:lvlJc w:val="left"/>
      <w:pPr>
        <w:ind w:left="2880" w:hanging="360"/>
      </w:pPr>
      <w:rPr>
        <w:rFonts w:ascii="Symbol" w:hAnsi="Symbol" w:hint="default"/>
      </w:rPr>
    </w:lvl>
    <w:lvl w:ilvl="4" w:tplc="0652EBEC">
      <w:start w:val="1"/>
      <w:numFmt w:val="bullet"/>
      <w:lvlText w:val="o"/>
      <w:lvlJc w:val="left"/>
      <w:pPr>
        <w:ind w:left="3600" w:hanging="360"/>
      </w:pPr>
      <w:rPr>
        <w:rFonts w:ascii="Courier New" w:hAnsi="Courier New" w:hint="default"/>
      </w:rPr>
    </w:lvl>
    <w:lvl w:ilvl="5" w:tplc="61A2DDD2">
      <w:start w:val="1"/>
      <w:numFmt w:val="bullet"/>
      <w:lvlText w:val=""/>
      <w:lvlJc w:val="left"/>
      <w:pPr>
        <w:ind w:left="4320" w:hanging="360"/>
      </w:pPr>
      <w:rPr>
        <w:rFonts w:ascii="Wingdings" w:hAnsi="Wingdings" w:hint="default"/>
      </w:rPr>
    </w:lvl>
    <w:lvl w:ilvl="6" w:tplc="53E013E6">
      <w:start w:val="1"/>
      <w:numFmt w:val="bullet"/>
      <w:lvlText w:val=""/>
      <w:lvlJc w:val="left"/>
      <w:pPr>
        <w:ind w:left="5040" w:hanging="360"/>
      </w:pPr>
      <w:rPr>
        <w:rFonts w:ascii="Symbol" w:hAnsi="Symbol" w:hint="default"/>
      </w:rPr>
    </w:lvl>
    <w:lvl w:ilvl="7" w:tplc="E646C87C">
      <w:start w:val="1"/>
      <w:numFmt w:val="bullet"/>
      <w:lvlText w:val="o"/>
      <w:lvlJc w:val="left"/>
      <w:pPr>
        <w:ind w:left="5760" w:hanging="360"/>
      </w:pPr>
      <w:rPr>
        <w:rFonts w:ascii="Courier New" w:hAnsi="Courier New" w:hint="default"/>
      </w:rPr>
    </w:lvl>
    <w:lvl w:ilvl="8" w:tplc="D16C9752">
      <w:start w:val="1"/>
      <w:numFmt w:val="bullet"/>
      <w:lvlText w:val=""/>
      <w:lvlJc w:val="left"/>
      <w:pPr>
        <w:ind w:left="6480" w:hanging="360"/>
      </w:pPr>
      <w:rPr>
        <w:rFonts w:ascii="Wingdings" w:hAnsi="Wingdings" w:hint="default"/>
      </w:rPr>
    </w:lvl>
  </w:abstractNum>
  <w:abstractNum w:abstractNumId="70" w15:restartNumberingAfterBreak="0">
    <w:nsid w:val="5193D5D3"/>
    <w:multiLevelType w:val="hybridMultilevel"/>
    <w:tmpl w:val="FFFFFFFF"/>
    <w:lvl w:ilvl="0" w:tplc="D2221486">
      <w:start w:val="1"/>
      <w:numFmt w:val="bullet"/>
      <w:lvlText w:val="-"/>
      <w:lvlJc w:val="left"/>
      <w:pPr>
        <w:ind w:left="720" w:hanging="360"/>
      </w:pPr>
      <w:rPr>
        <w:rFonts w:ascii="Calibri" w:hAnsi="Calibri" w:hint="default"/>
      </w:rPr>
    </w:lvl>
    <w:lvl w:ilvl="1" w:tplc="CB146F18">
      <w:start w:val="1"/>
      <w:numFmt w:val="bullet"/>
      <w:lvlText w:val="o"/>
      <w:lvlJc w:val="left"/>
      <w:pPr>
        <w:ind w:left="1440" w:hanging="360"/>
      </w:pPr>
      <w:rPr>
        <w:rFonts w:ascii="Courier New" w:hAnsi="Courier New" w:hint="default"/>
      </w:rPr>
    </w:lvl>
    <w:lvl w:ilvl="2" w:tplc="51661310">
      <w:start w:val="1"/>
      <w:numFmt w:val="bullet"/>
      <w:lvlText w:val=""/>
      <w:lvlJc w:val="left"/>
      <w:pPr>
        <w:ind w:left="2160" w:hanging="360"/>
      </w:pPr>
      <w:rPr>
        <w:rFonts w:ascii="Wingdings" w:hAnsi="Wingdings" w:hint="default"/>
      </w:rPr>
    </w:lvl>
    <w:lvl w:ilvl="3" w:tplc="906C137C">
      <w:start w:val="1"/>
      <w:numFmt w:val="bullet"/>
      <w:lvlText w:val=""/>
      <w:lvlJc w:val="left"/>
      <w:pPr>
        <w:ind w:left="2880" w:hanging="360"/>
      </w:pPr>
      <w:rPr>
        <w:rFonts w:ascii="Symbol" w:hAnsi="Symbol" w:hint="default"/>
      </w:rPr>
    </w:lvl>
    <w:lvl w:ilvl="4" w:tplc="EB9A1A44">
      <w:start w:val="1"/>
      <w:numFmt w:val="bullet"/>
      <w:lvlText w:val="o"/>
      <w:lvlJc w:val="left"/>
      <w:pPr>
        <w:ind w:left="3600" w:hanging="360"/>
      </w:pPr>
      <w:rPr>
        <w:rFonts w:ascii="Courier New" w:hAnsi="Courier New" w:hint="default"/>
      </w:rPr>
    </w:lvl>
    <w:lvl w:ilvl="5" w:tplc="F35E1ABE">
      <w:start w:val="1"/>
      <w:numFmt w:val="bullet"/>
      <w:lvlText w:val=""/>
      <w:lvlJc w:val="left"/>
      <w:pPr>
        <w:ind w:left="4320" w:hanging="360"/>
      </w:pPr>
      <w:rPr>
        <w:rFonts w:ascii="Wingdings" w:hAnsi="Wingdings" w:hint="default"/>
      </w:rPr>
    </w:lvl>
    <w:lvl w:ilvl="6" w:tplc="2EFE484C">
      <w:start w:val="1"/>
      <w:numFmt w:val="bullet"/>
      <w:lvlText w:val=""/>
      <w:lvlJc w:val="left"/>
      <w:pPr>
        <w:ind w:left="5040" w:hanging="360"/>
      </w:pPr>
      <w:rPr>
        <w:rFonts w:ascii="Symbol" w:hAnsi="Symbol" w:hint="default"/>
      </w:rPr>
    </w:lvl>
    <w:lvl w:ilvl="7" w:tplc="FC420202">
      <w:start w:val="1"/>
      <w:numFmt w:val="bullet"/>
      <w:lvlText w:val="o"/>
      <w:lvlJc w:val="left"/>
      <w:pPr>
        <w:ind w:left="5760" w:hanging="360"/>
      </w:pPr>
      <w:rPr>
        <w:rFonts w:ascii="Courier New" w:hAnsi="Courier New" w:hint="default"/>
      </w:rPr>
    </w:lvl>
    <w:lvl w:ilvl="8" w:tplc="4B182AFA">
      <w:start w:val="1"/>
      <w:numFmt w:val="bullet"/>
      <w:lvlText w:val=""/>
      <w:lvlJc w:val="left"/>
      <w:pPr>
        <w:ind w:left="6480" w:hanging="360"/>
      </w:pPr>
      <w:rPr>
        <w:rFonts w:ascii="Wingdings" w:hAnsi="Wingdings" w:hint="default"/>
      </w:rPr>
    </w:lvl>
  </w:abstractNum>
  <w:abstractNum w:abstractNumId="71" w15:restartNumberingAfterBreak="0">
    <w:nsid w:val="546F43D9"/>
    <w:multiLevelType w:val="hybridMultilevel"/>
    <w:tmpl w:val="FFFFFFFF"/>
    <w:lvl w:ilvl="0" w:tplc="601C9C88">
      <w:start w:val="6"/>
      <w:numFmt w:val="decimal"/>
      <w:lvlText w:val="%1."/>
      <w:lvlJc w:val="left"/>
      <w:pPr>
        <w:ind w:left="720" w:hanging="360"/>
      </w:pPr>
      <w:rPr>
        <w:rFonts w:ascii="Arial" w:hAnsi="Arial" w:hint="default"/>
      </w:rPr>
    </w:lvl>
    <w:lvl w:ilvl="1" w:tplc="BC4A186E">
      <w:start w:val="1"/>
      <w:numFmt w:val="lowerLetter"/>
      <w:lvlText w:val="%2."/>
      <w:lvlJc w:val="left"/>
      <w:pPr>
        <w:ind w:left="1440" w:hanging="360"/>
      </w:pPr>
    </w:lvl>
    <w:lvl w:ilvl="2" w:tplc="98BA893C">
      <w:start w:val="1"/>
      <w:numFmt w:val="lowerRoman"/>
      <w:lvlText w:val="%3."/>
      <w:lvlJc w:val="right"/>
      <w:pPr>
        <w:ind w:left="2160" w:hanging="180"/>
      </w:pPr>
    </w:lvl>
    <w:lvl w:ilvl="3" w:tplc="6484B7FA">
      <w:start w:val="1"/>
      <w:numFmt w:val="decimal"/>
      <w:lvlText w:val="%4."/>
      <w:lvlJc w:val="left"/>
      <w:pPr>
        <w:ind w:left="2880" w:hanging="360"/>
      </w:pPr>
    </w:lvl>
    <w:lvl w:ilvl="4" w:tplc="7374820E">
      <w:start w:val="1"/>
      <w:numFmt w:val="lowerLetter"/>
      <w:lvlText w:val="%5."/>
      <w:lvlJc w:val="left"/>
      <w:pPr>
        <w:ind w:left="3600" w:hanging="360"/>
      </w:pPr>
    </w:lvl>
    <w:lvl w:ilvl="5" w:tplc="CEC29C34">
      <w:start w:val="1"/>
      <w:numFmt w:val="lowerRoman"/>
      <w:lvlText w:val="%6."/>
      <w:lvlJc w:val="right"/>
      <w:pPr>
        <w:ind w:left="4320" w:hanging="180"/>
      </w:pPr>
    </w:lvl>
    <w:lvl w:ilvl="6" w:tplc="23CA4A52">
      <w:start w:val="1"/>
      <w:numFmt w:val="decimal"/>
      <w:lvlText w:val="%7."/>
      <w:lvlJc w:val="left"/>
      <w:pPr>
        <w:ind w:left="5040" w:hanging="360"/>
      </w:pPr>
    </w:lvl>
    <w:lvl w:ilvl="7" w:tplc="B5A617FE">
      <w:start w:val="1"/>
      <w:numFmt w:val="lowerLetter"/>
      <w:lvlText w:val="%8."/>
      <w:lvlJc w:val="left"/>
      <w:pPr>
        <w:ind w:left="5760" w:hanging="360"/>
      </w:pPr>
    </w:lvl>
    <w:lvl w:ilvl="8" w:tplc="EF2CE8C4">
      <w:start w:val="1"/>
      <w:numFmt w:val="lowerRoman"/>
      <w:lvlText w:val="%9."/>
      <w:lvlJc w:val="right"/>
      <w:pPr>
        <w:ind w:left="6480" w:hanging="180"/>
      </w:pPr>
    </w:lvl>
  </w:abstractNum>
  <w:abstractNum w:abstractNumId="72" w15:restartNumberingAfterBreak="0">
    <w:nsid w:val="5562828A"/>
    <w:multiLevelType w:val="hybridMultilevel"/>
    <w:tmpl w:val="FFFFFFFF"/>
    <w:lvl w:ilvl="0" w:tplc="98AED4AE">
      <w:start w:val="1"/>
      <w:numFmt w:val="bullet"/>
      <w:lvlText w:val="-"/>
      <w:lvlJc w:val="left"/>
      <w:pPr>
        <w:ind w:left="720" w:hanging="360"/>
      </w:pPr>
      <w:rPr>
        <w:rFonts w:ascii="Calibri" w:hAnsi="Calibri" w:hint="default"/>
      </w:rPr>
    </w:lvl>
    <w:lvl w:ilvl="1" w:tplc="9184ECD6">
      <w:start w:val="1"/>
      <w:numFmt w:val="bullet"/>
      <w:lvlText w:val="o"/>
      <w:lvlJc w:val="left"/>
      <w:pPr>
        <w:ind w:left="1440" w:hanging="360"/>
      </w:pPr>
      <w:rPr>
        <w:rFonts w:ascii="Courier New" w:hAnsi="Courier New" w:hint="default"/>
      </w:rPr>
    </w:lvl>
    <w:lvl w:ilvl="2" w:tplc="5F6E988E">
      <w:start w:val="1"/>
      <w:numFmt w:val="bullet"/>
      <w:lvlText w:val=""/>
      <w:lvlJc w:val="left"/>
      <w:pPr>
        <w:ind w:left="2160" w:hanging="360"/>
      </w:pPr>
      <w:rPr>
        <w:rFonts w:ascii="Wingdings" w:hAnsi="Wingdings" w:hint="default"/>
      </w:rPr>
    </w:lvl>
    <w:lvl w:ilvl="3" w:tplc="180828B2">
      <w:start w:val="1"/>
      <w:numFmt w:val="bullet"/>
      <w:lvlText w:val=""/>
      <w:lvlJc w:val="left"/>
      <w:pPr>
        <w:ind w:left="2880" w:hanging="360"/>
      </w:pPr>
      <w:rPr>
        <w:rFonts w:ascii="Symbol" w:hAnsi="Symbol" w:hint="default"/>
      </w:rPr>
    </w:lvl>
    <w:lvl w:ilvl="4" w:tplc="90082408">
      <w:start w:val="1"/>
      <w:numFmt w:val="bullet"/>
      <w:lvlText w:val="o"/>
      <w:lvlJc w:val="left"/>
      <w:pPr>
        <w:ind w:left="3600" w:hanging="360"/>
      </w:pPr>
      <w:rPr>
        <w:rFonts w:ascii="Courier New" w:hAnsi="Courier New" w:hint="default"/>
      </w:rPr>
    </w:lvl>
    <w:lvl w:ilvl="5" w:tplc="BCE087CA">
      <w:start w:val="1"/>
      <w:numFmt w:val="bullet"/>
      <w:lvlText w:val=""/>
      <w:lvlJc w:val="left"/>
      <w:pPr>
        <w:ind w:left="4320" w:hanging="360"/>
      </w:pPr>
      <w:rPr>
        <w:rFonts w:ascii="Wingdings" w:hAnsi="Wingdings" w:hint="default"/>
      </w:rPr>
    </w:lvl>
    <w:lvl w:ilvl="6" w:tplc="EEC8FCD8">
      <w:start w:val="1"/>
      <w:numFmt w:val="bullet"/>
      <w:lvlText w:val=""/>
      <w:lvlJc w:val="left"/>
      <w:pPr>
        <w:ind w:left="5040" w:hanging="360"/>
      </w:pPr>
      <w:rPr>
        <w:rFonts w:ascii="Symbol" w:hAnsi="Symbol" w:hint="default"/>
      </w:rPr>
    </w:lvl>
    <w:lvl w:ilvl="7" w:tplc="A46C5D0E">
      <w:start w:val="1"/>
      <w:numFmt w:val="bullet"/>
      <w:lvlText w:val="o"/>
      <w:lvlJc w:val="left"/>
      <w:pPr>
        <w:ind w:left="5760" w:hanging="360"/>
      </w:pPr>
      <w:rPr>
        <w:rFonts w:ascii="Courier New" w:hAnsi="Courier New" w:hint="default"/>
      </w:rPr>
    </w:lvl>
    <w:lvl w:ilvl="8" w:tplc="3E50D7EC">
      <w:start w:val="1"/>
      <w:numFmt w:val="bullet"/>
      <w:lvlText w:val=""/>
      <w:lvlJc w:val="left"/>
      <w:pPr>
        <w:ind w:left="6480" w:hanging="360"/>
      </w:pPr>
      <w:rPr>
        <w:rFonts w:ascii="Wingdings" w:hAnsi="Wingdings" w:hint="default"/>
      </w:rPr>
    </w:lvl>
  </w:abstractNum>
  <w:abstractNum w:abstractNumId="7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4" w15:restartNumberingAfterBreak="0">
    <w:nsid w:val="55722B6B"/>
    <w:multiLevelType w:val="hybridMultilevel"/>
    <w:tmpl w:val="B8C4C9B2"/>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C806B2"/>
    <w:multiLevelType w:val="hybridMultilevel"/>
    <w:tmpl w:val="29FE3B06"/>
    <w:lvl w:ilvl="0" w:tplc="FFFFFFFF">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7" w15:restartNumberingAfterBreak="0">
    <w:nsid w:val="5B61650C"/>
    <w:multiLevelType w:val="hybridMultilevel"/>
    <w:tmpl w:val="3BAED582"/>
    <w:lvl w:ilvl="0" w:tplc="18090001">
      <w:start w:val="1"/>
      <w:numFmt w:val="bullet"/>
      <w:lvlText w:val=""/>
      <w:lvlJc w:val="left"/>
      <w:pPr>
        <w:ind w:left="720" w:hanging="360"/>
      </w:pPr>
      <w:rPr>
        <w:rFonts w:ascii="MS Mincho" w:hAnsi="MS Mincho"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78" w15:restartNumberingAfterBreak="0">
    <w:nsid w:val="5B7B4212"/>
    <w:multiLevelType w:val="hybridMultilevel"/>
    <w:tmpl w:val="FFFFFFFF"/>
    <w:lvl w:ilvl="0" w:tplc="5584427E">
      <w:start w:val="1"/>
      <w:numFmt w:val="bullet"/>
      <w:lvlText w:val="-"/>
      <w:lvlJc w:val="left"/>
      <w:pPr>
        <w:ind w:left="720" w:hanging="360"/>
      </w:pPr>
      <w:rPr>
        <w:rFonts w:ascii="Yu Mincho Light" w:hAnsi="Yu Mincho Light" w:hint="default"/>
      </w:rPr>
    </w:lvl>
    <w:lvl w:ilvl="1" w:tplc="70109100">
      <w:start w:val="1"/>
      <w:numFmt w:val="bullet"/>
      <w:lvlText w:val="o"/>
      <w:lvlJc w:val="left"/>
      <w:pPr>
        <w:ind w:left="1440" w:hanging="360"/>
      </w:pPr>
      <w:rPr>
        <w:rFonts w:ascii="@MS Mincho" w:hAnsi="@MS Mincho" w:hint="default"/>
      </w:rPr>
    </w:lvl>
    <w:lvl w:ilvl="2" w:tplc="530A15BE">
      <w:start w:val="1"/>
      <w:numFmt w:val="bullet"/>
      <w:lvlText w:val=""/>
      <w:lvlJc w:val="left"/>
      <w:pPr>
        <w:ind w:left="2160" w:hanging="360"/>
      </w:pPr>
      <w:rPr>
        <w:rFonts w:ascii="MS Mincho" w:hAnsi="MS Mincho" w:hint="default"/>
      </w:rPr>
    </w:lvl>
    <w:lvl w:ilvl="3" w:tplc="9E56B07C">
      <w:start w:val="1"/>
      <w:numFmt w:val="bullet"/>
      <w:lvlText w:val=""/>
      <w:lvlJc w:val="left"/>
      <w:pPr>
        <w:ind w:left="2880" w:hanging="360"/>
      </w:pPr>
      <w:rPr>
        <w:rFonts w:ascii="Times New Roman félkövér" w:hAnsi="Times New Roman félkövér" w:hint="default"/>
      </w:rPr>
    </w:lvl>
    <w:lvl w:ilvl="4" w:tplc="0D1AF1FA">
      <w:start w:val="1"/>
      <w:numFmt w:val="bullet"/>
      <w:lvlText w:val="o"/>
      <w:lvlJc w:val="left"/>
      <w:pPr>
        <w:ind w:left="3600" w:hanging="360"/>
      </w:pPr>
      <w:rPr>
        <w:rFonts w:ascii="@MS Mincho" w:hAnsi="@MS Mincho" w:hint="default"/>
      </w:rPr>
    </w:lvl>
    <w:lvl w:ilvl="5" w:tplc="ADC02602">
      <w:start w:val="1"/>
      <w:numFmt w:val="bullet"/>
      <w:lvlText w:val=""/>
      <w:lvlJc w:val="left"/>
      <w:pPr>
        <w:ind w:left="4320" w:hanging="360"/>
      </w:pPr>
      <w:rPr>
        <w:rFonts w:ascii="MS Mincho" w:hAnsi="MS Mincho" w:hint="default"/>
      </w:rPr>
    </w:lvl>
    <w:lvl w:ilvl="6" w:tplc="5EB4AE94">
      <w:start w:val="1"/>
      <w:numFmt w:val="bullet"/>
      <w:lvlText w:val=""/>
      <w:lvlJc w:val="left"/>
      <w:pPr>
        <w:ind w:left="5040" w:hanging="360"/>
      </w:pPr>
      <w:rPr>
        <w:rFonts w:ascii="Times New Roman félkövér" w:hAnsi="Times New Roman félkövér" w:hint="default"/>
      </w:rPr>
    </w:lvl>
    <w:lvl w:ilvl="7" w:tplc="02AAB518">
      <w:start w:val="1"/>
      <w:numFmt w:val="bullet"/>
      <w:lvlText w:val="o"/>
      <w:lvlJc w:val="left"/>
      <w:pPr>
        <w:ind w:left="5760" w:hanging="360"/>
      </w:pPr>
      <w:rPr>
        <w:rFonts w:ascii="@MS Mincho" w:hAnsi="@MS Mincho" w:hint="default"/>
      </w:rPr>
    </w:lvl>
    <w:lvl w:ilvl="8" w:tplc="F31AB2AC">
      <w:start w:val="1"/>
      <w:numFmt w:val="bullet"/>
      <w:lvlText w:val=""/>
      <w:lvlJc w:val="left"/>
      <w:pPr>
        <w:ind w:left="6480" w:hanging="360"/>
      </w:pPr>
      <w:rPr>
        <w:rFonts w:ascii="MS Mincho" w:hAnsi="MS Mincho" w:hint="default"/>
      </w:rPr>
    </w:lvl>
  </w:abstractNum>
  <w:abstractNum w:abstractNumId="7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5670C0"/>
    <w:multiLevelType w:val="hybridMultilevel"/>
    <w:tmpl w:val="0B3074BC"/>
    <w:lvl w:ilvl="0" w:tplc="B2AC25C2">
      <w:numFmt w:val="bullet"/>
      <w:lvlText w:val=""/>
      <w:lvlJc w:val="left"/>
      <w:pPr>
        <w:ind w:left="787" w:hanging="360"/>
      </w:pPr>
      <w:rPr>
        <w:rFonts w:ascii="Symbol" w:eastAsiaTheme="minorEastAsia" w:hAnsi="Symbol" w:cs="Times New Roman" w:hint="default"/>
      </w:rPr>
    </w:lvl>
    <w:lvl w:ilvl="1" w:tplc="FFFFFFFF">
      <w:start w:val="1"/>
      <w:numFmt w:val="bullet"/>
      <w:lvlText w:val="o"/>
      <w:lvlJc w:val="left"/>
      <w:pPr>
        <w:ind w:left="1507" w:hanging="360"/>
      </w:pPr>
      <w:rPr>
        <w:rFonts w:ascii="@MS Mincho" w:eastAsia="Times New Roman" w:hAnsi="@MS Mincho" w:cs="@MS Mincho" w:hint="eastAsia"/>
      </w:rPr>
    </w:lvl>
    <w:lvl w:ilvl="2" w:tplc="FFFFFFFF">
      <w:start w:val="1"/>
      <w:numFmt w:val="bullet"/>
      <w:lvlText w:val=""/>
      <w:lvlJc w:val="left"/>
      <w:pPr>
        <w:ind w:left="2227" w:hanging="360"/>
      </w:pPr>
      <w:rPr>
        <w:rFonts w:ascii="MS Mincho" w:eastAsia="Times New Roman" w:hAnsi="MS Mincho" w:hint="eastAsia"/>
      </w:rPr>
    </w:lvl>
    <w:lvl w:ilvl="3" w:tplc="FFFFFFFF">
      <w:start w:val="1"/>
      <w:numFmt w:val="bullet"/>
      <w:lvlText w:val=""/>
      <w:lvlJc w:val="left"/>
      <w:pPr>
        <w:ind w:left="2947" w:hanging="360"/>
      </w:pPr>
      <w:rPr>
        <w:rFonts w:ascii="Times New Roman félkövér" w:hAnsi="Times New Roman félkövér" w:hint="default"/>
      </w:rPr>
    </w:lvl>
    <w:lvl w:ilvl="4" w:tplc="FFFFFFFF">
      <w:start w:val="1"/>
      <w:numFmt w:val="bullet"/>
      <w:lvlText w:val="o"/>
      <w:lvlJc w:val="left"/>
      <w:pPr>
        <w:ind w:left="3667" w:hanging="360"/>
      </w:pPr>
      <w:rPr>
        <w:rFonts w:ascii="@MS Mincho" w:eastAsia="Times New Roman" w:hAnsi="@MS Mincho" w:cs="@MS Mincho" w:hint="eastAsia"/>
      </w:rPr>
    </w:lvl>
    <w:lvl w:ilvl="5" w:tplc="FFFFFFFF">
      <w:start w:val="1"/>
      <w:numFmt w:val="bullet"/>
      <w:lvlText w:val=""/>
      <w:lvlJc w:val="left"/>
      <w:pPr>
        <w:ind w:left="4387" w:hanging="360"/>
      </w:pPr>
      <w:rPr>
        <w:rFonts w:ascii="MS Mincho" w:eastAsia="Times New Roman" w:hAnsi="MS Mincho" w:hint="eastAsia"/>
      </w:rPr>
    </w:lvl>
    <w:lvl w:ilvl="6" w:tplc="FFFFFFFF">
      <w:start w:val="1"/>
      <w:numFmt w:val="bullet"/>
      <w:lvlText w:val=""/>
      <w:lvlJc w:val="left"/>
      <w:pPr>
        <w:ind w:left="5107" w:hanging="360"/>
      </w:pPr>
      <w:rPr>
        <w:rFonts w:ascii="Times New Roman félkövér" w:hAnsi="Times New Roman félkövér" w:hint="default"/>
      </w:rPr>
    </w:lvl>
    <w:lvl w:ilvl="7" w:tplc="FFFFFFFF">
      <w:start w:val="1"/>
      <w:numFmt w:val="bullet"/>
      <w:lvlText w:val="o"/>
      <w:lvlJc w:val="left"/>
      <w:pPr>
        <w:ind w:left="5827" w:hanging="360"/>
      </w:pPr>
      <w:rPr>
        <w:rFonts w:ascii="@MS Mincho" w:eastAsia="Times New Roman" w:hAnsi="@MS Mincho" w:cs="@MS Mincho" w:hint="eastAsia"/>
      </w:rPr>
    </w:lvl>
    <w:lvl w:ilvl="8" w:tplc="FFFFFFFF">
      <w:start w:val="1"/>
      <w:numFmt w:val="bullet"/>
      <w:lvlText w:val=""/>
      <w:lvlJc w:val="left"/>
      <w:pPr>
        <w:ind w:left="6547" w:hanging="360"/>
      </w:pPr>
      <w:rPr>
        <w:rFonts w:ascii="MS Mincho" w:eastAsia="Times New Roman" w:hAnsi="MS Mincho" w:hint="eastAsia"/>
      </w:rPr>
    </w:lvl>
  </w:abstractNum>
  <w:abstractNum w:abstractNumId="82" w15:restartNumberingAfterBreak="0">
    <w:nsid w:val="5F42C4D7"/>
    <w:multiLevelType w:val="hybridMultilevel"/>
    <w:tmpl w:val="FFFFFFFF"/>
    <w:lvl w:ilvl="0" w:tplc="85908E40">
      <w:start w:val="5"/>
      <w:numFmt w:val="decimal"/>
      <w:lvlText w:val="%1."/>
      <w:lvlJc w:val="left"/>
      <w:pPr>
        <w:ind w:left="720" w:hanging="360"/>
      </w:pPr>
      <w:rPr>
        <w:rFonts w:ascii="Arial" w:hAnsi="Arial" w:hint="default"/>
      </w:rPr>
    </w:lvl>
    <w:lvl w:ilvl="1" w:tplc="9E30FE2E">
      <w:start w:val="1"/>
      <w:numFmt w:val="lowerLetter"/>
      <w:lvlText w:val="%2."/>
      <w:lvlJc w:val="left"/>
      <w:pPr>
        <w:ind w:left="1440" w:hanging="360"/>
      </w:pPr>
    </w:lvl>
    <w:lvl w:ilvl="2" w:tplc="CDF60808">
      <w:start w:val="1"/>
      <w:numFmt w:val="lowerRoman"/>
      <w:lvlText w:val="%3."/>
      <w:lvlJc w:val="right"/>
      <w:pPr>
        <w:ind w:left="2160" w:hanging="180"/>
      </w:pPr>
    </w:lvl>
    <w:lvl w:ilvl="3" w:tplc="570274F8">
      <w:start w:val="1"/>
      <w:numFmt w:val="decimal"/>
      <w:lvlText w:val="%4."/>
      <w:lvlJc w:val="left"/>
      <w:pPr>
        <w:ind w:left="2880" w:hanging="360"/>
      </w:pPr>
    </w:lvl>
    <w:lvl w:ilvl="4" w:tplc="BAE6A98E">
      <w:start w:val="1"/>
      <w:numFmt w:val="lowerLetter"/>
      <w:lvlText w:val="%5."/>
      <w:lvlJc w:val="left"/>
      <w:pPr>
        <w:ind w:left="3600" w:hanging="360"/>
      </w:pPr>
    </w:lvl>
    <w:lvl w:ilvl="5" w:tplc="3DB267C0">
      <w:start w:val="1"/>
      <w:numFmt w:val="lowerRoman"/>
      <w:lvlText w:val="%6."/>
      <w:lvlJc w:val="right"/>
      <w:pPr>
        <w:ind w:left="4320" w:hanging="180"/>
      </w:pPr>
    </w:lvl>
    <w:lvl w:ilvl="6" w:tplc="90FA4D30">
      <w:start w:val="1"/>
      <w:numFmt w:val="decimal"/>
      <w:lvlText w:val="%7."/>
      <w:lvlJc w:val="left"/>
      <w:pPr>
        <w:ind w:left="5040" w:hanging="360"/>
      </w:pPr>
    </w:lvl>
    <w:lvl w:ilvl="7" w:tplc="B61CC490">
      <w:start w:val="1"/>
      <w:numFmt w:val="lowerLetter"/>
      <w:lvlText w:val="%8."/>
      <w:lvlJc w:val="left"/>
      <w:pPr>
        <w:ind w:left="5760" w:hanging="360"/>
      </w:pPr>
    </w:lvl>
    <w:lvl w:ilvl="8" w:tplc="4BE2B3D2">
      <w:start w:val="1"/>
      <w:numFmt w:val="lowerRoman"/>
      <w:lvlText w:val="%9."/>
      <w:lvlJc w:val="right"/>
      <w:pPr>
        <w:ind w:left="6480" w:hanging="180"/>
      </w:pPr>
    </w:lvl>
  </w:abstractNum>
  <w:abstractNum w:abstractNumId="83" w15:restartNumberingAfterBreak="0">
    <w:nsid w:val="63FA6C6C"/>
    <w:multiLevelType w:val="hybridMultilevel"/>
    <w:tmpl w:val="FFFFFFFF"/>
    <w:lvl w:ilvl="0" w:tplc="BFE443FC">
      <w:start w:val="1"/>
      <w:numFmt w:val="decimal"/>
      <w:lvlText w:val="%1."/>
      <w:lvlJc w:val="left"/>
      <w:pPr>
        <w:ind w:left="720" w:hanging="360"/>
      </w:pPr>
      <w:rPr>
        <w:rFonts w:ascii="Arial" w:hAnsi="Arial" w:hint="default"/>
      </w:rPr>
    </w:lvl>
    <w:lvl w:ilvl="1" w:tplc="78AAB50E">
      <w:start w:val="1"/>
      <w:numFmt w:val="lowerLetter"/>
      <w:lvlText w:val="%2."/>
      <w:lvlJc w:val="left"/>
      <w:pPr>
        <w:ind w:left="1440" w:hanging="360"/>
      </w:pPr>
    </w:lvl>
    <w:lvl w:ilvl="2" w:tplc="4874DBE6">
      <w:start w:val="1"/>
      <w:numFmt w:val="lowerRoman"/>
      <w:lvlText w:val="%3."/>
      <w:lvlJc w:val="right"/>
      <w:pPr>
        <w:ind w:left="2160" w:hanging="180"/>
      </w:pPr>
    </w:lvl>
    <w:lvl w:ilvl="3" w:tplc="9C58804C">
      <w:start w:val="1"/>
      <w:numFmt w:val="decimal"/>
      <w:lvlText w:val="%4."/>
      <w:lvlJc w:val="left"/>
      <w:pPr>
        <w:ind w:left="2880" w:hanging="360"/>
      </w:pPr>
    </w:lvl>
    <w:lvl w:ilvl="4" w:tplc="54A484DA">
      <w:start w:val="1"/>
      <w:numFmt w:val="lowerLetter"/>
      <w:lvlText w:val="%5."/>
      <w:lvlJc w:val="left"/>
      <w:pPr>
        <w:ind w:left="3600" w:hanging="360"/>
      </w:pPr>
    </w:lvl>
    <w:lvl w:ilvl="5" w:tplc="3A1A5CD2">
      <w:start w:val="1"/>
      <w:numFmt w:val="lowerRoman"/>
      <w:lvlText w:val="%6."/>
      <w:lvlJc w:val="right"/>
      <w:pPr>
        <w:ind w:left="4320" w:hanging="180"/>
      </w:pPr>
    </w:lvl>
    <w:lvl w:ilvl="6" w:tplc="5FF49A50">
      <w:start w:val="1"/>
      <w:numFmt w:val="decimal"/>
      <w:lvlText w:val="%7."/>
      <w:lvlJc w:val="left"/>
      <w:pPr>
        <w:ind w:left="5040" w:hanging="360"/>
      </w:pPr>
    </w:lvl>
    <w:lvl w:ilvl="7" w:tplc="7E62052A">
      <w:start w:val="1"/>
      <w:numFmt w:val="lowerLetter"/>
      <w:lvlText w:val="%8."/>
      <w:lvlJc w:val="left"/>
      <w:pPr>
        <w:ind w:left="5760" w:hanging="360"/>
      </w:pPr>
    </w:lvl>
    <w:lvl w:ilvl="8" w:tplc="5AB6589C">
      <w:start w:val="1"/>
      <w:numFmt w:val="lowerRoman"/>
      <w:lvlText w:val="%9."/>
      <w:lvlJc w:val="right"/>
      <w:pPr>
        <w:ind w:left="6480" w:hanging="180"/>
      </w:pPr>
    </w:lvl>
  </w:abstractNum>
  <w:abstractNum w:abstractNumId="84" w15:restartNumberingAfterBreak="0">
    <w:nsid w:val="647B00E9"/>
    <w:multiLevelType w:val="hybridMultilevel"/>
    <w:tmpl w:val="4E965456"/>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5F29AB7"/>
    <w:multiLevelType w:val="hybridMultilevel"/>
    <w:tmpl w:val="FFFFFFFF"/>
    <w:lvl w:ilvl="0" w:tplc="58201CB0">
      <w:start w:val="1"/>
      <w:numFmt w:val="bullet"/>
      <w:lvlText w:val="·"/>
      <w:lvlJc w:val="left"/>
      <w:pPr>
        <w:ind w:left="720" w:hanging="360"/>
      </w:pPr>
      <w:rPr>
        <w:rFonts w:ascii="Symbol" w:hAnsi="Symbol" w:hint="default"/>
      </w:rPr>
    </w:lvl>
    <w:lvl w:ilvl="1" w:tplc="F21CCB48">
      <w:start w:val="1"/>
      <w:numFmt w:val="bullet"/>
      <w:lvlText w:val="o"/>
      <w:lvlJc w:val="left"/>
      <w:pPr>
        <w:ind w:left="1440" w:hanging="360"/>
      </w:pPr>
      <w:rPr>
        <w:rFonts w:ascii="Courier New" w:hAnsi="Courier New" w:hint="default"/>
      </w:rPr>
    </w:lvl>
    <w:lvl w:ilvl="2" w:tplc="FFCE4578">
      <w:start w:val="1"/>
      <w:numFmt w:val="bullet"/>
      <w:lvlText w:val=""/>
      <w:lvlJc w:val="left"/>
      <w:pPr>
        <w:ind w:left="2160" w:hanging="360"/>
      </w:pPr>
      <w:rPr>
        <w:rFonts w:ascii="Wingdings" w:hAnsi="Wingdings" w:hint="default"/>
      </w:rPr>
    </w:lvl>
    <w:lvl w:ilvl="3" w:tplc="7CAA1FD6">
      <w:start w:val="1"/>
      <w:numFmt w:val="bullet"/>
      <w:lvlText w:val=""/>
      <w:lvlJc w:val="left"/>
      <w:pPr>
        <w:ind w:left="2880" w:hanging="360"/>
      </w:pPr>
      <w:rPr>
        <w:rFonts w:ascii="Symbol" w:hAnsi="Symbol" w:hint="default"/>
      </w:rPr>
    </w:lvl>
    <w:lvl w:ilvl="4" w:tplc="AF8E51E4">
      <w:start w:val="1"/>
      <w:numFmt w:val="bullet"/>
      <w:lvlText w:val="o"/>
      <w:lvlJc w:val="left"/>
      <w:pPr>
        <w:ind w:left="3600" w:hanging="360"/>
      </w:pPr>
      <w:rPr>
        <w:rFonts w:ascii="Courier New" w:hAnsi="Courier New" w:hint="default"/>
      </w:rPr>
    </w:lvl>
    <w:lvl w:ilvl="5" w:tplc="EFFE6B0C">
      <w:start w:val="1"/>
      <w:numFmt w:val="bullet"/>
      <w:lvlText w:val=""/>
      <w:lvlJc w:val="left"/>
      <w:pPr>
        <w:ind w:left="4320" w:hanging="360"/>
      </w:pPr>
      <w:rPr>
        <w:rFonts w:ascii="Wingdings" w:hAnsi="Wingdings" w:hint="default"/>
      </w:rPr>
    </w:lvl>
    <w:lvl w:ilvl="6" w:tplc="29447762">
      <w:start w:val="1"/>
      <w:numFmt w:val="bullet"/>
      <w:lvlText w:val=""/>
      <w:lvlJc w:val="left"/>
      <w:pPr>
        <w:ind w:left="5040" w:hanging="360"/>
      </w:pPr>
      <w:rPr>
        <w:rFonts w:ascii="Symbol" w:hAnsi="Symbol" w:hint="default"/>
      </w:rPr>
    </w:lvl>
    <w:lvl w:ilvl="7" w:tplc="6E262278">
      <w:start w:val="1"/>
      <w:numFmt w:val="bullet"/>
      <w:lvlText w:val="o"/>
      <w:lvlJc w:val="left"/>
      <w:pPr>
        <w:ind w:left="5760" w:hanging="360"/>
      </w:pPr>
      <w:rPr>
        <w:rFonts w:ascii="Courier New" w:hAnsi="Courier New" w:hint="default"/>
      </w:rPr>
    </w:lvl>
    <w:lvl w:ilvl="8" w:tplc="DAA0A588">
      <w:start w:val="1"/>
      <w:numFmt w:val="bullet"/>
      <w:lvlText w:val=""/>
      <w:lvlJc w:val="left"/>
      <w:pPr>
        <w:ind w:left="6480" w:hanging="360"/>
      </w:pPr>
      <w:rPr>
        <w:rFonts w:ascii="Wingdings" w:hAnsi="Wingdings" w:hint="default"/>
      </w:rPr>
    </w:lvl>
  </w:abstractNum>
  <w:abstractNum w:abstractNumId="87" w15:restartNumberingAfterBreak="0">
    <w:nsid w:val="6611570F"/>
    <w:multiLevelType w:val="hybridMultilevel"/>
    <w:tmpl w:val="3EA0F09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8" w15:restartNumberingAfterBreak="0">
    <w:nsid w:val="664D70F5"/>
    <w:multiLevelType w:val="hybridMultilevel"/>
    <w:tmpl w:val="7926427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4E5F2B"/>
    <w:multiLevelType w:val="hybridMultilevel"/>
    <w:tmpl w:val="A07C50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1" w15:restartNumberingAfterBreak="0">
    <w:nsid w:val="693606FA"/>
    <w:multiLevelType w:val="hybridMultilevel"/>
    <w:tmpl w:val="8D6280A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B46E49"/>
    <w:multiLevelType w:val="hybridMultilevel"/>
    <w:tmpl w:val="71CE6D68"/>
    <w:lvl w:ilvl="0" w:tplc="991C3E1E">
      <w:start w:val="1"/>
      <w:numFmt w:val="bullet"/>
      <w:lvlText w:val="-"/>
      <w:lvlJc w:val="left"/>
      <w:pPr>
        <w:ind w:left="776" w:hanging="360"/>
      </w:pPr>
      <w:rPr>
        <w:rFonts w:ascii="Calibri" w:hAnsi="Calibr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3" w15:restartNumberingAfterBreak="0">
    <w:nsid w:val="6A9F1F71"/>
    <w:multiLevelType w:val="hybridMultilevel"/>
    <w:tmpl w:val="BBD8C89C"/>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B65415B"/>
    <w:multiLevelType w:val="hybridMultilevel"/>
    <w:tmpl w:val="E76CD6B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7957C5"/>
    <w:multiLevelType w:val="hybridMultilevel"/>
    <w:tmpl w:val="CB48133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A97145"/>
    <w:multiLevelType w:val="hybridMultilevel"/>
    <w:tmpl w:val="4A84F69C"/>
    <w:lvl w:ilvl="0" w:tplc="B8D40F1C">
      <w:start w:val="1"/>
      <w:numFmt w:val="bullet"/>
      <w:lvlText w:val="-"/>
      <w:lvlJc w:val="left"/>
      <w:pPr>
        <w:ind w:left="1080" w:hanging="72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DCD3309"/>
    <w:multiLevelType w:val="hybridMultilevel"/>
    <w:tmpl w:val="4A98382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E050C4A"/>
    <w:multiLevelType w:val="hybridMultilevel"/>
    <w:tmpl w:val="505EAFF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5E64AD"/>
    <w:multiLevelType w:val="hybridMultilevel"/>
    <w:tmpl w:val="300A349C"/>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726FF"/>
    <w:multiLevelType w:val="hybridMultilevel"/>
    <w:tmpl w:val="FFFFFFFF"/>
    <w:lvl w:ilvl="0" w:tplc="98380C30">
      <w:start w:val="3"/>
      <w:numFmt w:val="decimal"/>
      <w:lvlText w:val="%1."/>
      <w:lvlJc w:val="left"/>
      <w:pPr>
        <w:ind w:left="720" w:hanging="360"/>
      </w:pPr>
      <w:rPr>
        <w:rFonts w:ascii="Arial" w:hAnsi="Arial" w:hint="default"/>
      </w:rPr>
    </w:lvl>
    <w:lvl w:ilvl="1" w:tplc="DD021EF2">
      <w:start w:val="1"/>
      <w:numFmt w:val="lowerLetter"/>
      <w:lvlText w:val="%2."/>
      <w:lvlJc w:val="left"/>
      <w:pPr>
        <w:ind w:left="1440" w:hanging="360"/>
      </w:pPr>
    </w:lvl>
    <w:lvl w:ilvl="2" w:tplc="AC98F804">
      <w:start w:val="1"/>
      <w:numFmt w:val="lowerRoman"/>
      <w:lvlText w:val="%3."/>
      <w:lvlJc w:val="right"/>
      <w:pPr>
        <w:ind w:left="2160" w:hanging="180"/>
      </w:pPr>
    </w:lvl>
    <w:lvl w:ilvl="3" w:tplc="389E5DE2">
      <w:start w:val="1"/>
      <w:numFmt w:val="decimal"/>
      <w:lvlText w:val="%4."/>
      <w:lvlJc w:val="left"/>
      <w:pPr>
        <w:ind w:left="2880" w:hanging="360"/>
      </w:pPr>
    </w:lvl>
    <w:lvl w:ilvl="4" w:tplc="365EFD8C">
      <w:start w:val="1"/>
      <w:numFmt w:val="lowerLetter"/>
      <w:lvlText w:val="%5."/>
      <w:lvlJc w:val="left"/>
      <w:pPr>
        <w:ind w:left="3600" w:hanging="360"/>
      </w:pPr>
    </w:lvl>
    <w:lvl w:ilvl="5" w:tplc="A1AE07A0">
      <w:start w:val="1"/>
      <w:numFmt w:val="lowerRoman"/>
      <w:lvlText w:val="%6."/>
      <w:lvlJc w:val="right"/>
      <w:pPr>
        <w:ind w:left="4320" w:hanging="180"/>
      </w:pPr>
    </w:lvl>
    <w:lvl w:ilvl="6" w:tplc="D096CB8E">
      <w:start w:val="1"/>
      <w:numFmt w:val="decimal"/>
      <w:lvlText w:val="%7."/>
      <w:lvlJc w:val="left"/>
      <w:pPr>
        <w:ind w:left="5040" w:hanging="360"/>
      </w:pPr>
    </w:lvl>
    <w:lvl w:ilvl="7" w:tplc="9BDCC560">
      <w:start w:val="1"/>
      <w:numFmt w:val="lowerLetter"/>
      <w:lvlText w:val="%8."/>
      <w:lvlJc w:val="left"/>
      <w:pPr>
        <w:ind w:left="5760" w:hanging="360"/>
      </w:pPr>
    </w:lvl>
    <w:lvl w:ilvl="8" w:tplc="8C92628C">
      <w:start w:val="1"/>
      <w:numFmt w:val="lowerRoman"/>
      <w:lvlText w:val="%9."/>
      <w:lvlJc w:val="right"/>
      <w:pPr>
        <w:ind w:left="6480" w:hanging="180"/>
      </w:pPr>
    </w:lvl>
  </w:abstractNum>
  <w:abstractNum w:abstractNumId="101" w15:restartNumberingAfterBreak="0">
    <w:nsid w:val="72770BB9"/>
    <w:multiLevelType w:val="hybridMultilevel"/>
    <w:tmpl w:val="B61263DC"/>
    <w:lvl w:ilvl="0" w:tplc="CDB2D0AC">
      <w:start w:val="1"/>
      <w:numFmt w:val="lowerRoman"/>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2" w15:restartNumberingAfterBreak="0">
    <w:nsid w:val="72AE595F"/>
    <w:multiLevelType w:val="hybridMultilevel"/>
    <w:tmpl w:val="11FA201C"/>
    <w:lvl w:ilvl="0" w:tplc="3B1621C6">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73DE680C"/>
    <w:multiLevelType w:val="hybridMultilevel"/>
    <w:tmpl w:val="E2D254FE"/>
    <w:lvl w:ilvl="0" w:tplc="786419CC">
      <w:start w:val="1"/>
      <w:numFmt w:val="bullet"/>
      <w:lvlText w:val="-"/>
      <w:lvlJc w:val="left"/>
      <w:pPr>
        <w:ind w:left="720" w:hanging="360"/>
      </w:pPr>
      <w:rPr>
        <w:rFonts w:ascii="MS Mincho" w:eastAsiaTheme="minorHAnsi" w:hAnsi="MS Mincho" w:cs="MS Mincho" w:hint="default"/>
      </w:rPr>
    </w:lvl>
    <w:lvl w:ilvl="1" w:tplc="18090003">
      <w:start w:val="1"/>
      <w:numFmt w:val="bullet"/>
      <w:lvlText w:val="o"/>
      <w:lvlJc w:val="left"/>
      <w:pPr>
        <w:ind w:left="1440" w:hanging="360"/>
      </w:pPr>
      <w:rPr>
        <w:rFonts w:ascii="Segoe UI Emoji" w:hAnsi="Segoe UI Emoji" w:cs="Segoe UI Emoji"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Segoe UI Emoji" w:hAnsi="Segoe UI Emoji" w:cs="Segoe UI Emoji"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Segoe UI Emoji" w:hAnsi="Segoe UI Emoji" w:cs="Segoe UI Emoji" w:hint="default"/>
      </w:rPr>
    </w:lvl>
    <w:lvl w:ilvl="8" w:tplc="18090005" w:tentative="1">
      <w:start w:val="1"/>
      <w:numFmt w:val="bullet"/>
      <w:lvlText w:val=""/>
      <w:lvlJc w:val="left"/>
      <w:pPr>
        <w:ind w:left="6480" w:hanging="360"/>
      </w:pPr>
      <w:rPr>
        <w:rFonts w:ascii="@MS Mincho" w:hAnsi="@MS Mincho" w:hint="default"/>
      </w:rPr>
    </w:lvl>
  </w:abstractNum>
  <w:abstractNum w:abstractNumId="104" w15:restartNumberingAfterBreak="0">
    <w:nsid w:val="743FC4E8"/>
    <w:multiLevelType w:val="hybridMultilevel"/>
    <w:tmpl w:val="FFFFFFFF"/>
    <w:lvl w:ilvl="0" w:tplc="68E0B802">
      <w:start w:val="7"/>
      <w:numFmt w:val="decimal"/>
      <w:lvlText w:val="%1."/>
      <w:lvlJc w:val="left"/>
      <w:pPr>
        <w:ind w:left="720" w:hanging="360"/>
      </w:pPr>
      <w:rPr>
        <w:rFonts w:ascii="Arial" w:hAnsi="Arial" w:hint="default"/>
      </w:rPr>
    </w:lvl>
    <w:lvl w:ilvl="1" w:tplc="95AEC662">
      <w:start w:val="1"/>
      <w:numFmt w:val="lowerLetter"/>
      <w:lvlText w:val="%2."/>
      <w:lvlJc w:val="left"/>
      <w:pPr>
        <w:ind w:left="1440" w:hanging="360"/>
      </w:pPr>
    </w:lvl>
    <w:lvl w:ilvl="2" w:tplc="298A1246">
      <w:start w:val="1"/>
      <w:numFmt w:val="lowerRoman"/>
      <w:lvlText w:val="%3."/>
      <w:lvlJc w:val="right"/>
      <w:pPr>
        <w:ind w:left="2160" w:hanging="180"/>
      </w:pPr>
    </w:lvl>
    <w:lvl w:ilvl="3" w:tplc="73F03BEA">
      <w:start w:val="1"/>
      <w:numFmt w:val="decimal"/>
      <w:lvlText w:val="%4."/>
      <w:lvlJc w:val="left"/>
      <w:pPr>
        <w:ind w:left="2880" w:hanging="360"/>
      </w:pPr>
    </w:lvl>
    <w:lvl w:ilvl="4" w:tplc="0FE29DB2">
      <w:start w:val="1"/>
      <w:numFmt w:val="lowerLetter"/>
      <w:lvlText w:val="%5."/>
      <w:lvlJc w:val="left"/>
      <w:pPr>
        <w:ind w:left="3600" w:hanging="360"/>
      </w:pPr>
    </w:lvl>
    <w:lvl w:ilvl="5" w:tplc="5A98CA7C">
      <w:start w:val="1"/>
      <w:numFmt w:val="lowerRoman"/>
      <w:lvlText w:val="%6."/>
      <w:lvlJc w:val="right"/>
      <w:pPr>
        <w:ind w:left="4320" w:hanging="180"/>
      </w:pPr>
    </w:lvl>
    <w:lvl w:ilvl="6" w:tplc="A2B0AE06">
      <w:start w:val="1"/>
      <w:numFmt w:val="decimal"/>
      <w:lvlText w:val="%7."/>
      <w:lvlJc w:val="left"/>
      <w:pPr>
        <w:ind w:left="5040" w:hanging="360"/>
      </w:pPr>
    </w:lvl>
    <w:lvl w:ilvl="7" w:tplc="94F03984">
      <w:start w:val="1"/>
      <w:numFmt w:val="lowerLetter"/>
      <w:lvlText w:val="%8."/>
      <w:lvlJc w:val="left"/>
      <w:pPr>
        <w:ind w:left="5760" w:hanging="360"/>
      </w:pPr>
    </w:lvl>
    <w:lvl w:ilvl="8" w:tplc="F01E3496">
      <w:start w:val="1"/>
      <w:numFmt w:val="lowerRoman"/>
      <w:lvlText w:val="%9."/>
      <w:lvlJc w:val="right"/>
      <w:pPr>
        <w:ind w:left="6480" w:hanging="180"/>
      </w:pPr>
    </w:lvl>
  </w:abstractNum>
  <w:abstractNum w:abstractNumId="105" w15:restartNumberingAfterBreak="0">
    <w:nsid w:val="74C36343"/>
    <w:multiLevelType w:val="hybridMultilevel"/>
    <w:tmpl w:val="FFFFFFFF"/>
    <w:lvl w:ilvl="0" w:tplc="18FE0878">
      <w:start w:val="1"/>
      <w:numFmt w:val="decimal"/>
      <w:lvlText w:val="%1."/>
      <w:lvlJc w:val="left"/>
      <w:pPr>
        <w:ind w:left="720" w:hanging="360"/>
      </w:pPr>
    </w:lvl>
    <w:lvl w:ilvl="1" w:tplc="30F481D2">
      <w:start w:val="1"/>
      <w:numFmt w:val="lowerLetter"/>
      <w:lvlText w:val="%2."/>
      <w:lvlJc w:val="left"/>
      <w:pPr>
        <w:ind w:left="1440" w:hanging="360"/>
      </w:pPr>
    </w:lvl>
    <w:lvl w:ilvl="2" w:tplc="BC2A330E">
      <w:start w:val="1"/>
      <w:numFmt w:val="lowerRoman"/>
      <w:lvlText w:val="%3."/>
      <w:lvlJc w:val="right"/>
      <w:pPr>
        <w:ind w:left="2160" w:hanging="180"/>
      </w:pPr>
    </w:lvl>
    <w:lvl w:ilvl="3" w:tplc="0AD85EA2">
      <w:start w:val="1"/>
      <w:numFmt w:val="decimal"/>
      <w:lvlText w:val="%4."/>
      <w:lvlJc w:val="left"/>
      <w:pPr>
        <w:ind w:left="2880" w:hanging="360"/>
      </w:pPr>
    </w:lvl>
    <w:lvl w:ilvl="4" w:tplc="EFE821FA">
      <w:start w:val="1"/>
      <w:numFmt w:val="lowerLetter"/>
      <w:lvlText w:val="%5."/>
      <w:lvlJc w:val="left"/>
      <w:pPr>
        <w:ind w:left="3600" w:hanging="360"/>
      </w:pPr>
    </w:lvl>
    <w:lvl w:ilvl="5" w:tplc="EF6A7952">
      <w:start w:val="1"/>
      <w:numFmt w:val="lowerRoman"/>
      <w:lvlText w:val="%6."/>
      <w:lvlJc w:val="right"/>
      <w:pPr>
        <w:ind w:left="4320" w:hanging="180"/>
      </w:pPr>
    </w:lvl>
    <w:lvl w:ilvl="6" w:tplc="AA54EB3A">
      <w:start w:val="1"/>
      <w:numFmt w:val="decimal"/>
      <w:lvlText w:val="%7."/>
      <w:lvlJc w:val="left"/>
      <w:pPr>
        <w:ind w:left="5040" w:hanging="360"/>
      </w:pPr>
    </w:lvl>
    <w:lvl w:ilvl="7" w:tplc="A3E27F76">
      <w:start w:val="1"/>
      <w:numFmt w:val="lowerLetter"/>
      <w:lvlText w:val="%8."/>
      <w:lvlJc w:val="left"/>
      <w:pPr>
        <w:ind w:left="5760" w:hanging="360"/>
      </w:pPr>
    </w:lvl>
    <w:lvl w:ilvl="8" w:tplc="715AFDE4">
      <w:start w:val="1"/>
      <w:numFmt w:val="lowerRoman"/>
      <w:lvlText w:val="%9."/>
      <w:lvlJc w:val="right"/>
      <w:pPr>
        <w:ind w:left="6480" w:hanging="180"/>
      </w:pPr>
    </w:lvl>
  </w:abstractNum>
  <w:abstractNum w:abstractNumId="106" w15:restartNumberingAfterBreak="0">
    <w:nsid w:val="74EFE3A3"/>
    <w:multiLevelType w:val="hybridMultilevel"/>
    <w:tmpl w:val="FFFFFFFF"/>
    <w:lvl w:ilvl="0" w:tplc="D40AFDD8">
      <w:start w:val="1"/>
      <w:numFmt w:val="bullet"/>
      <w:lvlText w:val="-"/>
      <w:lvlJc w:val="left"/>
      <w:pPr>
        <w:ind w:left="720" w:hanging="360"/>
      </w:pPr>
      <w:rPr>
        <w:rFonts w:ascii="Calibri" w:hAnsi="Calibri" w:hint="default"/>
      </w:rPr>
    </w:lvl>
    <w:lvl w:ilvl="1" w:tplc="D1B00D96">
      <w:start w:val="1"/>
      <w:numFmt w:val="bullet"/>
      <w:lvlText w:val="o"/>
      <w:lvlJc w:val="left"/>
      <w:pPr>
        <w:ind w:left="1440" w:hanging="360"/>
      </w:pPr>
      <w:rPr>
        <w:rFonts w:ascii="Courier New" w:hAnsi="Courier New" w:hint="default"/>
      </w:rPr>
    </w:lvl>
    <w:lvl w:ilvl="2" w:tplc="A9468258">
      <w:start w:val="1"/>
      <w:numFmt w:val="bullet"/>
      <w:lvlText w:val=""/>
      <w:lvlJc w:val="left"/>
      <w:pPr>
        <w:ind w:left="2160" w:hanging="360"/>
      </w:pPr>
      <w:rPr>
        <w:rFonts w:ascii="Wingdings" w:hAnsi="Wingdings" w:hint="default"/>
      </w:rPr>
    </w:lvl>
    <w:lvl w:ilvl="3" w:tplc="017AF1BE">
      <w:start w:val="1"/>
      <w:numFmt w:val="bullet"/>
      <w:lvlText w:val=""/>
      <w:lvlJc w:val="left"/>
      <w:pPr>
        <w:ind w:left="2880" w:hanging="360"/>
      </w:pPr>
      <w:rPr>
        <w:rFonts w:ascii="Symbol" w:hAnsi="Symbol" w:hint="default"/>
      </w:rPr>
    </w:lvl>
    <w:lvl w:ilvl="4" w:tplc="C460106C">
      <w:start w:val="1"/>
      <w:numFmt w:val="bullet"/>
      <w:lvlText w:val="o"/>
      <w:lvlJc w:val="left"/>
      <w:pPr>
        <w:ind w:left="3600" w:hanging="360"/>
      </w:pPr>
      <w:rPr>
        <w:rFonts w:ascii="Courier New" w:hAnsi="Courier New" w:hint="default"/>
      </w:rPr>
    </w:lvl>
    <w:lvl w:ilvl="5" w:tplc="7AF2F49E">
      <w:start w:val="1"/>
      <w:numFmt w:val="bullet"/>
      <w:lvlText w:val=""/>
      <w:lvlJc w:val="left"/>
      <w:pPr>
        <w:ind w:left="4320" w:hanging="360"/>
      </w:pPr>
      <w:rPr>
        <w:rFonts w:ascii="Wingdings" w:hAnsi="Wingdings" w:hint="default"/>
      </w:rPr>
    </w:lvl>
    <w:lvl w:ilvl="6" w:tplc="0A64F4B2">
      <w:start w:val="1"/>
      <w:numFmt w:val="bullet"/>
      <w:lvlText w:val=""/>
      <w:lvlJc w:val="left"/>
      <w:pPr>
        <w:ind w:left="5040" w:hanging="360"/>
      </w:pPr>
      <w:rPr>
        <w:rFonts w:ascii="Symbol" w:hAnsi="Symbol" w:hint="default"/>
      </w:rPr>
    </w:lvl>
    <w:lvl w:ilvl="7" w:tplc="1B526E5E">
      <w:start w:val="1"/>
      <w:numFmt w:val="bullet"/>
      <w:lvlText w:val="o"/>
      <w:lvlJc w:val="left"/>
      <w:pPr>
        <w:ind w:left="5760" w:hanging="360"/>
      </w:pPr>
      <w:rPr>
        <w:rFonts w:ascii="Courier New" w:hAnsi="Courier New" w:hint="default"/>
      </w:rPr>
    </w:lvl>
    <w:lvl w:ilvl="8" w:tplc="A08E0D68">
      <w:start w:val="1"/>
      <w:numFmt w:val="bullet"/>
      <w:lvlText w:val=""/>
      <w:lvlJc w:val="left"/>
      <w:pPr>
        <w:ind w:left="6480" w:hanging="360"/>
      </w:pPr>
      <w:rPr>
        <w:rFonts w:ascii="Wingdings" w:hAnsi="Wingdings" w:hint="default"/>
      </w:rPr>
    </w:lvl>
  </w:abstractNum>
  <w:abstractNum w:abstractNumId="107" w15:restartNumberingAfterBreak="0">
    <w:nsid w:val="760233E5"/>
    <w:multiLevelType w:val="hybridMultilevel"/>
    <w:tmpl w:val="FFFFFFFF"/>
    <w:lvl w:ilvl="0" w:tplc="7C04136C">
      <w:start w:val="4"/>
      <w:numFmt w:val="decimal"/>
      <w:lvlText w:val="%1."/>
      <w:lvlJc w:val="left"/>
      <w:pPr>
        <w:ind w:left="720" w:hanging="360"/>
      </w:pPr>
      <w:rPr>
        <w:rFonts w:ascii="Arial" w:hAnsi="Arial" w:hint="default"/>
      </w:rPr>
    </w:lvl>
    <w:lvl w:ilvl="1" w:tplc="62AA8E5E">
      <w:start w:val="1"/>
      <w:numFmt w:val="lowerLetter"/>
      <w:lvlText w:val="%2."/>
      <w:lvlJc w:val="left"/>
      <w:pPr>
        <w:ind w:left="1440" w:hanging="360"/>
      </w:pPr>
    </w:lvl>
    <w:lvl w:ilvl="2" w:tplc="1632CA88">
      <w:start w:val="1"/>
      <w:numFmt w:val="lowerRoman"/>
      <w:lvlText w:val="%3."/>
      <w:lvlJc w:val="right"/>
      <w:pPr>
        <w:ind w:left="2160" w:hanging="180"/>
      </w:pPr>
    </w:lvl>
    <w:lvl w:ilvl="3" w:tplc="5394B2C6">
      <w:start w:val="1"/>
      <w:numFmt w:val="decimal"/>
      <w:lvlText w:val="%4."/>
      <w:lvlJc w:val="left"/>
      <w:pPr>
        <w:ind w:left="2880" w:hanging="360"/>
      </w:pPr>
    </w:lvl>
    <w:lvl w:ilvl="4" w:tplc="C2E20A78">
      <w:start w:val="1"/>
      <w:numFmt w:val="lowerLetter"/>
      <w:lvlText w:val="%5."/>
      <w:lvlJc w:val="left"/>
      <w:pPr>
        <w:ind w:left="3600" w:hanging="360"/>
      </w:pPr>
    </w:lvl>
    <w:lvl w:ilvl="5" w:tplc="EEDE72C8">
      <w:start w:val="1"/>
      <w:numFmt w:val="lowerRoman"/>
      <w:lvlText w:val="%6."/>
      <w:lvlJc w:val="right"/>
      <w:pPr>
        <w:ind w:left="4320" w:hanging="180"/>
      </w:pPr>
    </w:lvl>
    <w:lvl w:ilvl="6" w:tplc="F2F8A98C">
      <w:start w:val="1"/>
      <w:numFmt w:val="decimal"/>
      <w:lvlText w:val="%7."/>
      <w:lvlJc w:val="left"/>
      <w:pPr>
        <w:ind w:left="5040" w:hanging="360"/>
      </w:pPr>
    </w:lvl>
    <w:lvl w:ilvl="7" w:tplc="015C6054">
      <w:start w:val="1"/>
      <w:numFmt w:val="lowerLetter"/>
      <w:lvlText w:val="%8."/>
      <w:lvlJc w:val="left"/>
      <w:pPr>
        <w:ind w:left="5760" w:hanging="360"/>
      </w:pPr>
    </w:lvl>
    <w:lvl w:ilvl="8" w:tplc="E7A68F56">
      <w:start w:val="1"/>
      <w:numFmt w:val="lowerRoman"/>
      <w:lvlText w:val="%9."/>
      <w:lvlJc w:val="right"/>
      <w:pPr>
        <w:ind w:left="6480" w:hanging="180"/>
      </w:pPr>
    </w:lvl>
  </w:abstractNum>
  <w:abstractNum w:abstractNumId="108"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9" w15:restartNumberingAfterBreak="0">
    <w:nsid w:val="775F47F8"/>
    <w:multiLevelType w:val="hybridMultilevel"/>
    <w:tmpl w:val="6E3A0784"/>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0" w15:restartNumberingAfterBreak="0">
    <w:nsid w:val="779C80A7"/>
    <w:multiLevelType w:val="hybridMultilevel"/>
    <w:tmpl w:val="FFFFFFFF"/>
    <w:lvl w:ilvl="0" w:tplc="54163D2E">
      <w:start w:val="1"/>
      <w:numFmt w:val="bullet"/>
      <w:lvlText w:val=""/>
      <w:lvlJc w:val="left"/>
      <w:pPr>
        <w:ind w:left="720" w:hanging="360"/>
      </w:pPr>
      <w:rPr>
        <w:rFonts w:ascii="Times New Roman félkövér" w:hAnsi="Times New Roman félkövér" w:hint="default"/>
      </w:rPr>
    </w:lvl>
    <w:lvl w:ilvl="1" w:tplc="59C8D084">
      <w:start w:val="1"/>
      <w:numFmt w:val="bullet"/>
      <w:lvlText w:val="o"/>
      <w:lvlJc w:val="left"/>
      <w:pPr>
        <w:ind w:left="1440" w:hanging="360"/>
      </w:pPr>
      <w:rPr>
        <w:rFonts w:ascii="@MS Mincho" w:hAnsi="@MS Mincho" w:hint="default"/>
      </w:rPr>
    </w:lvl>
    <w:lvl w:ilvl="2" w:tplc="F878DE84">
      <w:start w:val="1"/>
      <w:numFmt w:val="bullet"/>
      <w:lvlText w:val=""/>
      <w:lvlJc w:val="left"/>
      <w:pPr>
        <w:ind w:left="2160" w:hanging="360"/>
      </w:pPr>
      <w:rPr>
        <w:rFonts w:ascii="MS Mincho" w:hAnsi="MS Mincho" w:hint="default"/>
      </w:rPr>
    </w:lvl>
    <w:lvl w:ilvl="3" w:tplc="02A253C2">
      <w:start w:val="1"/>
      <w:numFmt w:val="bullet"/>
      <w:lvlText w:val=""/>
      <w:lvlJc w:val="left"/>
      <w:pPr>
        <w:ind w:left="2880" w:hanging="360"/>
      </w:pPr>
      <w:rPr>
        <w:rFonts w:ascii="Times New Roman félkövér" w:hAnsi="Times New Roman félkövér" w:hint="default"/>
      </w:rPr>
    </w:lvl>
    <w:lvl w:ilvl="4" w:tplc="9AFC300C">
      <w:start w:val="1"/>
      <w:numFmt w:val="bullet"/>
      <w:lvlText w:val="o"/>
      <w:lvlJc w:val="left"/>
      <w:pPr>
        <w:ind w:left="3600" w:hanging="360"/>
      </w:pPr>
      <w:rPr>
        <w:rFonts w:ascii="@MS Mincho" w:hAnsi="@MS Mincho" w:hint="default"/>
      </w:rPr>
    </w:lvl>
    <w:lvl w:ilvl="5" w:tplc="C7EC5E7C">
      <w:start w:val="1"/>
      <w:numFmt w:val="bullet"/>
      <w:lvlText w:val=""/>
      <w:lvlJc w:val="left"/>
      <w:pPr>
        <w:ind w:left="4320" w:hanging="360"/>
      </w:pPr>
      <w:rPr>
        <w:rFonts w:ascii="MS Mincho" w:hAnsi="MS Mincho" w:hint="default"/>
      </w:rPr>
    </w:lvl>
    <w:lvl w:ilvl="6" w:tplc="3A4CF30A">
      <w:start w:val="1"/>
      <w:numFmt w:val="bullet"/>
      <w:lvlText w:val=""/>
      <w:lvlJc w:val="left"/>
      <w:pPr>
        <w:ind w:left="5040" w:hanging="360"/>
      </w:pPr>
      <w:rPr>
        <w:rFonts w:ascii="Times New Roman félkövér" w:hAnsi="Times New Roman félkövér" w:hint="default"/>
      </w:rPr>
    </w:lvl>
    <w:lvl w:ilvl="7" w:tplc="541E8A4E">
      <w:start w:val="1"/>
      <w:numFmt w:val="bullet"/>
      <w:lvlText w:val="o"/>
      <w:lvlJc w:val="left"/>
      <w:pPr>
        <w:ind w:left="5760" w:hanging="360"/>
      </w:pPr>
      <w:rPr>
        <w:rFonts w:ascii="@MS Mincho" w:hAnsi="@MS Mincho" w:hint="default"/>
      </w:rPr>
    </w:lvl>
    <w:lvl w:ilvl="8" w:tplc="4D926666">
      <w:start w:val="1"/>
      <w:numFmt w:val="bullet"/>
      <w:lvlText w:val=""/>
      <w:lvlJc w:val="left"/>
      <w:pPr>
        <w:ind w:left="6480" w:hanging="360"/>
      </w:pPr>
      <w:rPr>
        <w:rFonts w:ascii="MS Mincho" w:hAnsi="MS Mincho" w:hint="default"/>
      </w:rPr>
    </w:lvl>
  </w:abstractNum>
  <w:abstractNum w:abstractNumId="111" w15:restartNumberingAfterBreak="0">
    <w:nsid w:val="78262A7E"/>
    <w:multiLevelType w:val="hybridMultilevel"/>
    <w:tmpl w:val="9CA2A382"/>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2" w15:restartNumberingAfterBreak="0">
    <w:nsid w:val="793F767C"/>
    <w:multiLevelType w:val="hybridMultilevel"/>
    <w:tmpl w:val="FFFFFFFF"/>
    <w:lvl w:ilvl="0" w:tplc="B324EFFE">
      <w:start w:val="1"/>
      <w:numFmt w:val="bullet"/>
      <w:lvlText w:val=""/>
      <w:lvlJc w:val="left"/>
      <w:pPr>
        <w:ind w:left="720" w:hanging="360"/>
      </w:pPr>
      <w:rPr>
        <w:rFonts w:ascii="Symbol" w:hAnsi="Symbol" w:hint="default"/>
      </w:rPr>
    </w:lvl>
    <w:lvl w:ilvl="1" w:tplc="756C3CEE">
      <w:start w:val="1"/>
      <w:numFmt w:val="bullet"/>
      <w:lvlText w:val="o"/>
      <w:lvlJc w:val="left"/>
      <w:pPr>
        <w:ind w:left="1440" w:hanging="360"/>
      </w:pPr>
      <w:rPr>
        <w:rFonts w:ascii="Courier New" w:hAnsi="Courier New" w:hint="default"/>
      </w:rPr>
    </w:lvl>
    <w:lvl w:ilvl="2" w:tplc="01FEDD98">
      <w:start w:val="1"/>
      <w:numFmt w:val="bullet"/>
      <w:lvlText w:val=""/>
      <w:lvlJc w:val="left"/>
      <w:pPr>
        <w:ind w:left="2160" w:hanging="360"/>
      </w:pPr>
      <w:rPr>
        <w:rFonts w:ascii="Wingdings" w:hAnsi="Wingdings" w:hint="default"/>
      </w:rPr>
    </w:lvl>
    <w:lvl w:ilvl="3" w:tplc="A0069A78">
      <w:start w:val="1"/>
      <w:numFmt w:val="bullet"/>
      <w:lvlText w:val=""/>
      <w:lvlJc w:val="left"/>
      <w:pPr>
        <w:ind w:left="2880" w:hanging="360"/>
      </w:pPr>
      <w:rPr>
        <w:rFonts w:ascii="Symbol" w:hAnsi="Symbol" w:hint="default"/>
      </w:rPr>
    </w:lvl>
    <w:lvl w:ilvl="4" w:tplc="732A6CD8">
      <w:start w:val="1"/>
      <w:numFmt w:val="bullet"/>
      <w:lvlText w:val="o"/>
      <w:lvlJc w:val="left"/>
      <w:pPr>
        <w:ind w:left="3600" w:hanging="360"/>
      </w:pPr>
      <w:rPr>
        <w:rFonts w:ascii="Courier New" w:hAnsi="Courier New" w:hint="default"/>
      </w:rPr>
    </w:lvl>
    <w:lvl w:ilvl="5" w:tplc="113801C8">
      <w:start w:val="1"/>
      <w:numFmt w:val="bullet"/>
      <w:lvlText w:val=""/>
      <w:lvlJc w:val="left"/>
      <w:pPr>
        <w:ind w:left="4320" w:hanging="360"/>
      </w:pPr>
      <w:rPr>
        <w:rFonts w:ascii="Wingdings" w:hAnsi="Wingdings" w:hint="default"/>
      </w:rPr>
    </w:lvl>
    <w:lvl w:ilvl="6" w:tplc="A3DEF026">
      <w:start w:val="1"/>
      <w:numFmt w:val="bullet"/>
      <w:lvlText w:val=""/>
      <w:lvlJc w:val="left"/>
      <w:pPr>
        <w:ind w:left="5040" w:hanging="360"/>
      </w:pPr>
      <w:rPr>
        <w:rFonts w:ascii="Symbol" w:hAnsi="Symbol" w:hint="default"/>
      </w:rPr>
    </w:lvl>
    <w:lvl w:ilvl="7" w:tplc="71180BE6">
      <w:start w:val="1"/>
      <w:numFmt w:val="bullet"/>
      <w:lvlText w:val="o"/>
      <w:lvlJc w:val="left"/>
      <w:pPr>
        <w:ind w:left="5760" w:hanging="360"/>
      </w:pPr>
      <w:rPr>
        <w:rFonts w:ascii="Courier New" w:hAnsi="Courier New" w:hint="default"/>
      </w:rPr>
    </w:lvl>
    <w:lvl w:ilvl="8" w:tplc="D84EC670">
      <w:start w:val="1"/>
      <w:numFmt w:val="bullet"/>
      <w:lvlText w:val=""/>
      <w:lvlJc w:val="left"/>
      <w:pPr>
        <w:ind w:left="6480" w:hanging="360"/>
      </w:pPr>
      <w:rPr>
        <w:rFonts w:ascii="Wingdings" w:hAnsi="Wingdings" w:hint="default"/>
      </w:rPr>
    </w:lvl>
  </w:abstractNum>
  <w:abstractNum w:abstractNumId="113" w15:restartNumberingAfterBreak="0">
    <w:nsid w:val="7AE7528F"/>
    <w:multiLevelType w:val="hybridMultilevel"/>
    <w:tmpl w:val="DE7489B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11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15" w15:restartNumberingAfterBreak="0">
    <w:nsid w:val="7E3501D0"/>
    <w:multiLevelType w:val="hybridMultilevel"/>
    <w:tmpl w:val="6ADE2398"/>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5E2960"/>
    <w:multiLevelType w:val="hybridMultilevel"/>
    <w:tmpl w:val="071658B8"/>
    <w:lvl w:ilvl="0" w:tplc="18090001">
      <w:start w:val="1"/>
      <w:numFmt w:val="bullet"/>
      <w:lvlText w:val=""/>
      <w:lvlJc w:val="left"/>
      <w:pPr>
        <w:ind w:left="1004" w:hanging="360"/>
      </w:pPr>
      <w:rPr>
        <w:rFonts w:ascii="Symbol" w:hAnsi="Symbol" w:hint="default"/>
      </w:rPr>
    </w:lvl>
    <w:lvl w:ilvl="1" w:tplc="18090003">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17" w15:restartNumberingAfterBreak="0">
    <w:nsid w:val="7EC4DE57"/>
    <w:multiLevelType w:val="hybridMultilevel"/>
    <w:tmpl w:val="FFFFFFFF"/>
    <w:lvl w:ilvl="0" w:tplc="D4F209E8">
      <w:start w:val="1"/>
      <w:numFmt w:val="decimal"/>
      <w:lvlText w:val="%1."/>
      <w:lvlJc w:val="left"/>
      <w:pPr>
        <w:ind w:left="720" w:hanging="360"/>
      </w:pPr>
    </w:lvl>
    <w:lvl w:ilvl="1" w:tplc="62467640">
      <w:start w:val="1"/>
      <w:numFmt w:val="lowerLetter"/>
      <w:lvlText w:val="%2."/>
      <w:lvlJc w:val="left"/>
      <w:pPr>
        <w:ind w:left="1440" w:hanging="360"/>
      </w:pPr>
    </w:lvl>
    <w:lvl w:ilvl="2" w:tplc="F086DE0E">
      <w:start w:val="1"/>
      <w:numFmt w:val="lowerRoman"/>
      <w:lvlText w:val="%3."/>
      <w:lvlJc w:val="right"/>
      <w:pPr>
        <w:ind w:left="2160" w:hanging="180"/>
      </w:pPr>
    </w:lvl>
    <w:lvl w:ilvl="3" w:tplc="7512D428">
      <w:start w:val="1"/>
      <w:numFmt w:val="decimal"/>
      <w:lvlText w:val="%4."/>
      <w:lvlJc w:val="left"/>
      <w:pPr>
        <w:ind w:left="2880" w:hanging="360"/>
      </w:pPr>
    </w:lvl>
    <w:lvl w:ilvl="4" w:tplc="A4003B70">
      <w:start w:val="1"/>
      <w:numFmt w:val="lowerLetter"/>
      <w:lvlText w:val="%5."/>
      <w:lvlJc w:val="left"/>
      <w:pPr>
        <w:ind w:left="3600" w:hanging="360"/>
      </w:pPr>
    </w:lvl>
    <w:lvl w:ilvl="5" w:tplc="ADD0A6B6">
      <w:start w:val="1"/>
      <w:numFmt w:val="lowerRoman"/>
      <w:lvlText w:val="%6."/>
      <w:lvlJc w:val="right"/>
      <w:pPr>
        <w:ind w:left="4320" w:hanging="180"/>
      </w:pPr>
    </w:lvl>
    <w:lvl w:ilvl="6" w:tplc="3F4220BC">
      <w:start w:val="1"/>
      <w:numFmt w:val="decimal"/>
      <w:lvlText w:val="%7."/>
      <w:lvlJc w:val="left"/>
      <w:pPr>
        <w:ind w:left="5040" w:hanging="360"/>
      </w:pPr>
    </w:lvl>
    <w:lvl w:ilvl="7" w:tplc="1968FFC4">
      <w:start w:val="1"/>
      <w:numFmt w:val="lowerLetter"/>
      <w:lvlText w:val="%8."/>
      <w:lvlJc w:val="left"/>
      <w:pPr>
        <w:ind w:left="5760" w:hanging="360"/>
      </w:pPr>
    </w:lvl>
    <w:lvl w:ilvl="8" w:tplc="9730985E">
      <w:start w:val="1"/>
      <w:numFmt w:val="lowerRoman"/>
      <w:lvlText w:val="%9."/>
      <w:lvlJc w:val="right"/>
      <w:pPr>
        <w:ind w:left="6480" w:hanging="180"/>
      </w:pPr>
    </w:lvl>
  </w:abstractNum>
  <w:num w:numId="1">
    <w:abstractNumId w:val="80"/>
  </w:num>
  <w:num w:numId="2">
    <w:abstractNumId w:val="52"/>
  </w:num>
  <w:num w:numId="3">
    <w:abstractNumId w:val="90"/>
  </w:num>
  <w:num w:numId="4">
    <w:abstractNumId w:val="38"/>
  </w:num>
  <w:num w:numId="5">
    <w:abstractNumId w:val="53"/>
  </w:num>
  <w:num w:numId="6">
    <w:abstractNumId w:val="29"/>
  </w:num>
  <w:num w:numId="7">
    <w:abstractNumId w:val="85"/>
  </w:num>
  <w:num w:numId="8">
    <w:abstractNumId w:val="26"/>
  </w:num>
  <w:num w:numId="9">
    <w:abstractNumId w:val="59"/>
  </w:num>
  <w:num w:numId="10">
    <w:abstractNumId w:val="76"/>
  </w:num>
  <w:num w:numId="11">
    <w:abstractNumId w:val="79"/>
  </w:num>
  <w:num w:numId="12">
    <w:abstractNumId w:val="37"/>
  </w:num>
  <w:num w:numId="13">
    <w:abstractNumId w:val="73"/>
  </w:num>
  <w:num w:numId="14">
    <w:abstractNumId w:val="114"/>
  </w:num>
  <w:num w:numId="15">
    <w:abstractNumId w:val="3"/>
  </w:num>
  <w:num w:numId="16">
    <w:abstractNumId w:val="2"/>
  </w:num>
  <w:num w:numId="17">
    <w:abstractNumId w:val="1"/>
  </w:num>
  <w:num w:numId="18">
    <w:abstractNumId w:val="0"/>
  </w:num>
  <w:num w:numId="19">
    <w:abstractNumId w:val="49"/>
  </w:num>
  <w:num w:numId="20">
    <w:abstractNumId w:val="13"/>
  </w:num>
  <w:num w:numId="21">
    <w:abstractNumId w:val="51"/>
  </w:num>
  <w:num w:numId="22">
    <w:abstractNumId w:val="11"/>
  </w:num>
  <w:num w:numId="23">
    <w:abstractNumId w:val="27"/>
  </w:num>
  <w:num w:numId="24">
    <w:abstractNumId w:val="84"/>
  </w:num>
  <w:num w:numId="25">
    <w:abstractNumId w:val="89"/>
  </w:num>
  <w:num w:numId="26">
    <w:abstractNumId w:val="45"/>
  </w:num>
  <w:num w:numId="27">
    <w:abstractNumId w:val="28"/>
  </w:num>
  <w:num w:numId="28">
    <w:abstractNumId w:val="115"/>
  </w:num>
  <w:num w:numId="29">
    <w:abstractNumId w:val="25"/>
  </w:num>
  <w:num w:numId="30">
    <w:abstractNumId w:val="64"/>
  </w:num>
  <w:num w:numId="31">
    <w:abstractNumId w:val="99"/>
  </w:num>
  <w:num w:numId="32">
    <w:abstractNumId w:val="5"/>
  </w:num>
  <w:num w:numId="33">
    <w:abstractNumId w:val="95"/>
  </w:num>
  <w:num w:numId="34">
    <w:abstractNumId w:val="92"/>
  </w:num>
  <w:num w:numId="35">
    <w:abstractNumId w:val="91"/>
  </w:num>
  <w:num w:numId="36">
    <w:abstractNumId w:val="88"/>
  </w:num>
  <w:num w:numId="37">
    <w:abstractNumId w:val="43"/>
  </w:num>
  <w:num w:numId="38">
    <w:abstractNumId w:val="34"/>
  </w:num>
  <w:num w:numId="39">
    <w:abstractNumId w:val="93"/>
  </w:num>
  <w:num w:numId="40">
    <w:abstractNumId w:val="62"/>
  </w:num>
  <w:num w:numId="41">
    <w:abstractNumId w:val="111"/>
  </w:num>
  <w:num w:numId="42">
    <w:abstractNumId w:val="101"/>
  </w:num>
  <w:num w:numId="43">
    <w:abstractNumId w:val="19"/>
  </w:num>
  <w:num w:numId="44">
    <w:abstractNumId w:val="109"/>
  </w:num>
  <w:num w:numId="45">
    <w:abstractNumId w:val="10"/>
  </w:num>
  <w:num w:numId="46">
    <w:abstractNumId w:val="108"/>
  </w:num>
  <w:num w:numId="47">
    <w:abstractNumId w:val="46"/>
  </w:num>
  <w:num w:numId="48">
    <w:abstractNumId w:val="50"/>
  </w:num>
  <w:num w:numId="49">
    <w:abstractNumId w:val="54"/>
  </w:num>
  <w:num w:numId="50">
    <w:abstractNumId w:val="60"/>
  </w:num>
  <w:num w:numId="51">
    <w:abstractNumId w:val="75"/>
  </w:num>
  <w:num w:numId="52">
    <w:abstractNumId w:val="6"/>
  </w:num>
  <w:num w:numId="53">
    <w:abstractNumId w:val="4"/>
  </w:num>
  <w:num w:numId="54">
    <w:abstractNumId w:val="22"/>
  </w:num>
  <w:num w:numId="55">
    <w:abstractNumId w:val="98"/>
  </w:num>
  <w:num w:numId="56">
    <w:abstractNumId w:val="97"/>
  </w:num>
  <w:num w:numId="57">
    <w:abstractNumId w:val="55"/>
  </w:num>
  <w:num w:numId="58">
    <w:abstractNumId w:val="58"/>
  </w:num>
  <w:num w:numId="59">
    <w:abstractNumId w:val="35"/>
  </w:num>
  <w:num w:numId="60">
    <w:abstractNumId w:val="41"/>
  </w:num>
  <w:num w:numId="61">
    <w:abstractNumId w:val="74"/>
  </w:num>
  <w:num w:numId="62">
    <w:abstractNumId w:val="96"/>
  </w:num>
  <w:num w:numId="63">
    <w:abstractNumId w:val="66"/>
  </w:num>
  <w:num w:numId="64">
    <w:abstractNumId w:val="67"/>
  </w:num>
  <w:num w:numId="65">
    <w:abstractNumId w:val="56"/>
  </w:num>
  <w:num w:numId="66">
    <w:abstractNumId w:val="42"/>
  </w:num>
  <w:num w:numId="67">
    <w:abstractNumId w:val="40"/>
  </w:num>
  <w:num w:numId="68">
    <w:abstractNumId w:val="23"/>
  </w:num>
  <w:num w:numId="69">
    <w:abstractNumId w:val="94"/>
  </w:num>
  <w:num w:numId="70">
    <w:abstractNumId w:val="17"/>
  </w:num>
  <w:num w:numId="71">
    <w:abstractNumId w:val="33"/>
  </w:num>
  <w:num w:numId="72">
    <w:abstractNumId w:val="87"/>
  </w:num>
  <w:num w:numId="73">
    <w:abstractNumId w:val="16"/>
  </w:num>
  <w:num w:numId="74">
    <w:abstractNumId w:val="103"/>
  </w:num>
  <w:num w:numId="75">
    <w:abstractNumId w:val="81"/>
  </w:num>
  <w:num w:numId="76">
    <w:abstractNumId w:val="12"/>
  </w:num>
  <w:num w:numId="77">
    <w:abstractNumId w:val="36"/>
  </w:num>
  <w:num w:numId="78">
    <w:abstractNumId w:val="15"/>
  </w:num>
  <w:num w:numId="79">
    <w:abstractNumId w:val="24"/>
  </w:num>
  <w:num w:numId="80">
    <w:abstractNumId w:val="20"/>
  </w:num>
  <w:num w:numId="81">
    <w:abstractNumId w:val="48"/>
  </w:num>
  <w:num w:numId="82">
    <w:abstractNumId w:val="8"/>
  </w:num>
  <w:num w:numId="83">
    <w:abstractNumId w:val="39"/>
  </w:num>
  <w:num w:numId="84">
    <w:abstractNumId w:val="116"/>
  </w:num>
  <w:num w:numId="85">
    <w:abstractNumId w:val="77"/>
  </w:num>
  <w:num w:numId="86">
    <w:abstractNumId w:val="44"/>
  </w:num>
  <w:num w:numId="87">
    <w:abstractNumId w:val="113"/>
  </w:num>
  <w:num w:numId="88">
    <w:abstractNumId w:val="9"/>
  </w:num>
  <w:num w:numId="89">
    <w:abstractNumId w:val="57"/>
  </w:num>
  <w:num w:numId="90">
    <w:abstractNumId w:val="110"/>
  </w:num>
  <w:num w:numId="91">
    <w:abstractNumId w:val="78"/>
  </w:num>
  <w:num w:numId="92">
    <w:abstractNumId w:val="65"/>
  </w:num>
  <w:num w:numId="93">
    <w:abstractNumId w:val="31"/>
  </w:num>
  <w:num w:numId="94">
    <w:abstractNumId w:val="63"/>
  </w:num>
  <w:num w:numId="95">
    <w:abstractNumId w:val="102"/>
  </w:num>
  <w:num w:numId="96">
    <w:abstractNumId w:val="30"/>
  </w:num>
  <w:num w:numId="97">
    <w:abstractNumId w:val="117"/>
  </w:num>
  <w:num w:numId="98">
    <w:abstractNumId w:val="86"/>
  </w:num>
  <w:num w:numId="99">
    <w:abstractNumId w:val="21"/>
  </w:num>
  <w:num w:numId="100">
    <w:abstractNumId w:val="7"/>
  </w:num>
  <w:num w:numId="101">
    <w:abstractNumId w:val="104"/>
  </w:num>
  <w:num w:numId="102">
    <w:abstractNumId w:val="71"/>
  </w:num>
  <w:num w:numId="103">
    <w:abstractNumId w:val="82"/>
  </w:num>
  <w:num w:numId="104">
    <w:abstractNumId w:val="107"/>
  </w:num>
  <w:num w:numId="105">
    <w:abstractNumId w:val="100"/>
  </w:num>
  <w:num w:numId="106">
    <w:abstractNumId w:val="18"/>
  </w:num>
  <w:num w:numId="107">
    <w:abstractNumId w:val="83"/>
  </w:num>
  <w:num w:numId="108">
    <w:abstractNumId w:val="70"/>
  </w:num>
  <w:num w:numId="109">
    <w:abstractNumId w:val="106"/>
  </w:num>
  <w:num w:numId="110">
    <w:abstractNumId w:val="32"/>
  </w:num>
  <w:num w:numId="111">
    <w:abstractNumId w:val="68"/>
  </w:num>
  <w:num w:numId="112">
    <w:abstractNumId w:val="72"/>
  </w:num>
  <w:num w:numId="113">
    <w:abstractNumId w:val="112"/>
  </w:num>
  <w:num w:numId="114">
    <w:abstractNumId w:val="47"/>
  </w:num>
  <w:num w:numId="115">
    <w:abstractNumId w:val="14"/>
  </w:num>
  <w:num w:numId="116">
    <w:abstractNumId w:val="69"/>
  </w:num>
  <w:num w:numId="117">
    <w:abstractNumId w:val="105"/>
  </w:num>
  <w:num w:numId="118">
    <w:abstractNumId w:val="6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NotTrackFormatting/>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Status" w:val="Green"/>
    <w:docVar w:name="DocuWriteMetaData" w:val="&lt;metadataset docuwriteversion=&quot;4.5.2&quot; technicalblockguid=&quot;465543694134879200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7-07&lt;/text&gt;_x000d__x000a_  &lt;/metadata&gt;_x000d__x000a_  &lt;metadata key=&quot;md_Prefix&quot;&gt;_x000d__x000a_    &lt;text&gt;&lt;/text&gt;_x000d__x000a_  &lt;/metadata&gt;_x000d__x000a_  &lt;metadata key=&quot;md_DocumentNumber&quot;&gt;_x000d__x000a_    &lt;text&gt;10149&lt;/text&gt;_x000d__x000a_  &lt;/metadata&gt;_x000d__x000a_  &lt;metadata key=&quot;md_YearDocumentNumber&quot;&gt;_x000d__x000a_    &lt;text&gt;2021&lt;/text&gt;_x000d__x000a_  &lt;/metadata&gt;_x000d__x000a_  &lt;metadata key=&quot;md_Suffixes&quot;&gt;_x000d__x000a_    &lt;text&gt;ADD 1 REV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636&lt;/text&gt;_x000d__x000a_      &lt;text&gt;CADREFIN 331&lt;/text&gt;_x000d__x000a_      &lt;text&gt;UEM 171&lt;/text&gt;_x000d__x000a_      &lt;text&gt;FIN 51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154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VISED ANNEX to the Council Implementing Decision on the approval of the assessment of the recovery and resilience plan for Portugal&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fr-be&quot; xml:space=&quot;preserve&quot;&amp;gt;REVISED &amp;lt;/Run&amp;gt;ANNEX to the Council Implementing Decision on the approval of the assessment of the recovery and resilience plan for &amp;lt;Run xml:lang=&quot;fr-be&quot;&amp;gt;Portugal&amp;lt;/Run&amp;gt;&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FDC/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LW_ACCOMPAGNANT.CP" w:val="dokumentam"/>
    <w:docVar w:name="LW_ANNEX_NBR_FIRST" w:val="1"/>
    <w:docVar w:name="LW_ANNEX_NBR_LAST" w:val="1"/>
    <w:docVar w:name="LW_ANNEX_UNIQUE" w:val="1"/>
    <w:docVar w:name="LW_CORRIGENDUM" w:val="&lt;UNUSED&gt;"/>
    <w:docVar w:name="LW_COVERPAGE_EXISTS" w:val="True"/>
    <w:docVar w:name="LW_COVERPAGE_GUID" w:val="637091A2-ACEF-49E6-A4D3-CCD8DD57969A"/>
    <w:docVar w:name="LW_COVERPAGE_TYPE" w:val="1"/>
    <w:docVar w:name="LW_CROSSREFERENCE" w:val="{SWD(2023) 318 final}"/>
    <w:docVar w:name="LW_DocType" w:val="NORMAL"/>
    <w:docVar w:name="LW_EMISSION" w:val="22.9.2023"/>
    <w:docVar w:name="LW_EMISSION_ISODATE" w:val="2023-09-22"/>
    <w:docVar w:name="LW_EMISSION_LOCATION" w:val="BRX"/>
    <w:docVar w:name="LW_EMISSION_PREFIX" w:val="Brisel\u275?, "/>
    <w:docVar w:name="LW_EMISSION_SUFFIX" w:val="."/>
    <w:docVar w:name="LW_ID_DOCTYPE_NONLW" w:val="CP-036"/>
    <w:docVar w:name="LW_LANGUE" w:val="LV"/>
    <w:docVar w:name="LW_LEVEL_OF_SENSITIVITY" w:val="Standard treatment"/>
    <w:docVar w:name="LW_NOM.INST" w:val="EIROPAS KOMISIJA"/>
    <w:docVar w:name="LW_NOM.INST_JOINTDOC" w:val="&lt;EMPTY&gt;"/>
    <w:docVar w:name="LW_OBJETACTEPRINCIPAL.CP" w:val="ar ko groza 2021. gada 6. jūlija Īstenošanas lēmumu (ES) (ST 10149/2021; ST 10149/2021 ADD 1) par Portugāles atveseļošanas un noturības plāna novērtējuma apstiprināšanu"/>
    <w:docVar w:name="LW_PART_NBR" w:val="1"/>
    <w:docVar w:name="LW_PART_NBR_TOTAL" w:val="1"/>
    <w:docVar w:name="LW_REF.INST.NEW" w:val="COM"/>
    <w:docVar w:name="LW_REF.INST.NEW_ADOPTED" w:val="final"/>
    <w:docVar w:name="LW_REF.INST.NEW_TEXT" w:val="(2023) 5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Priekšlikums PADOMES ĪSTENOŠANAS LĒMUMAM,"/>
    <w:docVar w:name="LwApiVersions" w:val="LW4CoDe 1.23.2.0; LW 8.0, Build 20211117"/>
  </w:docVars>
  <w:rsids>
    <w:rsidRoot w:val="007C40E9"/>
    <w:rsid w:val="0000008D"/>
    <w:rsid w:val="000000F3"/>
    <w:rsid w:val="00000323"/>
    <w:rsid w:val="00000529"/>
    <w:rsid w:val="00000576"/>
    <w:rsid w:val="000005FF"/>
    <w:rsid w:val="0000064E"/>
    <w:rsid w:val="0000080C"/>
    <w:rsid w:val="00000B7F"/>
    <w:rsid w:val="00000CCC"/>
    <w:rsid w:val="00000F6D"/>
    <w:rsid w:val="00001142"/>
    <w:rsid w:val="0000116B"/>
    <w:rsid w:val="00001258"/>
    <w:rsid w:val="000012F4"/>
    <w:rsid w:val="000013F2"/>
    <w:rsid w:val="000017E6"/>
    <w:rsid w:val="000018CD"/>
    <w:rsid w:val="00001A21"/>
    <w:rsid w:val="00001A89"/>
    <w:rsid w:val="00001CE9"/>
    <w:rsid w:val="00001FC9"/>
    <w:rsid w:val="000022F5"/>
    <w:rsid w:val="00002316"/>
    <w:rsid w:val="00002337"/>
    <w:rsid w:val="00002741"/>
    <w:rsid w:val="000028A2"/>
    <w:rsid w:val="000028FF"/>
    <w:rsid w:val="00002959"/>
    <w:rsid w:val="00002AB9"/>
    <w:rsid w:val="00002C7B"/>
    <w:rsid w:val="00002C97"/>
    <w:rsid w:val="00002E5B"/>
    <w:rsid w:val="00002F2C"/>
    <w:rsid w:val="00002F5B"/>
    <w:rsid w:val="000032C5"/>
    <w:rsid w:val="00003796"/>
    <w:rsid w:val="000037FD"/>
    <w:rsid w:val="00003874"/>
    <w:rsid w:val="00003B17"/>
    <w:rsid w:val="00003B4B"/>
    <w:rsid w:val="00003C25"/>
    <w:rsid w:val="00003F3B"/>
    <w:rsid w:val="00003FE2"/>
    <w:rsid w:val="00003FFC"/>
    <w:rsid w:val="000042A7"/>
    <w:rsid w:val="0000438B"/>
    <w:rsid w:val="00004412"/>
    <w:rsid w:val="000044DE"/>
    <w:rsid w:val="0000482A"/>
    <w:rsid w:val="00004B18"/>
    <w:rsid w:val="00004FD8"/>
    <w:rsid w:val="000050B9"/>
    <w:rsid w:val="000052CD"/>
    <w:rsid w:val="000053ED"/>
    <w:rsid w:val="000054BD"/>
    <w:rsid w:val="0000568D"/>
    <w:rsid w:val="00005986"/>
    <w:rsid w:val="00005999"/>
    <w:rsid w:val="00005A0C"/>
    <w:rsid w:val="00005D5F"/>
    <w:rsid w:val="00005F39"/>
    <w:rsid w:val="00005FB6"/>
    <w:rsid w:val="00006158"/>
    <w:rsid w:val="000062DE"/>
    <w:rsid w:val="000062DF"/>
    <w:rsid w:val="000065B4"/>
    <w:rsid w:val="0000698A"/>
    <w:rsid w:val="00006C1A"/>
    <w:rsid w:val="00006E3C"/>
    <w:rsid w:val="00006F8A"/>
    <w:rsid w:val="00007332"/>
    <w:rsid w:val="00007373"/>
    <w:rsid w:val="000073D5"/>
    <w:rsid w:val="0000755D"/>
    <w:rsid w:val="00007596"/>
    <w:rsid w:val="0000780B"/>
    <w:rsid w:val="00007C47"/>
    <w:rsid w:val="00007C62"/>
    <w:rsid w:val="00007F4E"/>
    <w:rsid w:val="00007FCE"/>
    <w:rsid w:val="00010248"/>
    <w:rsid w:val="000102FE"/>
    <w:rsid w:val="000103B1"/>
    <w:rsid w:val="000104AF"/>
    <w:rsid w:val="00010611"/>
    <w:rsid w:val="00010933"/>
    <w:rsid w:val="00010A55"/>
    <w:rsid w:val="00010F64"/>
    <w:rsid w:val="00010F99"/>
    <w:rsid w:val="00011021"/>
    <w:rsid w:val="00011253"/>
    <w:rsid w:val="0001160D"/>
    <w:rsid w:val="000116CA"/>
    <w:rsid w:val="00011BDB"/>
    <w:rsid w:val="00011F18"/>
    <w:rsid w:val="00011F94"/>
    <w:rsid w:val="000120CC"/>
    <w:rsid w:val="000126BC"/>
    <w:rsid w:val="0001273B"/>
    <w:rsid w:val="0001279B"/>
    <w:rsid w:val="000129ED"/>
    <w:rsid w:val="00012A6B"/>
    <w:rsid w:val="00012A7E"/>
    <w:rsid w:val="00012BF1"/>
    <w:rsid w:val="00012D15"/>
    <w:rsid w:val="00012DAD"/>
    <w:rsid w:val="00012DBA"/>
    <w:rsid w:val="00012E77"/>
    <w:rsid w:val="000139A8"/>
    <w:rsid w:val="00013BEA"/>
    <w:rsid w:val="00013DDC"/>
    <w:rsid w:val="00013FC3"/>
    <w:rsid w:val="000141A4"/>
    <w:rsid w:val="000142FD"/>
    <w:rsid w:val="0001434E"/>
    <w:rsid w:val="000143B3"/>
    <w:rsid w:val="000143D8"/>
    <w:rsid w:val="00014454"/>
    <w:rsid w:val="00014B22"/>
    <w:rsid w:val="00014E11"/>
    <w:rsid w:val="000150DC"/>
    <w:rsid w:val="000151C2"/>
    <w:rsid w:val="0001520F"/>
    <w:rsid w:val="00015504"/>
    <w:rsid w:val="000155EB"/>
    <w:rsid w:val="000156C2"/>
    <w:rsid w:val="00015848"/>
    <w:rsid w:val="000159B2"/>
    <w:rsid w:val="00015B23"/>
    <w:rsid w:val="00015F0B"/>
    <w:rsid w:val="00015F77"/>
    <w:rsid w:val="0001602C"/>
    <w:rsid w:val="00016058"/>
    <w:rsid w:val="000161D9"/>
    <w:rsid w:val="00016237"/>
    <w:rsid w:val="000162B9"/>
    <w:rsid w:val="000162BA"/>
    <w:rsid w:val="000163A1"/>
    <w:rsid w:val="000165A4"/>
    <w:rsid w:val="000166C7"/>
    <w:rsid w:val="0001684A"/>
    <w:rsid w:val="00016A1C"/>
    <w:rsid w:val="00016BD5"/>
    <w:rsid w:val="00016E25"/>
    <w:rsid w:val="00016E8B"/>
    <w:rsid w:val="00017178"/>
    <w:rsid w:val="00017186"/>
    <w:rsid w:val="000174C2"/>
    <w:rsid w:val="00017531"/>
    <w:rsid w:val="000175AB"/>
    <w:rsid w:val="000176AD"/>
    <w:rsid w:val="000177CB"/>
    <w:rsid w:val="0001782F"/>
    <w:rsid w:val="00017831"/>
    <w:rsid w:val="00017A10"/>
    <w:rsid w:val="00017E46"/>
    <w:rsid w:val="00020052"/>
    <w:rsid w:val="0002037E"/>
    <w:rsid w:val="00020594"/>
    <w:rsid w:val="000206B9"/>
    <w:rsid w:val="0002082E"/>
    <w:rsid w:val="000209A5"/>
    <w:rsid w:val="000209B0"/>
    <w:rsid w:val="00020A61"/>
    <w:rsid w:val="00020A8F"/>
    <w:rsid w:val="00020B0F"/>
    <w:rsid w:val="00020EBA"/>
    <w:rsid w:val="00021016"/>
    <w:rsid w:val="0002101C"/>
    <w:rsid w:val="0002134D"/>
    <w:rsid w:val="00021A62"/>
    <w:rsid w:val="00021BE8"/>
    <w:rsid w:val="00021F53"/>
    <w:rsid w:val="0002235D"/>
    <w:rsid w:val="00022425"/>
    <w:rsid w:val="0002274E"/>
    <w:rsid w:val="0002276F"/>
    <w:rsid w:val="0002294E"/>
    <w:rsid w:val="0002296D"/>
    <w:rsid w:val="000229DA"/>
    <w:rsid w:val="00022B95"/>
    <w:rsid w:val="00022CED"/>
    <w:rsid w:val="00022EAA"/>
    <w:rsid w:val="00023183"/>
    <w:rsid w:val="000239E6"/>
    <w:rsid w:val="00023DE2"/>
    <w:rsid w:val="00024228"/>
    <w:rsid w:val="000244AC"/>
    <w:rsid w:val="000245BC"/>
    <w:rsid w:val="000245D1"/>
    <w:rsid w:val="000247EC"/>
    <w:rsid w:val="000248C2"/>
    <w:rsid w:val="00024AC2"/>
    <w:rsid w:val="00024C45"/>
    <w:rsid w:val="00024CFC"/>
    <w:rsid w:val="0002515F"/>
    <w:rsid w:val="000252D5"/>
    <w:rsid w:val="0002561B"/>
    <w:rsid w:val="00025657"/>
    <w:rsid w:val="0002590D"/>
    <w:rsid w:val="0002592B"/>
    <w:rsid w:val="00025A76"/>
    <w:rsid w:val="00025BD0"/>
    <w:rsid w:val="00025F02"/>
    <w:rsid w:val="00025F3C"/>
    <w:rsid w:val="0002636A"/>
    <w:rsid w:val="00026389"/>
    <w:rsid w:val="000263C6"/>
    <w:rsid w:val="000265CF"/>
    <w:rsid w:val="00026A33"/>
    <w:rsid w:val="00026C22"/>
    <w:rsid w:val="00026C64"/>
    <w:rsid w:val="00026C9A"/>
    <w:rsid w:val="0002712C"/>
    <w:rsid w:val="00027334"/>
    <w:rsid w:val="000273F4"/>
    <w:rsid w:val="00027476"/>
    <w:rsid w:val="0002754A"/>
    <w:rsid w:val="0002783C"/>
    <w:rsid w:val="000278F2"/>
    <w:rsid w:val="00027A5D"/>
    <w:rsid w:val="00027CAF"/>
    <w:rsid w:val="00027E1A"/>
    <w:rsid w:val="00027F14"/>
    <w:rsid w:val="000300AA"/>
    <w:rsid w:val="00030797"/>
    <w:rsid w:val="00030830"/>
    <w:rsid w:val="00030993"/>
    <w:rsid w:val="000309C1"/>
    <w:rsid w:val="00030A32"/>
    <w:rsid w:val="00030DA3"/>
    <w:rsid w:val="00031175"/>
    <w:rsid w:val="0003127E"/>
    <w:rsid w:val="000312CA"/>
    <w:rsid w:val="00031472"/>
    <w:rsid w:val="0003164A"/>
    <w:rsid w:val="0003191A"/>
    <w:rsid w:val="00031962"/>
    <w:rsid w:val="00031B5A"/>
    <w:rsid w:val="00031C47"/>
    <w:rsid w:val="00031D07"/>
    <w:rsid w:val="00032124"/>
    <w:rsid w:val="0003225D"/>
    <w:rsid w:val="00032335"/>
    <w:rsid w:val="00032B36"/>
    <w:rsid w:val="00032CA7"/>
    <w:rsid w:val="00032DB5"/>
    <w:rsid w:val="00032E9D"/>
    <w:rsid w:val="00032EE4"/>
    <w:rsid w:val="0003306E"/>
    <w:rsid w:val="00033234"/>
    <w:rsid w:val="0003335C"/>
    <w:rsid w:val="00033373"/>
    <w:rsid w:val="000335CA"/>
    <w:rsid w:val="000336B3"/>
    <w:rsid w:val="00033A00"/>
    <w:rsid w:val="00033A0D"/>
    <w:rsid w:val="00033DB2"/>
    <w:rsid w:val="00033EE3"/>
    <w:rsid w:val="0003449C"/>
    <w:rsid w:val="000344B0"/>
    <w:rsid w:val="000345DC"/>
    <w:rsid w:val="00034AE0"/>
    <w:rsid w:val="00034C14"/>
    <w:rsid w:val="00035116"/>
    <w:rsid w:val="00035230"/>
    <w:rsid w:val="00035587"/>
    <w:rsid w:val="00035940"/>
    <w:rsid w:val="00035B66"/>
    <w:rsid w:val="00035C66"/>
    <w:rsid w:val="00035FA6"/>
    <w:rsid w:val="0003601E"/>
    <w:rsid w:val="000365E2"/>
    <w:rsid w:val="00036893"/>
    <w:rsid w:val="00036C14"/>
    <w:rsid w:val="00037239"/>
    <w:rsid w:val="00037286"/>
    <w:rsid w:val="00037322"/>
    <w:rsid w:val="0003775E"/>
    <w:rsid w:val="000378E7"/>
    <w:rsid w:val="00037D94"/>
    <w:rsid w:val="00037E65"/>
    <w:rsid w:val="000401F5"/>
    <w:rsid w:val="0004034C"/>
    <w:rsid w:val="000404C8"/>
    <w:rsid w:val="000404E1"/>
    <w:rsid w:val="00040500"/>
    <w:rsid w:val="000405A6"/>
    <w:rsid w:val="000409CB"/>
    <w:rsid w:val="00040A25"/>
    <w:rsid w:val="00041384"/>
    <w:rsid w:val="000419FF"/>
    <w:rsid w:val="00041D91"/>
    <w:rsid w:val="00041DE6"/>
    <w:rsid w:val="000421E6"/>
    <w:rsid w:val="0004235E"/>
    <w:rsid w:val="000423D9"/>
    <w:rsid w:val="00042D28"/>
    <w:rsid w:val="00043129"/>
    <w:rsid w:val="000432C2"/>
    <w:rsid w:val="00043783"/>
    <w:rsid w:val="00043BF1"/>
    <w:rsid w:val="00043E76"/>
    <w:rsid w:val="00043EE0"/>
    <w:rsid w:val="00043F66"/>
    <w:rsid w:val="0004409A"/>
    <w:rsid w:val="0004425F"/>
    <w:rsid w:val="00044841"/>
    <w:rsid w:val="0004486D"/>
    <w:rsid w:val="00044AAF"/>
    <w:rsid w:val="00044ABA"/>
    <w:rsid w:val="00044C45"/>
    <w:rsid w:val="00044CF5"/>
    <w:rsid w:val="00044F87"/>
    <w:rsid w:val="0004511C"/>
    <w:rsid w:val="00045136"/>
    <w:rsid w:val="00045359"/>
    <w:rsid w:val="0004552F"/>
    <w:rsid w:val="000455CD"/>
    <w:rsid w:val="000459BC"/>
    <w:rsid w:val="00045E5C"/>
    <w:rsid w:val="000462AC"/>
    <w:rsid w:val="000466F4"/>
    <w:rsid w:val="00046806"/>
    <w:rsid w:val="00046929"/>
    <w:rsid w:val="000469FA"/>
    <w:rsid w:val="00046AAC"/>
    <w:rsid w:val="00046B3F"/>
    <w:rsid w:val="00046BBE"/>
    <w:rsid w:val="00046CF0"/>
    <w:rsid w:val="00046DB4"/>
    <w:rsid w:val="00046E7B"/>
    <w:rsid w:val="000476E1"/>
    <w:rsid w:val="00047C3A"/>
    <w:rsid w:val="00047CF7"/>
    <w:rsid w:val="0005027F"/>
    <w:rsid w:val="00050287"/>
    <w:rsid w:val="00050546"/>
    <w:rsid w:val="000506CE"/>
    <w:rsid w:val="00050705"/>
    <w:rsid w:val="00050712"/>
    <w:rsid w:val="00050935"/>
    <w:rsid w:val="00050B2A"/>
    <w:rsid w:val="00050B5C"/>
    <w:rsid w:val="00050CAD"/>
    <w:rsid w:val="00050E8B"/>
    <w:rsid w:val="000512F2"/>
    <w:rsid w:val="00051544"/>
    <w:rsid w:val="0005160B"/>
    <w:rsid w:val="00051A70"/>
    <w:rsid w:val="00051B2F"/>
    <w:rsid w:val="00051B5A"/>
    <w:rsid w:val="00051C0A"/>
    <w:rsid w:val="00051D8D"/>
    <w:rsid w:val="00051E2D"/>
    <w:rsid w:val="00051F8A"/>
    <w:rsid w:val="00051FE3"/>
    <w:rsid w:val="00052752"/>
    <w:rsid w:val="00052867"/>
    <w:rsid w:val="00052898"/>
    <w:rsid w:val="00052CBF"/>
    <w:rsid w:val="00052F48"/>
    <w:rsid w:val="000531BD"/>
    <w:rsid w:val="000531DB"/>
    <w:rsid w:val="0005329F"/>
    <w:rsid w:val="00053646"/>
    <w:rsid w:val="00053725"/>
    <w:rsid w:val="000538CE"/>
    <w:rsid w:val="00053A55"/>
    <w:rsid w:val="00053AB3"/>
    <w:rsid w:val="00053AC9"/>
    <w:rsid w:val="00053C04"/>
    <w:rsid w:val="00053F51"/>
    <w:rsid w:val="00054067"/>
    <w:rsid w:val="00054186"/>
    <w:rsid w:val="00054320"/>
    <w:rsid w:val="000543D1"/>
    <w:rsid w:val="000543EE"/>
    <w:rsid w:val="000545ED"/>
    <w:rsid w:val="00054682"/>
    <w:rsid w:val="0005476B"/>
    <w:rsid w:val="00054AD7"/>
    <w:rsid w:val="00054BC9"/>
    <w:rsid w:val="00054D49"/>
    <w:rsid w:val="00054D5F"/>
    <w:rsid w:val="00054EBF"/>
    <w:rsid w:val="00054FDB"/>
    <w:rsid w:val="0005503B"/>
    <w:rsid w:val="00055834"/>
    <w:rsid w:val="00055E73"/>
    <w:rsid w:val="000564B1"/>
    <w:rsid w:val="000565BB"/>
    <w:rsid w:val="00056771"/>
    <w:rsid w:val="000568E5"/>
    <w:rsid w:val="00056CFC"/>
    <w:rsid w:val="00056DB8"/>
    <w:rsid w:val="00056E01"/>
    <w:rsid w:val="00056E8F"/>
    <w:rsid w:val="00056FA2"/>
    <w:rsid w:val="00057027"/>
    <w:rsid w:val="00057069"/>
    <w:rsid w:val="000570D7"/>
    <w:rsid w:val="00057161"/>
    <w:rsid w:val="000575C1"/>
    <w:rsid w:val="00057683"/>
    <w:rsid w:val="000578EA"/>
    <w:rsid w:val="000578EF"/>
    <w:rsid w:val="00057D64"/>
    <w:rsid w:val="00057DF4"/>
    <w:rsid w:val="000600AC"/>
    <w:rsid w:val="000600BE"/>
    <w:rsid w:val="0006027B"/>
    <w:rsid w:val="000603A3"/>
    <w:rsid w:val="000605EC"/>
    <w:rsid w:val="000605FB"/>
    <w:rsid w:val="00060610"/>
    <w:rsid w:val="00060682"/>
    <w:rsid w:val="000606D8"/>
    <w:rsid w:val="00060AB3"/>
    <w:rsid w:val="00060ADF"/>
    <w:rsid w:val="00060DD8"/>
    <w:rsid w:val="00060DDD"/>
    <w:rsid w:val="000614A6"/>
    <w:rsid w:val="00061621"/>
    <w:rsid w:val="0006171B"/>
    <w:rsid w:val="00061922"/>
    <w:rsid w:val="00061AF4"/>
    <w:rsid w:val="00061C49"/>
    <w:rsid w:val="00061CA2"/>
    <w:rsid w:val="0006201A"/>
    <w:rsid w:val="000620D0"/>
    <w:rsid w:val="000623C6"/>
    <w:rsid w:val="000624DF"/>
    <w:rsid w:val="00062845"/>
    <w:rsid w:val="00062A35"/>
    <w:rsid w:val="00062B47"/>
    <w:rsid w:val="00062DF0"/>
    <w:rsid w:val="00062F37"/>
    <w:rsid w:val="00062F89"/>
    <w:rsid w:val="00062F9C"/>
    <w:rsid w:val="0006301D"/>
    <w:rsid w:val="000631FE"/>
    <w:rsid w:val="00063572"/>
    <w:rsid w:val="0006361B"/>
    <w:rsid w:val="000637D1"/>
    <w:rsid w:val="00063ECB"/>
    <w:rsid w:val="00064078"/>
    <w:rsid w:val="00064098"/>
    <w:rsid w:val="00064269"/>
    <w:rsid w:val="0006443D"/>
    <w:rsid w:val="00064557"/>
    <w:rsid w:val="0006461E"/>
    <w:rsid w:val="00064829"/>
    <w:rsid w:val="000648FB"/>
    <w:rsid w:val="00064BBA"/>
    <w:rsid w:val="00064E24"/>
    <w:rsid w:val="00064F9F"/>
    <w:rsid w:val="000651B6"/>
    <w:rsid w:val="000653CE"/>
    <w:rsid w:val="000654C9"/>
    <w:rsid w:val="00065710"/>
    <w:rsid w:val="00065C38"/>
    <w:rsid w:val="000661A4"/>
    <w:rsid w:val="00066501"/>
    <w:rsid w:val="00066574"/>
    <w:rsid w:val="00066998"/>
    <w:rsid w:val="00066B30"/>
    <w:rsid w:val="00066BBC"/>
    <w:rsid w:val="00066C0E"/>
    <w:rsid w:val="00066ECD"/>
    <w:rsid w:val="00066ED3"/>
    <w:rsid w:val="00067180"/>
    <w:rsid w:val="000673B3"/>
    <w:rsid w:val="0006750F"/>
    <w:rsid w:val="00067597"/>
    <w:rsid w:val="00067EA8"/>
    <w:rsid w:val="00067F71"/>
    <w:rsid w:val="00070447"/>
    <w:rsid w:val="00070C41"/>
    <w:rsid w:val="00070C75"/>
    <w:rsid w:val="00070C76"/>
    <w:rsid w:val="000710EB"/>
    <w:rsid w:val="0007125B"/>
    <w:rsid w:val="00071539"/>
    <w:rsid w:val="000715B5"/>
    <w:rsid w:val="00071806"/>
    <w:rsid w:val="0007191E"/>
    <w:rsid w:val="0007198C"/>
    <w:rsid w:val="000719B3"/>
    <w:rsid w:val="000719BC"/>
    <w:rsid w:val="000719DD"/>
    <w:rsid w:val="00071B8E"/>
    <w:rsid w:val="00071BBF"/>
    <w:rsid w:val="00071C48"/>
    <w:rsid w:val="00072405"/>
    <w:rsid w:val="000724C1"/>
    <w:rsid w:val="0007259E"/>
    <w:rsid w:val="000727CC"/>
    <w:rsid w:val="0007293A"/>
    <w:rsid w:val="00072AAD"/>
    <w:rsid w:val="00072B01"/>
    <w:rsid w:val="00072D67"/>
    <w:rsid w:val="00072DEE"/>
    <w:rsid w:val="00072E4A"/>
    <w:rsid w:val="0007330F"/>
    <w:rsid w:val="00073C88"/>
    <w:rsid w:val="00073D1E"/>
    <w:rsid w:val="00073E34"/>
    <w:rsid w:val="00073F5A"/>
    <w:rsid w:val="00073F62"/>
    <w:rsid w:val="00073FA7"/>
    <w:rsid w:val="0007437F"/>
    <w:rsid w:val="00074444"/>
    <w:rsid w:val="000747D7"/>
    <w:rsid w:val="00074E9A"/>
    <w:rsid w:val="00074F29"/>
    <w:rsid w:val="00074F6A"/>
    <w:rsid w:val="00074F8E"/>
    <w:rsid w:val="00075040"/>
    <w:rsid w:val="0007535B"/>
    <w:rsid w:val="0007591D"/>
    <w:rsid w:val="00075D71"/>
    <w:rsid w:val="00076018"/>
    <w:rsid w:val="000760F3"/>
    <w:rsid w:val="00076316"/>
    <w:rsid w:val="00076378"/>
    <w:rsid w:val="00076409"/>
    <w:rsid w:val="00076486"/>
    <w:rsid w:val="00076728"/>
    <w:rsid w:val="00076B57"/>
    <w:rsid w:val="00076C54"/>
    <w:rsid w:val="00076F37"/>
    <w:rsid w:val="00077411"/>
    <w:rsid w:val="000776D0"/>
    <w:rsid w:val="00077A66"/>
    <w:rsid w:val="00077B54"/>
    <w:rsid w:val="00077C0F"/>
    <w:rsid w:val="00077D82"/>
    <w:rsid w:val="00077DCB"/>
    <w:rsid w:val="00077FBC"/>
    <w:rsid w:val="000801DF"/>
    <w:rsid w:val="00080639"/>
    <w:rsid w:val="0008063A"/>
    <w:rsid w:val="00080959"/>
    <w:rsid w:val="00080C21"/>
    <w:rsid w:val="00080EF9"/>
    <w:rsid w:val="00081170"/>
    <w:rsid w:val="00081398"/>
    <w:rsid w:val="00081695"/>
    <w:rsid w:val="000818F7"/>
    <w:rsid w:val="00081D8E"/>
    <w:rsid w:val="000820B9"/>
    <w:rsid w:val="0008241F"/>
    <w:rsid w:val="00082469"/>
    <w:rsid w:val="00082679"/>
    <w:rsid w:val="0008277E"/>
    <w:rsid w:val="00082816"/>
    <w:rsid w:val="00082A44"/>
    <w:rsid w:val="00082B45"/>
    <w:rsid w:val="00082B4A"/>
    <w:rsid w:val="00082C33"/>
    <w:rsid w:val="000832C9"/>
    <w:rsid w:val="000832FD"/>
    <w:rsid w:val="000833E3"/>
    <w:rsid w:val="00083486"/>
    <w:rsid w:val="000834C3"/>
    <w:rsid w:val="00083602"/>
    <w:rsid w:val="0008361A"/>
    <w:rsid w:val="0008392A"/>
    <w:rsid w:val="00083A9A"/>
    <w:rsid w:val="00083E05"/>
    <w:rsid w:val="00084028"/>
    <w:rsid w:val="00084115"/>
    <w:rsid w:val="00084459"/>
    <w:rsid w:val="000844DF"/>
    <w:rsid w:val="000844F1"/>
    <w:rsid w:val="00084551"/>
    <w:rsid w:val="0008469D"/>
    <w:rsid w:val="0008471E"/>
    <w:rsid w:val="00084962"/>
    <w:rsid w:val="00084C26"/>
    <w:rsid w:val="00084C9F"/>
    <w:rsid w:val="00084FFA"/>
    <w:rsid w:val="00085053"/>
    <w:rsid w:val="0008509A"/>
    <w:rsid w:val="0008534D"/>
    <w:rsid w:val="000853B1"/>
    <w:rsid w:val="00085495"/>
    <w:rsid w:val="00085844"/>
    <w:rsid w:val="0008590A"/>
    <w:rsid w:val="000860AE"/>
    <w:rsid w:val="000864BE"/>
    <w:rsid w:val="00086630"/>
    <w:rsid w:val="000866A8"/>
    <w:rsid w:val="0008691F"/>
    <w:rsid w:val="00086D26"/>
    <w:rsid w:val="00086E2D"/>
    <w:rsid w:val="00086EED"/>
    <w:rsid w:val="00086FFD"/>
    <w:rsid w:val="000874F1"/>
    <w:rsid w:val="000876A8"/>
    <w:rsid w:val="00087B08"/>
    <w:rsid w:val="00087B54"/>
    <w:rsid w:val="00087FF2"/>
    <w:rsid w:val="000903E5"/>
    <w:rsid w:val="0009053D"/>
    <w:rsid w:val="000905CA"/>
    <w:rsid w:val="00090906"/>
    <w:rsid w:val="00090ED6"/>
    <w:rsid w:val="00091024"/>
    <w:rsid w:val="00091456"/>
    <w:rsid w:val="00091503"/>
    <w:rsid w:val="00091AC8"/>
    <w:rsid w:val="00091B62"/>
    <w:rsid w:val="00091B84"/>
    <w:rsid w:val="00091C05"/>
    <w:rsid w:val="00091F1C"/>
    <w:rsid w:val="00091FEE"/>
    <w:rsid w:val="000925E6"/>
    <w:rsid w:val="000928CE"/>
    <w:rsid w:val="00092ADF"/>
    <w:rsid w:val="00092BF5"/>
    <w:rsid w:val="00092C29"/>
    <w:rsid w:val="0009305B"/>
    <w:rsid w:val="00093130"/>
    <w:rsid w:val="00093219"/>
    <w:rsid w:val="0009322E"/>
    <w:rsid w:val="0009355C"/>
    <w:rsid w:val="000935D7"/>
    <w:rsid w:val="000936EC"/>
    <w:rsid w:val="000937C2"/>
    <w:rsid w:val="000938FC"/>
    <w:rsid w:val="0009395E"/>
    <w:rsid w:val="00093B66"/>
    <w:rsid w:val="00093BC0"/>
    <w:rsid w:val="00093C08"/>
    <w:rsid w:val="00093D01"/>
    <w:rsid w:val="000940D1"/>
    <w:rsid w:val="0009444F"/>
    <w:rsid w:val="00094616"/>
    <w:rsid w:val="00094C75"/>
    <w:rsid w:val="00094F14"/>
    <w:rsid w:val="00094FAD"/>
    <w:rsid w:val="00094FD9"/>
    <w:rsid w:val="00095003"/>
    <w:rsid w:val="000952E9"/>
    <w:rsid w:val="00095304"/>
    <w:rsid w:val="00095536"/>
    <w:rsid w:val="000959BF"/>
    <w:rsid w:val="00095A22"/>
    <w:rsid w:val="00095B44"/>
    <w:rsid w:val="00095BF7"/>
    <w:rsid w:val="00095D00"/>
    <w:rsid w:val="00096105"/>
    <w:rsid w:val="0009678E"/>
    <w:rsid w:val="0009681E"/>
    <w:rsid w:val="00096A6F"/>
    <w:rsid w:val="00096CA7"/>
    <w:rsid w:val="00096E63"/>
    <w:rsid w:val="00096F5E"/>
    <w:rsid w:val="00096F60"/>
    <w:rsid w:val="0009799D"/>
    <w:rsid w:val="00097A12"/>
    <w:rsid w:val="00097C91"/>
    <w:rsid w:val="00097DD2"/>
    <w:rsid w:val="00097FDA"/>
    <w:rsid w:val="000A0565"/>
    <w:rsid w:val="000A0810"/>
    <w:rsid w:val="000A092D"/>
    <w:rsid w:val="000A0ECE"/>
    <w:rsid w:val="000A0F8A"/>
    <w:rsid w:val="000A114E"/>
    <w:rsid w:val="000A1278"/>
    <w:rsid w:val="000A1841"/>
    <w:rsid w:val="000A19CA"/>
    <w:rsid w:val="000A1A2D"/>
    <w:rsid w:val="000A1B9A"/>
    <w:rsid w:val="000A1D84"/>
    <w:rsid w:val="000A1E0A"/>
    <w:rsid w:val="000A1E79"/>
    <w:rsid w:val="000A1ED0"/>
    <w:rsid w:val="000A201A"/>
    <w:rsid w:val="000A2200"/>
    <w:rsid w:val="000A2379"/>
    <w:rsid w:val="000A23A2"/>
    <w:rsid w:val="000A2751"/>
    <w:rsid w:val="000A2A07"/>
    <w:rsid w:val="000A2B7E"/>
    <w:rsid w:val="000A2BB7"/>
    <w:rsid w:val="000A2BF5"/>
    <w:rsid w:val="000A2C41"/>
    <w:rsid w:val="000A2CB3"/>
    <w:rsid w:val="000A2CBB"/>
    <w:rsid w:val="000A2DB2"/>
    <w:rsid w:val="000A3285"/>
    <w:rsid w:val="000A358B"/>
    <w:rsid w:val="000A37EB"/>
    <w:rsid w:val="000A3DD0"/>
    <w:rsid w:val="000A3F07"/>
    <w:rsid w:val="000A4094"/>
    <w:rsid w:val="000A40E2"/>
    <w:rsid w:val="000A4137"/>
    <w:rsid w:val="000A4182"/>
    <w:rsid w:val="000A42B8"/>
    <w:rsid w:val="000A445C"/>
    <w:rsid w:val="000A45B1"/>
    <w:rsid w:val="000A45EB"/>
    <w:rsid w:val="000A4654"/>
    <w:rsid w:val="000A4690"/>
    <w:rsid w:val="000A493B"/>
    <w:rsid w:val="000A4E90"/>
    <w:rsid w:val="000A50E5"/>
    <w:rsid w:val="000A5130"/>
    <w:rsid w:val="000A5500"/>
    <w:rsid w:val="000A5586"/>
    <w:rsid w:val="000A5745"/>
    <w:rsid w:val="000A5861"/>
    <w:rsid w:val="000A5DF4"/>
    <w:rsid w:val="000A5E45"/>
    <w:rsid w:val="000A5E57"/>
    <w:rsid w:val="000A6110"/>
    <w:rsid w:val="000A63C8"/>
    <w:rsid w:val="000A6513"/>
    <w:rsid w:val="000A66D2"/>
    <w:rsid w:val="000A692E"/>
    <w:rsid w:val="000A6C57"/>
    <w:rsid w:val="000A6CCF"/>
    <w:rsid w:val="000A6D10"/>
    <w:rsid w:val="000A6D92"/>
    <w:rsid w:val="000A6FFE"/>
    <w:rsid w:val="000A707B"/>
    <w:rsid w:val="000A7165"/>
    <w:rsid w:val="000A734B"/>
    <w:rsid w:val="000A7757"/>
    <w:rsid w:val="000A77B4"/>
    <w:rsid w:val="000A77F5"/>
    <w:rsid w:val="000A7BD6"/>
    <w:rsid w:val="000A7E75"/>
    <w:rsid w:val="000A7E84"/>
    <w:rsid w:val="000A7EC7"/>
    <w:rsid w:val="000B0089"/>
    <w:rsid w:val="000B0254"/>
    <w:rsid w:val="000B0328"/>
    <w:rsid w:val="000B0516"/>
    <w:rsid w:val="000B06AC"/>
    <w:rsid w:val="000B06AF"/>
    <w:rsid w:val="000B09CE"/>
    <w:rsid w:val="000B0A73"/>
    <w:rsid w:val="000B0BDD"/>
    <w:rsid w:val="000B0CAD"/>
    <w:rsid w:val="000B1030"/>
    <w:rsid w:val="000B123B"/>
    <w:rsid w:val="000B13A3"/>
    <w:rsid w:val="000B13CA"/>
    <w:rsid w:val="000B14BA"/>
    <w:rsid w:val="000B179A"/>
    <w:rsid w:val="000B1988"/>
    <w:rsid w:val="000B1B59"/>
    <w:rsid w:val="000B1D80"/>
    <w:rsid w:val="000B1EBB"/>
    <w:rsid w:val="000B204C"/>
    <w:rsid w:val="000B2266"/>
    <w:rsid w:val="000B242D"/>
    <w:rsid w:val="000B26E2"/>
    <w:rsid w:val="000B2828"/>
    <w:rsid w:val="000B28DA"/>
    <w:rsid w:val="000B2A7D"/>
    <w:rsid w:val="000B30F9"/>
    <w:rsid w:val="000B314B"/>
    <w:rsid w:val="000B3279"/>
    <w:rsid w:val="000B34AC"/>
    <w:rsid w:val="000B379B"/>
    <w:rsid w:val="000B37A3"/>
    <w:rsid w:val="000B37EB"/>
    <w:rsid w:val="000B38D1"/>
    <w:rsid w:val="000B3B7D"/>
    <w:rsid w:val="000B3C5D"/>
    <w:rsid w:val="000B3EC7"/>
    <w:rsid w:val="000B3FE8"/>
    <w:rsid w:val="000B4077"/>
    <w:rsid w:val="000B43FB"/>
    <w:rsid w:val="000B454F"/>
    <w:rsid w:val="000B45A4"/>
    <w:rsid w:val="000B45C2"/>
    <w:rsid w:val="000B4707"/>
    <w:rsid w:val="000B4875"/>
    <w:rsid w:val="000B48C8"/>
    <w:rsid w:val="000B4937"/>
    <w:rsid w:val="000B4ACF"/>
    <w:rsid w:val="000B4D66"/>
    <w:rsid w:val="000B5093"/>
    <w:rsid w:val="000B514A"/>
    <w:rsid w:val="000B5189"/>
    <w:rsid w:val="000B51D6"/>
    <w:rsid w:val="000B52D9"/>
    <w:rsid w:val="000B5488"/>
    <w:rsid w:val="000B54B0"/>
    <w:rsid w:val="000B54C0"/>
    <w:rsid w:val="000B56CE"/>
    <w:rsid w:val="000B5719"/>
    <w:rsid w:val="000B5B13"/>
    <w:rsid w:val="000B5E37"/>
    <w:rsid w:val="000B5E5B"/>
    <w:rsid w:val="000B5EEC"/>
    <w:rsid w:val="000B636D"/>
    <w:rsid w:val="000B643D"/>
    <w:rsid w:val="000B653E"/>
    <w:rsid w:val="000B657D"/>
    <w:rsid w:val="000B65F3"/>
    <w:rsid w:val="000B68AC"/>
    <w:rsid w:val="000B6A9D"/>
    <w:rsid w:val="000B7258"/>
    <w:rsid w:val="000B73EF"/>
    <w:rsid w:val="000B7485"/>
    <w:rsid w:val="000B79C4"/>
    <w:rsid w:val="000B7BDF"/>
    <w:rsid w:val="000C02A1"/>
    <w:rsid w:val="000C0558"/>
    <w:rsid w:val="000C0786"/>
    <w:rsid w:val="000C0A6F"/>
    <w:rsid w:val="000C0BD4"/>
    <w:rsid w:val="000C10F3"/>
    <w:rsid w:val="000C1117"/>
    <w:rsid w:val="000C1211"/>
    <w:rsid w:val="000C1261"/>
    <w:rsid w:val="000C1285"/>
    <w:rsid w:val="000C1F5D"/>
    <w:rsid w:val="000C211E"/>
    <w:rsid w:val="000C232A"/>
    <w:rsid w:val="000C239B"/>
    <w:rsid w:val="000C2626"/>
    <w:rsid w:val="000C26FA"/>
    <w:rsid w:val="000C2A2D"/>
    <w:rsid w:val="000C2D8B"/>
    <w:rsid w:val="000C2DCB"/>
    <w:rsid w:val="000C2E33"/>
    <w:rsid w:val="000C2E88"/>
    <w:rsid w:val="000C2EB7"/>
    <w:rsid w:val="000C300C"/>
    <w:rsid w:val="000C300E"/>
    <w:rsid w:val="000C30BE"/>
    <w:rsid w:val="000C326A"/>
    <w:rsid w:val="000C34A5"/>
    <w:rsid w:val="000C3794"/>
    <w:rsid w:val="000C3A19"/>
    <w:rsid w:val="000C3CE5"/>
    <w:rsid w:val="000C3D21"/>
    <w:rsid w:val="000C3D5B"/>
    <w:rsid w:val="000C4089"/>
    <w:rsid w:val="000C4095"/>
    <w:rsid w:val="000C449E"/>
    <w:rsid w:val="000C457B"/>
    <w:rsid w:val="000C46D4"/>
    <w:rsid w:val="000C4831"/>
    <w:rsid w:val="000C48A7"/>
    <w:rsid w:val="000C496E"/>
    <w:rsid w:val="000C49B7"/>
    <w:rsid w:val="000C4A41"/>
    <w:rsid w:val="000C4A6E"/>
    <w:rsid w:val="000C4BF5"/>
    <w:rsid w:val="000C50F4"/>
    <w:rsid w:val="000C5245"/>
    <w:rsid w:val="000C52D4"/>
    <w:rsid w:val="000C531D"/>
    <w:rsid w:val="000C5350"/>
    <w:rsid w:val="000C54D5"/>
    <w:rsid w:val="000C54DC"/>
    <w:rsid w:val="000C5504"/>
    <w:rsid w:val="000C55C5"/>
    <w:rsid w:val="000C56A4"/>
    <w:rsid w:val="000C585E"/>
    <w:rsid w:val="000C5A45"/>
    <w:rsid w:val="000C5A79"/>
    <w:rsid w:val="000C5ADA"/>
    <w:rsid w:val="000C5B23"/>
    <w:rsid w:val="000C5DBB"/>
    <w:rsid w:val="000C61AC"/>
    <w:rsid w:val="000C6203"/>
    <w:rsid w:val="000C6220"/>
    <w:rsid w:val="000C63A6"/>
    <w:rsid w:val="000C6C86"/>
    <w:rsid w:val="000C735F"/>
    <w:rsid w:val="000C73EA"/>
    <w:rsid w:val="000C7420"/>
    <w:rsid w:val="000C74D4"/>
    <w:rsid w:val="000C76E0"/>
    <w:rsid w:val="000C7B7B"/>
    <w:rsid w:val="000C7BDB"/>
    <w:rsid w:val="000D024B"/>
    <w:rsid w:val="000D054F"/>
    <w:rsid w:val="000D05C9"/>
    <w:rsid w:val="000D0BC0"/>
    <w:rsid w:val="000D117B"/>
    <w:rsid w:val="000D15AA"/>
    <w:rsid w:val="000D16CA"/>
    <w:rsid w:val="000D176C"/>
    <w:rsid w:val="000D1BC5"/>
    <w:rsid w:val="000D1C28"/>
    <w:rsid w:val="000D1E5E"/>
    <w:rsid w:val="000D2040"/>
    <w:rsid w:val="000D2063"/>
    <w:rsid w:val="000D20F8"/>
    <w:rsid w:val="000D228B"/>
    <w:rsid w:val="000D290A"/>
    <w:rsid w:val="000D2AC8"/>
    <w:rsid w:val="000D2B3B"/>
    <w:rsid w:val="000D2D81"/>
    <w:rsid w:val="000D2D9E"/>
    <w:rsid w:val="000D2E69"/>
    <w:rsid w:val="000D2FCA"/>
    <w:rsid w:val="000D30C9"/>
    <w:rsid w:val="000D32A8"/>
    <w:rsid w:val="000D3EC8"/>
    <w:rsid w:val="000D400B"/>
    <w:rsid w:val="000D44A1"/>
    <w:rsid w:val="000D46B1"/>
    <w:rsid w:val="000D477C"/>
    <w:rsid w:val="000D49A0"/>
    <w:rsid w:val="000D4A6B"/>
    <w:rsid w:val="000D4B6F"/>
    <w:rsid w:val="000D4B95"/>
    <w:rsid w:val="000D4DE9"/>
    <w:rsid w:val="000D4F77"/>
    <w:rsid w:val="000D5129"/>
    <w:rsid w:val="000D5214"/>
    <w:rsid w:val="000D5353"/>
    <w:rsid w:val="000D53CF"/>
    <w:rsid w:val="000D54AD"/>
    <w:rsid w:val="000D55D6"/>
    <w:rsid w:val="000D5602"/>
    <w:rsid w:val="000D5A01"/>
    <w:rsid w:val="000D5AA2"/>
    <w:rsid w:val="000D5C65"/>
    <w:rsid w:val="000D5C9D"/>
    <w:rsid w:val="000D5F96"/>
    <w:rsid w:val="000D66AB"/>
    <w:rsid w:val="000D697B"/>
    <w:rsid w:val="000D69C7"/>
    <w:rsid w:val="000D6F90"/>
    <w:rsid w:val="000D71F1"/>
    <w:rsid w:val="000D7321"/>
    <w:rsid w:val="000D7518"/>
    <w:rsid w:val="000D7595"/>
    <w:rsid w:val="000D77B0"/>
    <w:rsid w:val="000D77EF"/>
    <w:rsid w:val="000D780B"/>
    <w:rsid w:val="000D785C"/>
    <w:rsid w:val="000D7929"/>
    <w:rsid w:val="000D79C5"/>
    <w:rsid w:val="000D7ACC"/>
    <w:rsid w:val="000D7CEB"/>
    <w:rsid w:val="000D7FE9"/>
    <w:rsid w:val="000E01D5"/>
    <w:rsid w:val="000E026F"/>
    <w:rsid w:val="000E0674"/>
    <w:rsid w:val="000E0945"/>
    <w:rsid w:val="000E0A40"/>
    <w:rsid w:val="000E0BA9"/>
    <w:rsid w:val="000E0EE0"/>
    <w:rsid w:val="000E0F7A"/>
    <w:rsid w:val="000E1233"/>
    <w:rsid w:val="000E1329"/>
    <w:rsid w:val="000E13B8"/>
    <w:rsid w:val="000E15BA"/>
    <w:rsid w:val="000E1863"/>
    <w:rsid w:val="000E195B"/>
    <w:rsid w:val="000E1A10"/>
    <w:rsid w:val="000E1E9D"/>
    <w:rsid w:val="000E226F"/>
    <w:rsid w:val="000E233C"/>
    <w:rsid w:val="000E2400"/>
    <w:rsid w:val="000E2F42"/>
    <w:rsid w:val="000E3267"/>
    <w:rsid w:val="000E32F8"/>
    <w:rsid w:val="000E331A"/>
    <w:rsid w:val="000E35AE"/>
    <w:rsid w:val="000E3FAA"/>
    <w:rsid w:val="000E41C8"/>
    <w:rsid w:val="000E43B6"/>
    <w:rsid w:val="000E43BF"/>
    <w:rsid w:val="000E43C1"/>
    <w:rsid w:val="000E448A"/>
    <w:rsid w:val="000E45E5"/>
    <w:rsid w:val="000E46C0"/>
    <w:rsid w:val="000E47BA"/>
    <w:rsid w:val="000E4802"/>
    <w:rsid w:val="000E4817"/>
    <w:rsid w:val="000E4B3C"/>
    <w:rsid w:val="000E4BEA"/>
    <w:rsid w:val="000E4EB6"/>
    <w:rsid w:val="000E5120"/>
    <w:rsid w:val="000E52E2"/>
    <w:rsid w:val="000E5345"/>
    <w:rsid w:val="000E5412"/>
    <w:rsid w:val="000E541D"/>
    <w:rsid w:val="000E5476"/>
    <w:rsid w:val="000E5644"/>
    <w:rsid w:val="000E5907"/>
    <w:rsid w:val="000E5C1B"/>
    <w:rsid w:val="000E5CBE"/>
    <w:rsid w:val="000E6006"/>
    <w:rsid w:val="000E62EE"/>
    <w:rsid w:val="000E678D"/>
    <w:rsid w:val="000E6844"/>
    <w:rsid w:val="000E695F"/>
    <w:rsid w:val="000E69F2"/>
    <w:rsid w:val="000E6BC5"/>
    <w:rsid w:val="000E6F44"/>
    <w:rsid w:val="000E6F5C"/>
    <w:rsid w:val="000E7025"/>
    <w:rsid w:val="000E7066"/>
    <w:rsid w:val="000E7387"/>
    <w:rsid w:val="000E7445"/>
    <w:rsid w:val="000E749E"/>
    <w:rsid w:val="000E7868"/>
    <w:rsid w:val="000E7970"/>
    <w:rsid w:val="000E7CCA"/>
    <w:rsid w:val="000E7F59"/>
    <w:rsid w:val="000E7F7F"/>
    <w:rsid w:val="000E7FCB"/>
    <w:rsid w:val="000F0466"/>
    <w:rsid w:val="000F0681"/>
    <w:rsid w:val="000F09AF"/>
    <w:rsid w:val="000F0C95"/>
    <w:rsid w:val="000F0DAB"/>
    <w:rsid w:val="000F0DC7"/>
    <w:rsid w:val="000F11DF"/>
    <w:rsid w:val="000F1409"/>
    <w:rsid w:val="000F174E"/>
    <w:rsid w:val="000F1821"/>
    <w:rsid w:val="000F1BA0"/>
    <w:rsid w:val="000F1D84"/>
    <w:rsid w:val="000F1E9E"/>
    <w:rsid w:val="000F2069"/>
    <w:rsid w:val="000F2210"/>
    <w:rsid w:val="000F228C"/>
    <w:rsid w:val="000F24B0"/>
    <w:rsid w:val="000F2B2C"/>
    <w:rsid w:val="000F2B78"/>
    <w:rsid w:val="000F2C34"/>
    <w:rsid w:val="000F2ECB"/>
    <w:rsid w:val="000F33CE"/>
    <w:rsid w:val="000F349A"/>
    <w:rsid w:val="000F3515"/>
    <w:rsid w:val="000F35BA"/>
    <w:rsid w:val="000F3613"/>
    <w:rsid w:val="000F387B"/>
    <w:rsid w:val="000F3C48"/>
    <w:rsid w:val="000F3CC8"/>
    <w:rsid w:val="000F3DA8"/>
    <w:rsid w:val="000F3F93"/>
    <w:rsid w:val="000F4055"/>
    <w:rsid w:val="000F4312"/>
    <w:rsid w:val="000F45AD"/>
    <w:rsid w:val="000F464F"/>
    <w:rsid w:val="000F49A6"/>
    <w:rsid w:val="000F513C"/>
    <w:rsid w:val="000F530A"/>
    <w:rsid w:val="000F56A7"/>
    <w:rsid w:val="000F5A19"/>
    <w:rsid w:val="000F5C0B"/>
    <w:rsid w:val="000F60A6"/>
    <w:rsid w:val="000F61BB"/>
    <w:rsid w:val="000F64D6"/>
    <w:rsid w:val="000F65EE"/>
    <w:rsid w:val="000F66B1"/>
    <w:rsid w:val="000F676F"/>
    <w:rsid w:val="000F6951"/>
    <w:rsid w:val="000F6D23"/>
    <w:rsid w:val="000F6F5B"/>
    <w:rsid w:val="000F708C"/>
    <w:rsid w:val="000F717B"/>
    <w:rsid w:val="000F74CC"/>
    <w:rsid w:val="000F7743"/>
    <w:rsid w:val="000F788C"/>
    <w:rsid w:val="000F78CC"/>
    <w:rsid w:val="000F79D5"/>
    <w:rsid w:val="000F7FC8"/>
    <w:rsid w:val="0010014F"/>
    <w:rsid w:val="0010016F"/>
    <w:rsid w:val="00100303"/>
    <w:rsid w:val="001003EE"/>
    <w:rsid w:val="001003F7"/>
    <w:rsid w:val="00100592"/>
    <w:rsid w:val="00100630"/>
    <w:rsid w:val="001006E4"/>
    <w:rsid w:val="001008A2"/>
    <w:rsid w:val="00100BFD"/>
    <w:rsid w:val="00100C79"/>
    <w:rsid w:val="00100DBB"/>
    <w:rsid w:val="00100F6B"/>
    <w:rsid w:val="00101142"/>
    <w:rsid w:val="001012D5"/>
    <w:rsid w:val="00101324"/>
    <w:rsid w:val="0010147F"/>
    <w:rsid w:val="0010194F"/>
    <w:rsid w:val="001019F4"/>
    <w:rsid w:val="00101A7B"/>
    <w:rsid w:val="00101D60"/>
    <w:rsid w:val="00101FFA"/>
    <w:rsid w:val="00102163"/>
    <w:rsid w:val="001021B7"/>
    <w:rsid w:val="0010224E"/>
    <w:rsid w:val="001023C1"/>
    <w:rsid w:val="001025FE"/>
    <w:rsid w:val="001028A4"/>
    <w:rsid w:val="00102A3E"/>
    <w:rsid w:val="00102AF1"/>
    <w:rsid w:val="00102B7D"/>
    <w:rsid w:val="00102BCC"/>
    <w:rsid w:val="00102D3C"/>
    <w:rsid w:val="00102F62"/>
    <w:rsid w:val="001033C9"/>
    <w:rsid w:val="00103481"/>
    <w:rsid w:val="001034C4"/>
    <w:rsid w:val="00103510"/>
    <w:rsid w:val="00103567"/>
    <w:rsid w:val="00103583"/>
    <w:rsid w:val="00103609"/>
    <w:rsid w:val="00103614"/>
    <w:rsid w:val="001036C0"/>
    <w:rsid w:val="0010398C"/>
    <w:rsid w:val="00103A74"/>
    <w:rsid w:val="00103C10"/>
    <w:rsid w:val="00103D36"/>
    <w:rsid w:val="00103ED5"/>
    <w:rsid w:val="00104372"/>
    <w:rsid w:val="001044DD"/>
    <w:rsid w:val="001045F3"/>
    <w:rsid w:val="0010469B"/>
    <w:rsid w:val="001048AA"/>
    <w:rsid w:val="00104B39"/>
    <w:rsid w:val="00104BC2"/>
    <w:rsid w:val="00104D8D"/>
    <w:rsid w:val="00104DAB"/>
    <w:rsid w:val="0010500C"/>
    <w:rsid w:val="001051A5"/>
    <w:rsid w:val="001053D4"/>
    <w:rsid w:val="0010543D"/>
    <w:rsid w:val="0010569D"/>
    <w:rsid w:val="001057D0"/>
    <w:rsid w:val="00105948"/>
    <w:rsid w:val="00105B33"/>
    <w:rsid w:val="00105F4D"/>
    <w:rsid w:val="00105F5F"/>
    <w:rsid w:val="00105FB9"/>
    <w:rsid w:val="00106113"/>
    <w:rsid w:val="00106164"/>
    <w:rsid w:val="00106176"/>
    <w:rsid w:val="001061BD"/>
    <w:rsid w:val="001064DF"/>
    <w:rsid w:val="001068CB"/>
    <w:rsid w:val="00106AAA"/>
    <w:rsid w:val="00106B22"/>
    <w:rsid w:val="00106D68"/>
    <w:rsid w:val="00107916"/>
    <w:rsid w:val="00107D39"/>
    <w:rsid w:val="00107EA0"/>
    <w:rsid w:val="00110096"/>
    <w:rsid w:val="001100FA"/>
    <w:rsid w:val="001101EB"/>
    <w:rsid w:val="0011034E"/>
    <w:rsid w:val="001109FF"/>
    <w:rsid w:val="00110C5C"/>
    <w:rsid w:val="00110C77"/>
    <w:rsid w:val="00110D17"/>
    <w:rsid w:val="00110F39"/>
    <w:rsid w:val="0011104A"/>
    <w:rsid w:val="0011119F"/>
    <w:rsid w:val="00111285"/>
    <w:rsid w:val="001113EE"/>
    <w:rsid w:val="001114D1"/>
    <w:rsid w:val="001117EC"/>
    <w:rsid w:val="00111A73"/>
    <w:rsid w:val="00112130"/>
    <w:rsid w:val="00112285"/>
    <w:rsid w:val="001124E5"/>
    <w:rsid w:val="00112625"/>
    <w:rsid w:val="0011266D"/>
    <w:rsid w:val="001126D7"/>
    <w:rsid w:val="0011273B"/>
    <w:rsid w:val="001128FA"/>
    <w:rsid w:val="00112A3C"/>
    <w:rsid w:val="00112A46"/>
    <w:rsid w:val="00112AD2"/>
    <w:rsid w:val="00112D72"/>
    <w:rsid w:val="00112DCA"/>
    <w:rsid w:val="00112E6E"/>
    <w:rsid w:val="001131A9"/>
    <w:rsid w:val="001132CB"/>
    <w:rsid w:val="00113618"/>
    <w:rsid w:val="00113636"/>
    <w:rsid w:val="0011381B"/>
    <w:rsid w:val="00113ABB"/>
    <w:rsid w:val="00113B08"/>
    <w:rsid w:val="00113E72"/>
    <w:rsid w:val="00113F64"/>
    <w:rsid w:val="00114403"/>
    <w:rsid w:val="00114410"/>
    <w:rsid w:val="001149A3"/>
    <w:rsid w:val="00114E15"/>
    <w:rsid w:val="00115104"/>
    <w:rsid w:val="001151AB"/>
    <w:rsid w:val="00115491"/>
    <w:rsid w:val="00115676"/>
    <w:rsid w:val="001156BE"/>
    <w:rsid w:val="001156F0"/>
    <w:rsid w:val="00115839"/>
    <w:rsid w:val="001158A5"/>
    <w:rsid w:val="0011592B"/>
    <w:rsid w:val="001159AB"/>
    <w:rsid w:val="00115A9B"/>
    <w:rsid w:val="00115DE6"/>
    <w:rsid w:val="00115DF6"/>
    <w:rsid w:val="001163F5"/>
    <w:rsid w:val="001164ED"/>
    <w:rsid w:val="001166AE"/>
    <w:rsid w:val="00116CA0"/>
    <w:rsid w:val="00116E2B"/>
    <w:rsid w:val="00116FAF"/>
    <w:rsid w:val="0011725E"/>
    <w:rsid w:val="0011769F"/>
    <w:rsid w:val="001176D9"/>
    <w:rsid w:val="001178FD"/>
    <w:rsid w:val="00117B32"/>
    <w:rsid w:val="00117C75"/>
    <w:rsid w:val="00117FB9"/>
    <w:rsid w:val="00117FD2"/>
    <w:rsid w:val="001201DC"/>
    <w:rsid w:val="00120200"/>
    <w:rsid w:val="001203E4"/>
    <w:rsid w:val="00120496"/>
    <w:rsid w:val="00120924"/>
    <w:rsid w:val="0012094D"/>
    <w:rsid w:val="0012097E"/>
    <w:rsid w:val="00120BCB"/>
    <w:rsid w:val="00120CF7"/>
    <w:rsid w:val="00120E81"/>
    <w:rsid w:val="00120EA0"/>
    <w:rsid w:val="0012106B"/>
    <w:rsid w:val="00121383"/>
    <w:rsid w:val="001218BA"/>
    <w:rsid w:val="001218E3"/>
    <w:rsid w:val="00121F05"/>
    <w:rsid w:val="001220D5"/>
    <w:rsid w:val="0012210E"/>
    <w:rsid w:val="0012212F"/>
    <w:rsid w:val="00122621"/>
    <w:rsid w:val="00122720"/>
    <w:rsid w:val="00122976"/>
    <w:rsid w:val="00122C43"/>
    <w:rsid w:val="00122DA3"/>
    <w:rsid w:val="00122E66"/>
    <w:rsid w:val="00122E7A"/>
    <w:rsid w:val="00122EAA"/>
    <w:rsid w:val="0012331D"/>
    <w:rsid w:val="0012335A"/>
    <w:rsid w:val="0012340D"/>
    <w:rsid w:val="001234B4"/>
    <w:rsid w:val="00123513"/>
    <w:rsid w:val="0012360B"/>
    <w:rsid w:val="001236F1"/>
    <w:rsid w:val="0012377D"/>
    <w:rsid w:val="00123984"/>
    <w:rsid w:val="00123B1A"/>
    <w:rsid w:val="00123CAE"/>
    <w:rsid w:val="00123CB5"/>
    <w:rsid w:val="00123F80"/>
    <w:rsid w:val="001241B5"/>
    <w:rsid w:val="00124233"/>
    <w:rsid w:val="0012424A"/>
    <w:rsid w:val="0012466D"/>
    <w:rsid w:val="00124A5B"/>
    <w:rsid w:val="00124AB1"/>
    <w:rsid w:val="00124ED5"/>
    <w:rsid w:val="001250EF"/>
    <w:rsid w:val="00125436"/>
    <w:rsid w:val="00125560"/>
    <w:rsid w:val="0012564F"/>
    <w:rsid w:val="00125871"/>
    <w:rsid w:val="00125987"/>
    <w:rsid w:val="001259FB"/>
    <w:rsid w:val="00125ADE"/>
    <w:rsid w:val="00125D7C"/>
    <w:rsid w:val="00125F15"/>
    <w:rsid w:val="00126092"/>
    <w:rsid w:val="00126155"/>
    <w:rsid w:val="001264FA"/>
    <w:rsid w:val="001266A7"/>
    <w:rsid w:val="0012679E"/>
    <w:rsid w:val="00126863"/>
    <w:rsid w:val="0012692A"/>
    <w:rsid w:val="00126A2E"/>
    <w:rsid w:val="00126C95"/>
    <w:rsid w:val="00126CEB"/>
    <w:rsid w:val="00126D8C"/>
    <w:rsid w:val="00126E15"/>
    <w:rsid w:val="00126EC5"/>
    <w:rsid w:val="001270BD"/>
    <w:rsid w:val="0012719F"/>
    <w:rsid w:val="00127226"/>
    <w:rsid w:val="001273EA"/>
    <w:rsid w:val="0012790D"/>
    <w:rsid w:val="00127981"/>
    <w:rsid w:val="00127B2C"/>
    <w:rsid w:val="001306B1"/>
    <w:rsid w:val="00130773"/>
    <w:rsid w:val="001307CC"/>
    <w:rsid w:val="0013107C"/>
    <w:rsid w:val="0013126A"/>
    <w:rsid w:val="00131546"/>
    <w:rsid w:val="00131646"/>
    <w:rsid w:val="00131875"/>
    <w:rsid w:val="00131A90"/>
    <w:rsid w:val="00131C63"/>
    <w:rsid w:val="001320FE"/>
    <w:rsid w:val="001323A5"/>
    <w:rsid w:val="00132CDF"/>
    <w:rsid w:val="00132D61"/>
    <w:rsid w:val="001331A9"/>
    <w:rsid w:val="001331FF"/>
    <w:rsid w:val="00133275"/>
    <w:rsid w:val="001334D0"/>
    <w:rsid w:val="001335AE"/>
    <w:rsid w:val="0013367B"/>
    <w:rsid w:val="001336F9"/>
    <w:rsid w:val="00133712"/>
    <w:rsid w:val="0013380C"/>
    <w:rsid w:val="001338B6"/>
    <w:rsid w:val="00133964"/>
    <w:rsid w:val="00133A6D"/>
    <w:rsid w:val="00133CB6"/>
    <w:rsid w:val="00133D23"/>
    <w:rsid w:val="00133E45"/>
    <w:rsid w:val="0013418E"/>
    <w:rsid w:val="00134283"/>
    <w:rsid w:val="00134410"/>
    <w:rsid w:val="00134505"/>
    <w:rsid w:val="001346C2"/>
    <w:rsid w:val="00134883"/>
    <w:rsid w:val="00134953"/>
    <w:rsid w:val="001349D8"/>
    <w:rsid w:val="00134FC9"/>
    <w:rsid w:val="00135345"/>
    <w:rsid w:val="0013542F"/>
    <w:rsid w:val="00135532"/>
    <w:rsid w:val="001355C1"/>
    <w:rsid w:val="00135776"/>
    <w:rsid w:val="001357D2"/>
    <w:rsid w:val="00135993"/>
    <w:rsid w:val="00135A2E"/>
    <w:rsid w:val="00135AAF"/>
    <w:rsid w:val="00135C23"/>
    <w:rsid w:val="00135D99"/>
    <w:rsid w:val="00136391"/>
    <w:rsid w:val="001367AB"/>
    <w:rsid w:val="0013689E"/>
    <w:rsid w:val="001368A3"/>
    <w:rsid w:val="00136B9D"/>
    <w:rsid w:val="00136DC1"/>
    <w:rsid w:val="00136EF5"/>
    <w:rsid w:val="00136FE5"/>
    <w:rsid w:val="001370D4"/>
    <w:rsid w:val="0013727D"/>
    <w:rsid w:val="0013757D"/>
    <w:rsid w:val="0013764E"/>
    <w:rsid w:val="0013785E"/>
    <w:rsid w:val="00137ADB"/>
    <w:rsid w:val="00137B36"/>
    <w:rsid w:val="00137B85"/>
    <w:rsid w:val="00140094"/>
    <w:rsid w:val="001402C9"/>
    <w:rsid w:val="001402D6"/>
    <w:rsid w:val="001407BE"/>
    <w:rsid w:val="001407C0"/>
    <w:rsid w:val="001408C4"/>
    <w:rsid w:val="00140933"/>
    <w:rsid w:val="00140D79"/>
    <w:rsid w:val="00140E0F"/>
    <w:rsid w:val="00140F2E"/>
    <w:rsid w:val="0014110A"/>
    <w:rsid w:val="0014113E"/>
    <w:rsid w:val="00141661"/>
    <w:rsid w:val="00141673"/>
    <w:rsid w:val="0014179D"/>
    <w:rsid w:val="00141842"/>
    <w:rsid w:val="00141E65"/>
    <w:rsid w:val="00141F91"/>
    <w:rsid w:val="00142100"/>
    <w:rsid w:val="00142306"/>
    <w:rsid w:val="001423FC"/>
    <w:rsid w:val="00142AE8"/>
    <w:rsid w:val="00142C1B"/>
    <w:rsid w:val="00142C3F"/>
    <w:rsid w:val="00142CB7"/>
    <w:rsid w:val="00142D02"/>
    <w:rsid w:val="00142E09"/>
    <w:rsid w:val="00142FCD"/>
    <w:rsid w:val="0014344C"/>
    <w:rsid w:val="0014353F"/>
    <w:rsid w:val="001435E3"/>
    <w:rsid w:val="00143AF8"/>
    <w:rsid w:val="00144047"/>
    <w:rsid w:val="00144523"/>
    <w:rsid w:val="00144835"/>
    <w:rsid w:val="00144A57"/>
    <w:rsid w:val="00144C2A"/>
    <w:rsid w:val="00144E67"/>
    <w:rsid w:val="00145088"/>
    <w:rsid w:val="0014510D"/>
    <w:rsid w:val="00145249"/>
    <w:rsid w:val="00145331"/>
    <w:rsid w:val="001456DF"/>
    <w:rsid w:val="001457FA"/>
    <w:rsid w:val="001459D0"/>
    <w:rsid w:val="0014600F"/>
    <w:rsid w:val="00146062"/>
    <w:rsid w:val="00146086"/>
    <w:rsid w:val="001460CC"/>
    <w:rsid w:val="00146110"/>
    <w:rsid w:val="001464C9"/>
    <w:rsid w:val="001465FF"/>
    <w:rsid w:val="00146AED"/>
    <w:rsid w:val="00146BEF"/>
    <w:rsid w:val="00146E1B"/>
    <w:rsid w:val="001473C1"/>
    <w:rsid w:val="0014780E"/>
    <w:rsid w:val="00147B60"/>
    <w:rsid w:val="00147DD8"/>
    <w:rsid w:val="00147ECC"/>
    <w:rsid w:val="0015023C"/>
    <w:rsid w:val="001505EB"/>
    <w:rsid w:val="001507DE"/>
    <w:rsid w:val="0015089D"/>
    <w:rsid w:val="00150D09"/>
    <w:rsid w:val="00150E56"/>
    <w:rsid w:val="00150E93"/>
    <w:rsid w:val="00150F8A"/>
    <w:rsid w:val="00150FF0"/>
    <w:rsid w:val="00151328"/>
    <w:rsid w:val="001513AE"/>
    <w:rsid w:val="001513E2"/>
    <w:rsid w:val="001514CC"/>
    <w:rsid w:val="00151562"/>
    <w:rsid w:val="00151861"/>
    <w:rsid w:val="0015188A"/>
    <w:rsid w:val="001519B0"/>
    <w:rsid w:val="00151B37"/>
    <w:rsid w:val="00151CC6"/>
    <w:rsid w:val="0015205C"/>
    <w:rsid w:val="00152063"/>
    <w:rsid w:val="0015228C"/>
    <w:rsid w:val="001522FA"/>
    <w:rsid w:val="001524CE"/>
    <w:rsid w:val="0015253F"/>
    <w:rsid w:val="001525BC"/>
    <w:rsid w:val="001525C3"/>
    <w:rsid w:val="00152604"/>
    <w:rsid w:val="001526CD"/>
    <w:rsid w:val="00152D74"/>
    <w:rsid w:val="00152D8C"/>
    <w:rsid w:val="00152E18"/>
    <w:rsid w:val="001530BA"/>
    <w:rsid w:val="00153340"/>
    <w:rsid w:val="00153816"/>
    <w:rsid w:val="00153A31"/>
    <w:rsid w:val="00153AA0"/>
    <w:rsid w:val="00153D43"/>
    <w:rsid w:val="0015410A"/>
    <w:rsid w:val="0015419B"/>
    <w:rsid w:val="001546DB"/>
    <w:rsid w:val="001547C5"/>
    <w:rsid w:val="001548C1"/>
    <w:rsid w:val="00154909"/>
    <w:rsid w:val="001549E5"/>
    <w:rsid w:val="00154A75"/>
    <w:rsid w:val="00154AF1"/>
    <w:rsid w:val="00154E38"/>
    <w:rsid w:val="00154ED5"/>
    <w:rsid w:val="0015514E"/>
    <w:rsid w:val="00155226"/>
    <w:rsid w:val="001552EE"/>
    <w:rsid w:val="001552F0"/>
    <w:rsid w:val="00155385"/>
    <w:rsid w:val="001555C5"/>
    <w:rsid w:val="0015593D"/>
    <w:rsid w:val="00155AD1"/>
    <w:rsid w:val="00155B9C"/>
    <w:rsid w:val="00155F87"/>
    <w:rsid w:val="001563AC"/>
    <w:rsid w:val="00156469"/>
    <w:rsid w:val="00156606"/>
    <w:rsid w:val="00156896"/>
    <w:rsid w:val="00156988"/>
    <w:rsid w:val="00156D18"/>
    <w:rsid w:val="00156F9D"/>
    <w:rsid w:val="001573F9"/>
    <w:rsid w:val="0015740C"/>
    <w:rsid w:val="00157615"/>
    <w:rsid w:val="00157C6C"/>
    <w:rsid w:val="0016073E"/>
    <w:rsid w:val="00160802"/>
    <w:rsid w:val="00160A0F"/>
    <w:rsid w:val="00160B31"/>
    <w:rsid w:val="00160C4C"/>
    <w:rsid w:val="00160C8E"/>
    <w:rsid w:val="00160C97"/>
    <w:rsid w:val="00160C9E"/>
    <w:rsid w:val="00160CBB"/>
    <w:rsid w:val="001610BE"/>
    <w:rsid w:val="001610FB"/>
    <w:rsid w:val="001611DE"/>
    <w:rsid w:val="001613FB"/>
    <w:rsid w:val="0016147F"/>
    <w:rsid w:val="00161488"/>
    <w:rsid w:val="001614E1"/>
    <w:rsid w:val="0016163B"/>
    <w:rsid w:val="0016164D"/>
    <w:rsid w:val="0016167F"/>
    <w:rsid w:val="0016191F"/>
    <w:rsid w:val="0016195A"/>
    <w:rsid w:val="00161AD2"/>
    <w:rsid w:val="001621E0"/>
    <w:rsid w:val="0016237B"/>
    <w:rsid w:val="001626B7"/>
    <w:rsid w:val="001627A9"/>
    <w:rsid w:val="001627D5"/>
    <w:rsid w:val="001629E0"/>
    <w:rsid w:val="00162EE0"/>
    <w:rsid w:val="00163138"/>
    <w:rsid w:val="0016324A"/>
    <w:rsid w:val="001635C5"/>
    <w:rsid w:val="00163639"/>
    <w:rsid w:val="0016369C"/>
    <w:rsid w:val="001637CA"/>
    <w:rsid w:val="001638DD"/>
    <w:rsid w:val="001638F7"/>
    <w:rsid w:val="00163C88"/>
    <w:rsid w:val="00163FD4"/>
    <w:rsid w:val="0016411F"/>
    <w:rsid w:val="00164697"/>
    <w:rsid w:val="001647D0"/>
    <w:rsid w:val="00164BCE"/>
    <w:rsid w:val="00164D4F"/>
    <w:rsid w:val="00164EA4"/>
    <w:rsid w:val="00164EC1"/>
    <w:rsid w:val="00165784"/>
    <w:rsid w:val="001658BC"/>
    <w:rsid w:val="001658FC"/>
    <w:rsid w:val="001659C2"/>
    <w:rsid w:val="00165BBF"/>
    <w:rsid w:val="00165BED"/>
    <w:rsid w:val="00165C5C"/>
    <w:rsid w:val="00165CD1"/>
    <w:rsid w:val="0016619C"/>
    <w:rsid w:val="0016629F"/>
    <w:rsid w:val="00166456"/>
    <w:rsid w:val="001666B9"/>
    <w:rsid w:val="00166803"/>
    <w:rsid w:val="0016681C"/>
    <w:rsid w:val="00166BBF"/>
    <w:rsid w:val="001670C5"/>
    <w:rsid w:val="0016766F"/>
    <w:rsid w:val="001676B2"/>
    <w:rsid w:val="00167EDA"/>
    <w:rsid w:val="00170061"/>
    <w:rsid w:val="00170494"/>
    <w:rsid w:val="0017060D"/>
    <w:rsid w:val="001707B2"/>
    <w:rsid w:val="001707D4"/>
    <w:rsid w:val="001709E6"/>
    <w:rsid w:val="00170A30"/>
    <w:rsid w:val="00170B0F"/>
    <w:rsid w:val="00170E70"/>
    <w:rsid w:val="001710C0"/>
    <w:rsid w:val="00171242"/>
    <w:rsid w:val="00171380"/>
    <w:rsid w:val="001714DE"/>
    <w:rsid w:val="0017170C"/>
    <w:rsid w:val="001717F9"/>
    <w:rsid w:val="00171A12"/>
    <w:rsid w:val="00171C06"/>
    <w:rsid w:val="00171C71"/>
    <w:rsid w:val="00171E47"/>
    <w:rsid w:val="0017207C"/>
    <w:rsid w:val="001729F1"/>
    <w:rsid w:val="00172BBE"/>
    <w:rsid w:val="00172C04"/>
    <w:rsid w:val="00172CA3"/>
    <w:rsid w:val="00172CF6"/>
    <w:rsid w:val="00172D14"/>
    <w:rsid w:val="00172D64"/>
    <w:rsid w:val="00172EAD"/>
    <w:rsid w:val="00172F0E"/>
    <w:rsid w:val="00172F62"/>
    <w:rsid w:val="00173130"/>
    <w:rsid w:val="00173480"/>
    <w:rsid w:val="0017359A"/>
    <w:rsid w:val="001736AD"/>
    <w:rsid w:val="00173906"/>
    <w:rsid w:val="00173EC4"/>
    <w:rsid w:val="001740CB"/>
    <w:rsid w:val="0017463A"/>
    <w:rsid w:val="001747BA"/>
    <w:rsid w:val="00174A2F"/>
    <w:rsid w:val="00174D72"/>
    <w:rsid w:val="00174D8E"/>
    <w:rsid w:val="00175341"/>
    <w:rsid w:val="001757BE"/>
    <w:rsid w:val="001757D8"/>
    <w:rsid w:val="001758A1"/>
    <w:rsid w:val="00175AB4"/>
    <w:rsid w:val="00175D63"/>
    <w:rsid w:val="00175DE2"/>
    <w:rsid w:val="00176329"/>
    <w:rsid w:val="0017635D"/>
    <w:rsid w:val="00176437"/>
    <w:rsid w:val="0017678A"/>
    <w:rsid w:val="00176B5C"/>
    <w:rsid w:val="00176BCC"/>
    <w:rsid w:val="00176BFC"/>
    <w:rsid w:val="00176D5C"/>
    <w:rsid w:val="00177119"/>
    <w:rsid w:val="0017716C"/>
    <w:rsid w:val="00177362"/>
    <w:rsid w:val="0017737A"/>
    <w:rsid w:val="001773BF"/>
    <w:rsid w:val="00177434"/>
    <w:rsid w:val="001778F2"/>
    <w:rsid w:val="00177BB7"/>
    <w:rsid w:val="00177D47"/>
    <w:rsid w:val="00177E76"/>
    <w:rsid w:val="00177F4A"/>
    <w:rsid w:val="001800E3"/>
    <w:rsid w:val="001801DC"/>
    <w:rsid w:val="001804F7"/>
    <w:rsid w:val="00180808"/>
    <w:rsid w:val="00180876"/>
    <w:rsid w:val="00180A88"/>
    <w:rsid w:val="00180BEA"/>
    <w:rsid w:val="00180CD6"/>
    <w:rsid w:val="00180CF4"/>
    <w:rsid w:val="00180EB3"/>
    <w:rsid w:val="00180F2B"/>
    <w:rsid w:val="00181249"/>
    <w:rsid w:val="00181397"/>
    <w:rsid w:val="0018146E"/>
    <w:rsid w:val="00181633"/>
    <w:rsid w:val="00181828"/>
    <w:rsid w:val="00181C2F"/>
    <w:rsid w:val="00181F2D"/>
    <w:rsid w:val="00181F4C"/>
    <w:rsid w:val="0018254E"/>
    <w:rsid w:val="0018258D"/>
    <w:rsid w:val="00182677"/>
    <w:rsid w:val="001828E4"/>
    <w:rsid w:val="00182B15"/>
    <w:rsid w:val="00182CF9"/>
    <w:rsid w:val="001832B5"/>
    <w:rsid w:val="00183323"/>
    <w:rsid w:val="001833E9"/>
    <w:rsid w:val="001833EF"/>
    <w:rsid w:val="0018356D"/>
    <w:rsid w:val="001835BB"/>
    <w:rsid w:val="00183682"/>
    <w:rsid w:val="001836E2"/>
    <w:rsid w:val="0018373D"/>
    <w:rsid w:val="00183859"/>
    <w:rsid w:val="001839F0"/>
    <w:rsid w:val="00183A15"/>
    <w:rsid w:val="00183A48"/>
    <w:rsid w:val="00183A78"/>
    <w:rsid w:val="00183B40"/>
    <w:rsid w:val="00183BA9"/>
    <w:rsid w:val="00183D30"/>
    <w:rsid w:val="00183D58"/>
    <w:rsid w:val="00183DEA"/>
    <w:rsid w:val="00183E5D"/>
    <w:rsid w:val="00184373"/>
    <w:rsid w:val="001846D5"/>
    <w:rsid w:val="0018477B"/>
    <w:rsid w:val="00184AB8"/>
    <w:rsid w:val="00184BF9"/>
    <w:rsid w:val="00184D52"/>
    <w:rsid w:val="0018504E"/>
    <w:rsid w:val="001854DC"/>
    <w:rsid w:val="00185684"/>
    <w:rsid w:val="00185F02"/>
    <w:rsid w:val="001864C8"/>
    <w:rsid w:val="00186537"/>
    <w:rsid w:val="001865C7"/>
    <w:rsid w:val="00186BCB"/>
    <w:rsid w:val="00186DC4"/>
    <w:rsid w:val="00186F22"/>
    <w:rsid w:val="001870D8"/>
    <w:rsid w:val="0018715E"/>
    <w:rsid w:val="0018723F"/>
    <w:rsid w:val="0018782A"/>
    <w:rsid w:val="00187A5C"/>
    <w:rsid w:val="00187CB8"/>
    <w:rsid w:val="00187D0D"/>
    <w:rsid w:val="00187F20"/>
    <w:rsid w:val="00190001"/>
    <w:rsid w:val="0019008C"/>
    <w:rsid w:val="00190127"/>
    <w:rsid w:val="001904D2"/>
    <w:rsid w:val="00190770"/>
    <w:rsid w:val="0019088B"/>
    <w:rsid w:val="00190C35"/>
    <w:rsid w:val="00190C5F"/>
    <w:rsid w:val="00190CAF"/>
    <w:rsid w:val="00190CBF"/>
    <w:rsid w:val="00190FA2"/>
    <w:rsid w:val="00191020"/>
    <w:rsid w:val="0019111F"/>
    <w:rsid w:val="00191294"/>
    <w:rsid w:val="001913B2"/>
    <w:rsid w:val="001916DD"/>
    <w:rsid w:val="00191A2C"/>
    <w:rsid w:val="00191B69"/>
    <w:rsid w:val="00191D86"/>
    <w:rsid w:val="00191D88"/>
    <w:rsid w:val="001920E3"/>
    <w:rsid w:val="001922C8"/>
    <w:rsid w:val="001925DE"/>
    <w:rsid w:val="0019269A"/>
    <w:rsid w:val="00192826"/>
    <w:rsid w:val="001929A7"/>
    <w:rsid w:val="001929CF"/>
    <w:rsid w:val="00192B7B"/>
    <w:rsid w:val="00192D31"/>
    <w:rsid w:val="00192D38"/>
    <w:rsid w:val="0019300E"/>
    <w:rsid w:val="001931BB"/>
    <w:rsid w:val="00193280"/>
    <w:rsid w:val="001932A3"/>
    <w:rsid w:val="00193327"/>
    <w:rsid w:val="001936A8"/>
    <w:rsid w:val="001936E7"/>
    <w:rsid w:val="00193889"/>
    <w:rsid w:val="00193980"/>
    <w:rsid w:val="00193B20"/>
    <w:rsid w:val="00193C0E"/>
    <w:rsid w:val="00193C1E"/>
    <w:rsid w:val="00193C5D"/>
    <w:rsid w:val="00193D30"/>
    <w:rsid w:val="00193EE6"/>
    <w:rsid w:val="00193F44"/>
    <w:rsid w:val="001943E3"/>
    <w:rsid w:val="0019441A"/>
    <w:rsid w:val="0019441F"/>
    <w:rsid w:val="00194566"/>
    <w:rsid w:val="00194860"/>
    <w:rsid w:val="00194E57"/>
    <w:rsid w:val="00194FD1"/>
    <w:rsid w:val="00195114"/>
    <w:rsid w:val="00195205"/>
    <w:rsid w:val="00195317"/>
    <w:rsid w:val="001954F7"/>
    <w:rsid w:val="0019566D"/>
    <w:rsid w:val="001956CB"/>
    <w:rsid w:val="00195CCF"/>
    <w:rsid w:val="00195FB5"/>
    <w:rsid w:val="001960C8"/>
    <w:rsid w:val="0019616E"/>
    <w:rsid w:val="001963DB"/>
    <w:rsid w:val="001963F4"/>
    <w:rsid w:val="00196570"/>
    <w:rsid w:val="00196689"/>
    <w:rsid w:val="00196ADB"/>
    <w:rsid w:val="00196C33"/>
    <w:rsid w:val="00196D36"/>
    <w:rsid w:val="00196F75"/>
    <w:rsid w:val="0019713C"/>
    <w:rsid w:val="00197309"/>
    <w:rsid w:val="001974D1"/>
    <w:rsid w:val="0019790F"/>
    <w:rsid w:val="00197AF2"/>
    <w:rsid w:val="001A008D"/>
    <w:rsid w:val="001A02D2"/>
    <w:rsid w:val="001A064C"/>
    <w:rsid w:val="001A07A4"/>
    <w:rsid w:val="001A07AB"/>
    <w:rsid w:val="001A07F6"/>
    <w:rsid w:val="001A089B"/>
    <w:rsid w:val="001A095D"/>
    <w:rsid w:val="001A0AD4"/>
    <w:rsid w:val="001A0D26"/>
    <w:rsid w:val="001A130F"/>
    <w:rsid w:val="001A136A"/>
    <w:rsid w:val="001A137A"/>
    <w:rsid w:val="001A1380"/>
    <w:rsid w:val="001A13FC"/>
    <w:rsid w:val="001A14A1"/>
    <w:rsid w:val="001A17B2"/>
    <w:rsid w:val="001A1835"/>
    <w:rsid w:val="001A18C7"/>
    <w:rsid w:val="001A19DC"/>
    <w:rsid w:val="001A1F33"/>
    <w:rsid w:val="001A1FB7"/>
    <w:rsid w:val="001A2077"/>
    <w:rsid w:val="001A214E"/>
    <w:rsid w:val="001A21E8"/>
    <w:rsid w:val="001A2223"/>
    <w:rsid w:val="001A2263"/>
    <w:rsid w:val="001A23AC"/>
    <w:rsid w:val="001A246F"/>
    <w:rsid w:val="001A259B"/>
    <w:rsid w:val="001A2611"/>
    <w:rsid w:val="001A28CF"/>
    <w:rsid w:val="001A28D7"/>
    <w:rsid w:val="001A2D2E"/>
    <w:rsid w:val="001A2E3D"/>
    <w:rsid w:val="001A3148"/>
    <w:rsid w:val="001A3497"/>
    <w:rsid w:val="001A35F8"/>
    <w:rsid w:val="001A374F"/>
    <w:rsid w:val="001A3986"/>
    <w:rsid w:val="001A3C7F"/>
    <w:rsid w:val="001A418D"/>
    <w:rsid w:val="001A41C7"/>
    <w:rsid w:val="001A4259"/>
    <w:rsid w:val="001A4307"/>
    <w:rsid w:val="001A4426"/>
    <w:rsid w:val="001A468E"/>
    <w:rsid w:val="001A478D"/>
    <w:rsid w:val="001A489B"/>
    <w:rsid w:val="001A4A29"/>
    <w:rsid w:val="001A4A9A"/>
    <w:rsid w:val="001A4CC9"/>
    <w:rsid w:val="001A4DB2"/>
    <w:rsid w:val="001A4FF3"/>
    <w:rsid w:val="001A504E"/>
    <w:rsid w:val="001A5137"/>
    <w:rsid w:val="001A51F8"/>
    <w:rsid w:val="001A5366"/>
    <w:rsid w:val="001A55A8"/>
    <w:rsid w:val="001A56DB"/>
    <w:rsid w:val="001A5B86"/>
    <w:rsid w:val="001A5C2F"/>
    <w:rsid w:val="001A5D50"/>
    <w:rsid w:val="001A5F4D"/>
    <w:rsid w:val="001A641C"/>
    <w:rsid w:val="001A65AC"/>
    <w:rsid w:val="001A68D2"/>
    <w:rsid w:val="001A6A44"/>
    <w:rsid w:val="001A6AFA"/>
    <w:rsid w:val="001A6DA9"/>
    <w:rsid w:val="001A7198"/>
    <w:rsid w:val="001A71CA"/>
    <w:rsid w:val="001A7211"/>
    <w:rsid w:val="001A7232"/>
    <w:rsid w:val="001A7488"/>
    <w:rsid w:val="001A77D2"/>
    <w:rsid w:val="001A79E8"/>
    <w:rsid w:val="001A7B3A"/>
    <w:rsid w:val="001A7C06"/>
    <w:rsid w:val="001A7C6A"/>
    <w:rsid w:val="001B016F"/>
    <w:rsid w:val="001B035D"/>
    <w:rsid w:val="001B04DC"/>
    <w:rsid w:val="001B051A"/>
    <w:rsid w:val="001B0556"/>
    <w:rsid w:val="001B0830"/>
    <w:rsid w:val="001B087B"/>
    <w:rsid w:val="001B0A3F"/>
    <w:rsid w:val="001B0B1F"/>
    <w:rsid w:val="001B0C8F"/>
    <w:rsid w:val="001B0D67"/>
    <w:rsid w:val="001B0DE3"/>
    <w:rsid w:val="001B1106"/>
    <w:rsid w:val="001B1842"/>
    <w:rsid w:val="001B1A79"/>
    <w:rsid w:val="001B1C40"/>
    <w:rsid w:val="001B1DDF"/>
    <w:rsid w:val="001B2061"/>
    <w:rsid w:val="001B2194"/>
    <w:rsid w:val="001B2362"/>
    <w:rsid w:val="001B23B4"/>
    <w:rsid w:val="001B23E7"/>
    <w:rsid w:val="001B244B"/>
    <w:rsid w:val="001B2953"/>
    <w:rsid w:val="001B29B6"/>
    <w:rsid w:val="001B2AAA"/>
    <w:rsid w:val="001B2AFE"/>
    <w:rsid w:val="001B2DBF"/>
    <w:rsid w:val="001B2E9D"/>
    <w:rsid w:val="001B320F"/>
    <w:rsid w:val="001B32D2"/>
    <w:rsid w:val="001B33E1"/>
    <w:rsid w:val="001B3584"/>
    <w:rsid w:val="001B37CF"/>
    <w:rsid w:val="001B3AE3"/>
    <w:rsid w:val="001B3EF2"/>
    <w:rsid w:val="001B426C"/>
    <w:rsid w:val="001B428E"/>
    <w:rsid w:val="001B46B8"/>
    <w:rsid w:val="001B4C56"/>
    <w:rsid w:val="001B4DD7"/>
    <w:rsid w:val="001B4F21"/>
    <w:rsid w:val="001B507C"/>
    <w:rsid w:val="001B50B5"/>
    <w:rsid w:val="001B50C6"/>
    <w:rsid w:val="001B50F3"/>
    <w:rsid w:val="001B584C"/>
    <w:rsid w:val="001B6071"/>
    <w:rsid w:val="001B621A"/>
    <w:rsid w:val="001B657D"/>
    <w:rsid w:val="001B65D7"/>
    <w:rsid w:val="001B71CF"/>
    <w:rsid w:val="001B749D"/>
    <w:rsid w:val="001B76CD"/>
    <w:rsid w:val="001B777E"/>
    <w:rsid w:val="001B77AD"/>
    <w:rsid w:val="001B7B32"/>
    <w:rsid w:val="001B7D69"/>
    <w:rsid w:val="001B7D95"/>
    <w:rsid w:val="001C0181"/>
    <w:rsid w:val="001C02E2"/>
    <w:rsid w:val="001C03FB"/>
    <w:rsid w:val="001C1298"/>
    <w:rsid w:val="001C13A9"/>
    <w:rsid w:val="001C178F"/>
    <w:rsid w:val="001C1A09"/>
    <w:rsid w:val="001C1B5E"/>
    <w:rsid w:val="001C1C72"/>
    <w:rsid w:val="001C1CBD"/>
    <w:rsid w:val="001C1FF2"/>
    <w:rsid w:val="001C21E2"/>
    <w:rsid w:val="001C2723"/>
    <w:rsid w:val="001C2A19"/>
    <w:rsid w:val="001C2B95"/>
    <w:rsid w:val="001C2CAC"/>
    <w:rsid w:val="001C2E25"/>
    <w:rsid w:val="001C2EA3"/>
    <w:rsid w:val="001C2F28"/>
    <w:rsid w:val="001C329C"/>
    <w:rsid w:val="001C330D"/>
    <w:rsid w:val="001C3645"/>
    <w:rsid w:val="001C36D8"/>
    <w:rsid w:val="001C3DCE"/>
    <w:rsid w:val="001C3ECD"/>
    <w:rsid w:val="001C417F"/>
    <w:rsid w:val="001C4476"/>
    <w:rsid w:val="001C44A7"/>
    <w:rsid w:val="001C45EA"/>
    <w:rsid w:val="001C466B"/>
    <w:rsid w:val="001C48E5"/>
    <w:rsid w:val="001C4B7F"/>
    <w:rsid w:val="001C4FB5"/>
    <w:rsid w:val="001C4FD4"/>
    <w:rsid w:val="001C516D"/>
    <w:rsid w:val="001C53C9"/>
    <w:rsid w:val="001C548F"/>
    <w:rsid w:val="001C5588"/>
    <w:rsid w:val="001C59DF"/>
    <w:rsid w:val="001C5A48"/>
    <w:rsid w:val="001C5D02"/>
    <w:rsid w:val="001C5E08"/>
    <w:rsid w:val="001C5FCA"/>
    <w:rsid w:val="001C615F"/>
    <w:rsid w:val="001C6196"/>
    <w:rsid w:val="001C61F0"/>
    <w:rsid w:val="001C62A0"/>
    <w:rsid w:val="001C635B"/>
    <w:rsid w:val="001C6ADA"/>
    <w:rsid w:val="001C70B4"/>
    <w:rsid w:val="001C712A"/>
    <w:rsid w:val="001C73DB"/>
    <w:rsid w:val="001C7404"/>
    <w:rsid w:val="001C789B"/>
    <w:rsid w:val="001C791B"/>
    <w:rsid w:val="001C79A6"/>
    <w:rsid w:val="001C7C44"/>
    <w:rsid w:val="001C7EE4"/>
    <w:rsid w:val="001D01DC"/>
    <w:rsid w:val="001D025E"/>
    <w:rsid w:val="001D02B8"/>
    <w:rsid w:val="001D05AF"/>
    <w:rsid w:val="001D06C1"/>
    <w:rsid w:val="001D0897"/>
    <w:rsid w:val="001D08B0"/>
    <w:rsid w:val="001D08ED"/>
    <w:rsid w:val="001D0ACF"/>
    <w:rsid w:val="001D0B7E"/>
    <w:rsid w:val="001D10C8"/>
    <w:rsid w:val="001D135B"/>
    <w:rsid w:val="001D1691"/>
    <w:rsid w:val="001D193F"/>
    <w:rsid w:val="001D1A2C"/>
    <w:rsid w:val="001D1B28"/>
    <w:rsid w:val="001D1D60"/>
    <w:rsid w:val="001D1D77"/>
    <w:rsid w:val="001D2041"/>
    <w:rsid w:val="001D23A4"/>
    <w:rsid w:val="001D2964"/>
    <w:rsid w:val="001D2A29"/>
    <w:rsid w:val="001D2A31"/>
    <w:rsid w:val="001D2C05"/>
    <w:rsid w:val="001D3383"/>
    <w:rsid w:val="001D34D5"/>
    <w:rsid w:val="001D3539"/>
    <w:rsid w:val="001D363D"/>
    <w:rsid w:val="001D3964"/>
    <w:rsid w:val="001D3CB8"/>
    <w:rsid w:val="001D3D5F"/>
    <w:rsid w:val="001D3E9C"/>
    <w:rsid w:val="001D41DE"/>
    <w:rsid w:val="001D429A"/>
    <w:rsid w:val="001D42D6"/>
    <w:rsid w:val="001D436E"/>
    <w:rsid w:val="001D4414"/>
    <w:rsid w:val="001D446B"/>
    <w:rsid w:val="001D4484"/>
    <w:rsid w:val="001D4569"/>
    <w:rsid w:val="001D4670"/>
    <w:rsid w:val="001D475C"/>
    <w:rsid w:val="001D4CCD"/>
    <w:rsid w:val="001D4F25"/>
    <w:rsid w:val="001D517E"/>
    <w:rsid w:val="001D523F"/>
    <w:rsid w:val="001D52E8"/>
    <w:rsid w:val="001D530A"/>
    <w:rsid w:val="001D5834"/>
    <w:rsid w:val="001D595A"/>
    <w:rsid w:val="001D5B62"/>
    <w:rsid w:val="001D5C4F"/>
    <w:rsid w:val="001D5CCE"/>
    <w:rsid w:val="001D605E"/>
    <w:rsid w:val="001D60E6"/>
    <w:rsid w:val="001D664B"/>
    <w:rsid w:val="001D6701"/>
    <w:rsid w:val="001D67DA"/>
    <w:rsid w:val="001D6993"/>
    <w:rsid w:val="001D6B97"/>
    <w:rsid w:val="001D6E26"/>
    <w:rsid w:val="001D6EC8"/>
    <w:rsid w:val="001D7264"/>
    <w:rsid w:val="001D7286"/>
    <w:rsid w:val="001D7584"/>
    <w:rsid w:val="001D7873"/>
    <w:rsid w:val="001D794B"/>
    <w:rsid w:val="001D7C38"/>
    <w:rsid w:val="001D7C63"/>
    <w:rsid w:val="001D7C7D"/>
    <w:rsid w:val="001D7CE7"/>
    <w:rsid w:val="001D7FC8"/>
    <w:rsid w:val="001E0216"/>
    <w:rsid w:val="001E037F"/>
    <w:rsid w:val="001E03EB"/>
    <w:rsid w:val="001E0806"/>
    <w:rsid w:val="001E0827"/>
    <w:rsid w:val="001E0926"/>
    <w:rsid w:val="001E0C83"/>
    <w:rsid w:val="001E0EB6"/>
    <w:rsid w:val="001E0EC2"/>
    <w:rsid w:val="001E1393"/>
    <w:rsid w:val="001E157C"/>
    <w:rsid w:val="001E15FF"/>
    <w:rsid w:val="001E16C5"/>
    <w:rsid w:val="001E1709"/>
    <w:rsid w:val="001E1A29"/>
    <w:rsid w:val="001E1BB4"/>
    <w:rsid w:val="001E1F13"/>
    <w:rsid w:val="001E2254"/>
    <w:rsid w:val="001E241E"/>
    <w:rsid w:val="001E243D"/>
    <w:rsid w:val="001E25E7"/>
    <w:rsid w:val="001E29E5"/>
    <w:rsid w:val="001E32A5"/>
    <w:rsid w:val="001E330C"/>
    <w:rsid w:val="001E343D"/>
    <w:rsid w:val="001E34E0"/>
    <w:rsid w:val="001E361E"/>
    <w:rsid w:val="001E3625"/>
    <w:rsid w:val="001E3F36"/>
    <w:rsid w:val="001E3F61"/>
    <w:rsid w:val="001E4404"/>
    <w:rsid w:val="001E45DC"/>
    <w:rsid w:val="001E47D1"/>
    <w:rsid w:val="001E47D9"/>
    <w:rsid w:val="001E47FA"/>
    <w:rsid w:val="001E48D7"/>
    <w:rsid w:val="001E4AE8"/>
    <w:rsid w:val="001E4C6B"/>
    <w:rsid w:val="001E5410"/>
    <w:rsid w:val="001E5479"/>
    <w:rsid w:val="001E5777"/>
    <w:rsid w:val="001E5C89"/>
    <w:rsid w:val="001E5C8F"/>
    <w:rsid w:val="001E5CAA"/>
    <w:rsid w:val="001E5E90"/>
    <w:rsid w:val="001E6276"/>
    <w:rsid w:val="001E6395"/>
    <w:rsid w:val="001E651B"/>
    <w:rsid w:val="001E69C1"/>
    <w:rsid w:val="001E6A95"/>
    <w:rsid w:val="001E6C07"/>
    <w:rsid w:val="001E6D45"/>
    <w:rsid w:val="001E70BF"/>
    <w:rsid w:val="001E70FC"/>
    <w:rsid w:val="001E73BF"/>
    <w:rsid w:val="001E7415"/>
    <w:rsid w:val="001E77C9"/>
    <w:rsid w:val="001E7AF3"/>
    <w:rsid w:val="001E7CFD"/>
    <w:rsid w:val="001E7DC9"/>
    <w:rsid w:val="001E7E77"/>
    <w:rsid w:val="001E7EDE"/>
    <w:rsid w:val="001E7FB6"/>
    <w:rsid w:val="001F04DC"/>
    <w:rsid w:val="001F0511"/>
    <w:rsid w:val="001F05B7"/>
    <w:rsid w:val="001F0809"/>
    <w:rsid w:val="001F0E2B"/>
    <w:rsid w:val="001F0E88"/>
    <w:rsid w:val="001F0F0F"/>
    <w:rsid w:val="001F10F7"/>
    <w:rsid w:val="001F1316"/>
    <w:rsid w:val="001F1750"/>
    <w:rsid w:val="001F1AD4"/>
    <w:rsid w:val="001F1D04"/>
    <w:rsid w:val="001F1D4D"/>
    <w:rsid w:val="001F1FF4"/>
    <w:rsid w:val="001F2250"/>
    <w:rsid w:val="001F23D7"/>
    <w:rsid w:val="001F250B"/>
    <w:rsid w:val="001F2987"/>
    <w:rsid w:val="001F2B19"/>
    <w:rsid w:val="001F2B8A"/>
    <w:rsid w:val="001F2C04"/>
    <w:rsid w:val="001F2F53"/>
    <w:rsid w:val="001F3070"/>
    <w:rsid w:val="001F31F8"/>
    <w:rsid w:val="001F3291"/>
    <w:rsid w:val="001F32F9"/>
    <w:rsid w:val="001F37D6"/>
    <w:rsid w:val="001F3DFD"/>
    <w:rsid w:val="001F3EF2"/>
    <w:rsid w:val="001F3F95"/>
    <w:rsid w:val="001F403E"/>
    <w:rsid w:val="001F411F"/>
    <w:rsid w:val="001F4492"/>
    <w:rsid w:val="001F470B"/>
    <w:rsid w:val="001F4723"/>
    <w:rsid w:val="001F47A6"/>
    <w:rsid w:val="001F47F1"/>
    <w:rsid w:val="001F4805"/>
    <w:rsid w:val="001F4A2A"/>
    <w:rsid w:val="001F4A3F"/>
    <w:rsid w:val="001F4E3E"/>
    <w:rsid w:val="001F5002"/>
    <w:rsid w:val="001F512E"/>
    <w:rsid w:val="001F51F8"/>
    <w:rsid w:val="001F5231"/>
    <w:rsid w:val="001F531C"/>
    <w:rsid w:val="001F570C"/>
    <w:rsid w:val="001F5CD7"/>
    <w:rsid w:val="001F5D2D"/>
    <w:rsid w:val="001F5D44"/>
    <w:rsid w:val="001F5F8D"/>
    <w:rsid w:val="001F5FA6"/>
    <w:rsid w:val="001F61DC"/>
    <w:rsid w:val="001F62DC"/>
    <w:rsid w:val="001F648B"/>
    <w:rsid w:val="001F64AE"/>
    <w:rsid w:val="001F64F9"/>
    <w:rsid w:val="001F67FA"/>
    <w:rsid w:val="001F6AFF"/>
    <w:rsid w:val="001F6C3E"/>
    <w:rsid w:val="001F6E33"/>
    <w:rsid w:val="001F6F92"/>
    <w:rsid w:val="001F73D1"/>
    <w:rsid w:val="001F76D9"/>
    <w:rsid w:val="001F78BA"/>
    <w:rsid w:val="001F7989"/>
    <w:rsid w:val="001F798F"/>
    <w:rsid w:val="001F7D5C"/>
    <w:rsid w:val="001F7E39"/>
    <w:rsid w:val="001F7E82"/>
    <w:rsid w:val="001F7FF7"/>
    <w:rsid w:val="001FC45A"/>
    <w:rsid w:val="00200173"/>
    <w:rsid w:val="00200373"/>
    <w:rsid w:val="002004C7"/>
    <w:rsid w:val="00200548"/>
    <w:rsid w:val="00200621"/>
    <w:rsid w:val="00200B02"/>
    <w:rsid w:val="00200D5E"/>
    <w:rsid w:val="00200D79"/>
    <w:rsid w:val="00201164"/>
    <w:rsid w:val="002015D1"/>
    <w:rsid w:val="0020177C"/>
    <w:rsid w:val="0020188E"/>
    <w:rsid w:val="00201900"/>
    <w:rsid w:val="00201A09"/>
    <w:rsid w:val="00201BA0"/>
    <w:rsid w:val="00201EE5"/>
    <w:rsid w:val="002021E9"/>
    <w:rsid w:val="002022D3"/>
    <w:rsid w:val="0020242D"/>
    <w:rsid w:val="002024BC"/>
    <w:rsid w:val="002029CB"/>
    <w:rsid w:val="00202A3F"/>
    <w:rsid w:val="00202A7A"/>
    <w:rsid w:val="00202D2A"/>
    <w:rsid w:val="00202E11"/>
    <w:rsid w:val="00202E45"/>
    <w:rsid w:val="0020321C"/>
    <w:rsid w:val="0020340B"/>
    <w:rsid w:val="00203414"/>
    <w:rsid w:val="00203513"/>
    <w:rsid w:val="00203639"/>
    <w:rsid w:val="002036D3"/>
    <w:rsid w:val="00203714"/>
    <w:rsid w:val="00203967"/>
    <w:rsid w:val="00203BFD"/>
    <w:rsid w:val="00203CDB"/>
    <w:rsid w:val="00203D10"/>
    <w:rsid w:val="00203EE1"/>
    <w:rsid w:val="00204062"/>
    <w:rsid w:val="0020406A"/>
    <w:rsid w:val="0020407F"/>
    <w:rsid w:val="002040CB"/>
    <w:rsid w:val="002043B8"/>
    <w:rsid w:val="002044AC"/>
    <w:rsid w:val="00204699"/>
    <w:rsid w:val="00204A7A"/>
    <w:rsid w:val="00204C39"/>
    <w:rsid w:val="00204C63"/>
    <w:rsid w:val="00204CF0"/>
    <w:rsid w:val="00204D38"/>
    <w:rsid w:val="00204DBB"/>
    <w:rsid w:val="00204FFD"/>
    <w:rsid w:val="002053BA"/>
    <w:rsid w:val="0020554D"/>
    <w:rsid w:val="00205C44"/>
    <w:rsid w:val="00205FCF"/>
    <w:rsid w:val="00206112"/>
    <w:rsid w:val="0020613A"/>
    <w:rsid w:val="00206201"/>
    <w:rsid w:val="00206506"/>
    <w:rsid w:val="00206555"/>
    <w:rsid w:val="002067D4"/>
    <w:rsid w:val="00206906"/>
    <w:rsid w:val="0020697F"/>
    <w:rsid w:val="00206C6D"/>
    <w:rsid w:val="00206D1A"/>
    <w:rsid w:val="00206DF2"/>
    <w:rsid w:val="002071C9"/>
    <w:rsid w:val="00207361"/>
    <w:rsid w:val="0020741E"/>
    <w:rsid w:val="00207561"/>
    <w:rsid w:val="00207568"/>
    <w:rsid w:val="00207633"/>
    <w:rsid w:val="00207968"/>
    <w:rsid w:val="00207E72"/>
    <w:rsid w:val="00207EA6"/>
    <w:rsid w:val="002102C1"/>
    <w:rsid w:val="00210442"/>
    <w:rsid w:val="002106FA"/>
    <w:rsid w:val="00210B97"/>
    <w:rsid w:val="00210CFA"/>
    <w:rsid w:val="00210F64"/>
    <w:rsid w:val="002110CF"/>
    <w:rsid w:val="002110F7"/>
    <w:rsid w:val="0021136F"/>
    <w:rsid w:val="00211390"/>
    <w:rsid w:val="00211787"/>
    <w:rsid w:val="00211959"/>
    <w:rsid w:val="00211D2F"/>
    <w:rsid w:val="00211D49"/>
    <w:rsid w:val="00211FAA"/>
    <w:rsid w:val="0021209F"/>
    <w:rsid w:val="00212211"/>
    <w:rsid w:val="002122DC"/>
    <w:rsid w:val="002124D1"/>
    <w:rsid w:val="002127D9"/>
    <w:rsid w:val="00212833"/>
    <w:rsid w:val="00212A68"/>
    <w:rsid w:val="00212AA8"/>
    <w:rsid w:val="002133E6"/>
    <w:rsid w:val="002134B9"/>
    <w:rsid w:val="00213560"/>
    <w:rsid w:val="002136E4"/>
    <w:rsid w:val="00213947"/>
    <w:rsid w:val="00213ED7"/>
    <w:rsid w:val="00214552"/>
    <w:rsid w:val="00214686"/>
    <w:rsid w:val="002147B8"/>
    <w:rsid w:val="00214A65"/>
    <w:rsid w:val="00214ADC"/>
    <w:rsid w:val="00214B16"/>
    <w:rsid w:val="00214C9D"/>
    <w:rsid w:val="00214DF1"/>
    <w:rsid w:val="00214FA1"/>
    <w:rsid w:val="00214FF6"/>
    <w:rsid w:val="002150F7"/>
    <w:rsid w:val="0021512C"/>
    <w:rsid w:val="0021531F"/>
    <w:rsid w:val="00215525"/>
    <w:rsid w:val="0021556B"/>
    <w:rsid w:val="0021564C"/>
    <w:rsid w:val="002156D0"/>
    <w:rsid w:val="00215BA5"/>
    <w:rsid w:val="00215E91"/>
    <w:rsid w:val="00215F86"/>
    <w:rsid w:val="00216312"/>
    <w:rsid w:val="00216407"/>
    <w:rsid w:val="0021645F"/>
    <w:rsid w:val="00216679"/>
    <w:rsid w:val="00216948"/>
    <w:rsid w:val="002169B0"/>
    <w:rsid w:val="00216C6A"/>
    <w:rsid w:val="00217100"/>
    <w:rsid w:val="00217517"/>
    <w:rsid w:val="00217743"/>
    <w:rsid w:val="00217A78"/>
    <w:rsid w:val="00217AA1"/>
    <w:rsid w:val="00217B78"/>
    <w:rsid w:val="00217CC3"/>
    <w:rsid w:val="00217D88"/>
    <w:rsid w:val="00220482"/>
    <w:rsid w:val="00220597"/>
    <w:rsid w:val="00220FB8"/>
    <w:rsid w:val="0022102C"/>
    <w:rsid w:val="0022119E"/>
    <w:rsid w:val="00221274"/>
    <w:rsid w:val="00221332"/>
    <w:rsid w:val="00221409"/>
    <w:rsid w:val="00221581"/>
    <w:rsid w:val="002215F4"/>
    <w:rsid w:val="0022167D"/>
    <w:rsid w:val="00221822"/>
    <w:rsid w:val="00221991"/>
    <w:rsid w:val="00221A66"/>
    <w:rsid w:val="00221A9A"/>
    <w:rsid w:val="00221CB7"/>
    <w:rsid w:val="00222001"/>
    <w:rsid w:val="00222130"/>
    <w:rsid w:val="002223EB"/>
    <w:rsid w:val="0022256E"/>
    <w:rsid w:val="002226D6"/>
    <w:rsid w:val="002227A6"/>
    <w:rsid w:val="0022284F"/>
    <w:rsid w:val="00222B71"/>
    <w:rsid w:val="00222BBD"/>
    <w:rsid w:val="00222C13"/>
    <w:rsid w:val="00222C66"/>
    <w:rsid w:val="00222DF5"/>
    <w:rsid w:val="00222FF4"/>
    <w:rsid w:val="002233F2"/>
    <w:rsid w:val="0022353C"/>
    <w:rsid w:val="00223639"/>
    <w:rsid w:val="002238A8"/>
    <w:rsid w:val="0022391C"/>
    <w:rsid w:val="00223B10"/>
    <w:rsid w:val="00223C10"/>
    <w:rsid w:val="00223E0D"/>
    <w:rsid w:val="00224165"/>
    <w:rsid w:val="00224181"/>
    <w:rsid w:val="0022421E"/>
    <w:rsid w:val="00224263"/>
    <w:rsid w:val="0022436F"/>
    <w:rsid w:val="002246E0"/>
    <w:rsid w:val="0022475D"/>
    <w:rsid w:val="0022485B"/>
    <w:rsid w:val="00224878"/>
    <w:rsid w:val="00224A64"/>
    <w:rsid w:val="00224EE4"/>
    <w:rsid w:val="002250CC"/>
    <w:rsid w:val="002253AA"/>
    <w:rsid w:val="0022547A"/>
    <w:rsid w:val="0022556B"/>
    <w:rsid w:val="002257D4"/>
    <w:rsid w:val="0022582E"/>
    <w:rsid w:val="00225CAF"/>
    <w:rsid w:val="00225DD4"/>
    <w:rsid w:val="00225FF8"/>
    <w:rsid w:val="002263BD"/>
    <w:rsid w:val="0022643A"/>
    <w:rsid w:val="002264AA"/>
    <w:rsid w:val="00226891"/>
    <w:rsid w:val="00226A19"/>
    <w:rsid w:val="00226C26"/>
    <w:rsid w:val="00227115"/>
    <w:rsid w:val="00227264"/>
    <w:rsid w:val="00227C23"/>
    <w:rsid w:val="00227DDF"/>
    <w:rsid w:val="00230763"/>
    <w:rsid w:val="00230978"/>
    <w:rsid w:val="00230ADB"/>
    <w:rsid w:val="00230B76"/>
    <w:rsid w:val="00230C45"/>
    <w:rsid w:val="00230CEF"/>
    <w:rsid w:val="00230F95"/>
    <w:rsid w:val="00231049"/>
    <w:rsid w:val="0023108D"/>
    <w:rsid w:val="002311ED"/>
    <w:rsid w:val="0023122A"/>
    <w:rsid w:val="002312B1"/>
    <w:rsid w:val="002312C2"/>
    <w:rsid w:val="0023140D"/>
    <w:rsid w:val="00231471"/>
    <w:rsid w:val="00231B05"/>
    <w:rsid w:val="00231FC1"/>
    <w:rsid w:val="00232185"/>
    <w:rsid w:val="002321FD"/>
    <w:rsid w:val="0023225E"/>
    <w:rsid w:val="00232428"/>
    <w:rsid w:val="0023259F"/>
    <w:rsid w:val="002325B4"/>
    <w:rsid w:val="002326E9"/>
    <w:rsid w:val="002327DD"/>
    <w:rsid w:val="00232B37"/>
    <w:rsid w:val="00232BF3"/>
    <w:rsid w:val="00232E22"/>
    <w:rsid w:val="00232F9D"/>
    <w:rsid w:val="00233154"/>
    <w:rsid w:val="0023318A"/>
    <w:rsid w:val="002332F0"/>
    <w:rsid w:val="00233384"/>
    <w:rsid w:val="00233849"/>
    <w:rsid w:val="002340E8"/>
    <w:rsid w:val="002341B4"/>
    <w:rsid w:val="002341C0"/>
    <w:rsid w:val="002341C4"/>
    <w:rsid w:val="0023445A"/>
    <w:rsid w:val="0023464E"/>
    <w:rsid w:val="00234664"/>
    <w:rsid w:val="00234720"/>
    <w:rsid w:val="0023489B"/>
    <w:rsid w:val="00234935"/>
    <w:rsid w:val="00234B3F"/>
    <w:rsid w:val="00234BD4"/>
    <w:rsid w:val="00234E86"/>
    <w:rsid w:val="00234EC0"/>
    <w:rsid w:val="00234FDC"/>
    <w:rsid w:val="002353F3"/>
    <w:rsid w:val="0023570F"/>
    <w:rsid w:val="0023595B"/>
    <w:rsid w:val="00235A09"/>
    <w:rsid w:val="00235E55"/>
    <w:rsid w:val="00235F74"/>
    <w:rsid w:val="00235FA3"/>
    <w:rsid w:val="0023601D"/>
    <w:rsid w:val="00236147"/>
    <w:rsid w:val="002362C7"/>
    <w:rsid w:val="002362E7"/>
    <w:rsid w:val="0023632F"/>
    <w:rsid w:val="0023633A"/>
    <w:rsid w:val="00236391"/>
    <w:rsid w:val="002364F4"/>
    <w:rsid w:val="00236626"/>
    <w:rsid w:val="00236650"/>
    <w:rsid w:val="0023673C"/>
    <w:rsid w:val="0023683B"/>
    <w:rsid w:val="002368AF"/>
    <w:rsid w:val="00236D90"/>
    <w:rsid w:val="0023740C"/>
    <w:rsid w:val="0023754F"/>
    <w:rsid w:val="002379D8"/>
    <w:rsid w:val="00237B38"/>
    <w:rsid w:val="00237C33"/>
    <w:rsid w:val="00237E82"/>
    <w:rsid w:val="002401F2"/>
    <w:rsid w:val="00240296"/>
    <w:rsid w:val="002404C4"/>
    <w:rsid w:val="002407D6"/>
    <w:rsid w:val="00240B02"/>
    <w:rsid w:val="00240B0A"/>
    <w:rsid w:val="0024114E"/>
    <w:rsid w:val="00241201"/>
    <w:rsid w:val="002415F9"/>
    <w:rsid w:val="00241878"/>
    <w:rsid w:val="002418F5"/>
    <w:rsid w:val="0024197F"/>
    <w:rsid w:val="00241A6B"/>
    <w:rsid w:val="00242748"/>
    <w:rsid w:val="002427C3"/>
    <w:rsid w:val="002428B2"/>
    <w:rsid w:val="00242978"/>
    <w:rsid w:val="00242AEE"/>
    <w:rsid w:val="00242AF9"/>
    <w:rsid w:val="00242D46"/>
    <w:rsid w:val="0024300C"/>
    <w:rsid w:val="002431DF"/>
    <w:rsid w:val="002432C2"/>
    <w:rsid w:val="00243423"/>
    <w:rsid w:val="0024369E"/>
    <w:rsid w:val="002436E7"/>
    <w:rsid w:val="00243A7D"/>
    <w:rsid w:val="00243C7B"/>
    <w:rsid w:val="00243CF2"/>
    <w:rsid w:val="002440A1"/>
    <w:rsid w:val="00244215"/>
    <w:rsid w:val="002442AA"/>
    <w:rsid w:val="002446B7"/>
    <w:rsid w:val="00244796"/>
    <w:rsid w:val="00244917"/>
    <w:rsid w:val="00244960"/>
    <w:rsid w:val="00244A18"/>
    <w:rsid w:val="00244BA0"/>
    <w:rsid w:val="00244CA8"/>
    <w:rsid w:val="00245202"/>
    <w:rsid w:val="002452BC"/>
    <w:rsid w:val="00245BBE"/>
    <w:rsid w:val="00245D41"/>
    <w:rsid w:val="00245D66"/>
    <w:rsid w:val="00245E71"/>
    <w:rsid w:val="00245F15"/>
    <w:rsid w:val="00246280"/>
    <w:rsid w:val="0024629E"/>
    <w:rsid w:val="00246364"/>
    <w:rsid w:val="0024641A"/>
    <w:rsid w:val="00246507"/>
    <w:rsid w:val="00246673"/>
    <w:rsid w:val="00246869"/>
    <w:rsid w:val="00246B27"/>
    <w:rsid w:val="00246B52"/>
    <w:rsid w:val="00247102"/>
    <w:rsid w:val="0024713A"/>
    <w:rsid w:val="0024723F"/>
    <w:rsid w:val="002474BB"/>
    <w:rsid w:val="002474EE"/>
    <w:rsid w:val="002475B9"/>
    <w:rsid w:val="002476F8"/>
    <w:rsid w:val="00247783"/>
    <w:rsid w:val="0024790D"/>
    <w:rsid w:val="00247AB7"/>
    <w:rsid w:val="00247C62"/>
    <w:rsid w:val="00247CF1"/>
    <w:rsid w:val="00247D2F"/>
    <w:rsid w:val="00247D90"/>
    <w:rsid w:val="00250200"/>
    <w:rsid w:val="00250359"/>
    <w:rsid w:val="00250529"/>
    <w:rsid w:val="0025058F"/>
    <w:rsid w:val="00250638"/>
    <w:rsid w:val="00250AFB"/>
    <w:rsid w:val="00250BE3"/>
    <w:rsid w:val="00250BF7"/>
    <w:rsid w:val="002512BA"/>
    <w:rsid w:val="002513D0"/>
    <w:rsid w:val="00251614"/>
    <w:rsid w:val="00251760"/>
    <w:rsid w:val="00251939"/>
    <w:rsid w:val="00251BFB"/>
    <w:rsid w:val="00251EFC"/>
    <w:rsid w:val="00251F80"/>
    <w:rsid w:val="00252198"/>
    <w:rsid w:val="002523DA"/>
    <w:rsid w:val="00252418"/>
    <w:rsid w:val="002524AB"/>
    <w:rsid w:val="0025282E"/>
    <w:rsid w:val="00252855"/>
    <w:rsid w:val="00252903"/>
    <w:rsid w:val="0025297A"/>
    <w:rsid w:val="00252C01"/>
    <w:rsid w:val="00252CFD"/>
    <w:rsid w:val="00252D80"/>
    <w:rsid w:val="00252EDE"/>
    <w:rsid w:val="00252FAB"/>
    <w:rsid w:val="002530D0"/>
    <w:rsid w:val="002533D8"/>
    <w:rsid w:val="00253525"/>
    <w:rsid w:val="00253688"/>
    <w:rsid w:val="002539CC"/>
    <w:rsid w:val="00253B0B"/>
    <w:rsid w:val="00253CEA"/>
    <w:rsid w:val="00253CFA"/>
    <w:rsid w:val="00253E29"/>
    <w:rsid w:val="00253EC8"/>
    <w:rsid w:val="00253FAF"/>
    <w:rsid w:val="002540C3"/>
    <w:rsid w:val="002541A0"/>
    <w:rsid w:val="00254392"/>
    <w:rsid w:val="002543B8"/>
    <w:rsid w:val="002545CE"/>
    <w:rsid w:val="002546DB"/>
    <w:rsid w:val="002548DE"/>
    <w:rsid w:val="00254A03"/>
    <w:rsid w:val="00254CE4"/>
    <w:rsid w:val="00255977"/>
    <w:rsid w:val="00255B6B"/>
    <w:rsid w:val="00255FB0"/>
    <w:rsid w:val="00256010"/>
    <w:rsid w:val="002564AF"/>
    <w:rsid w:val="00256784"/>
    <w:rsid w:val="00256DCA"/>
    <w:rsid w:val="002571B2"/>
    <w:rsid w:val="00257313"/>
    <w:rsid w:val="00257424"/>
    <w:rsid w:val="002576F7"/>
    <w:rsid w:val="002579C5"/>
    <w:rsid w:val="00257A76"/>
    <w:rsid w:val="00257B3A"/>
    <w:rsid w:val="00257CFE"/>
    <w:rsid w:val="002600DE"/>
    <w:rsid w:val="00260252"/>
    <w:rsid w:val="00260526"/>
    <w:rsid w:val="00260B0B"/>
    <w:rsid w:val="00260E01"/>
    <w:rsid w:val="00261121"/>
    <w:rsid w:val="00261231"/>
    <w:rsid w:val="002614FC"/>
    <w:rsid w:val="002616D4"/>
    <w:rsid w:val="00261E16"/>
    <w:rsid w:val="00262088"/>
    <w:rsid w:val="00262491"/>
    <w:rsid w:val="00262AB6"/>
    <w:rsid w:val="00262D03"/>
    <w:rsid w:val="00262E00"/>
    <w:rsid w:val="00262EB2"/>
    <w:rsid w:val="0026314F"/>
    <w:rsid w:val="002631C7"/>
    <w:rsid w:val="00263258"/>
    <w:rsid w:val="00263736"/>
    <w:rsid w:val="00264241"/>
    <w:rsid w:val="0026428B"/>
    <w:rsid w:val="002643C0"/>
    <w:rsid w:val="002648E5"/>
    <w:rsid w:val="00264A40"/>
    <w:rsid w:val="00264A81"/>
    <w:rsid w:val="00264B59"/>
    <w:rsid w:val="00264D2B"/>
    <w:rsid w:val="00264F2B"/>
    <w:rsid w:val="00264F4A"/>
    <w:rsid w:val="00265224"/>
    <w:rsid w:val="00265510"/>
    <w:rsid w:val="0026576B"/>
    <w:rsid w:val="002658E3"/>
    <w:rsid w:val="00265CBB"/>
    <w:rsid w:val="00265D3A"/>
    <w:rsid w:val="0026607B"/>
    <w:rsid w:val="0026611D"/>
    <w:rsid w:val="0026696E"/>
    <w:rsid w:val="00266B06"/>
    <w:rsid w:val="00266B15"/>
    <w:rsid w:val="00266CAC"/>
    <w:rsid w:val="00266E4E"/>
    <w:rsid w:val="00266EBE"/>
    <w:rsid w:val="00266F81"/>
    <w:rsid w:val="00267040"/>
    <w:rsid w:val="00267074"/>
    <w:rsid w:val="0026714A"/>
    <w:rsid w:val="002671B2"/>
    <w:rsid w:val="002671FB"/>
    <w:rsid w:val="0026782F"/>
    <w:rsid w:val="00267988"/>
    <w:rsid w:val="00267CC5"/>
    <w:rsid w:val="00267FA9"/>
    <w:rsid w:val="00270388"/>
    <w:rsid w:val="00270471"/>
    <w:rsid w:val="00270B26"/>
    <w:rsid w:val="00271130"/>
    <w:rsid w:val="00271199"/>
    <w:rsid w:val="002714DC"/>
    <w:rsid w:val="00271824"/>
    <w:rsid w:val="002718A8"/>
    <w:rsid w:val="00271926"/>
    <w:rsid w:val="00271FAE"/>
    <w:rsid w:val="00272106"/>
    <w:rsid w:val="0027220B"/>
    <w:rsid w:val="00272354"/>
    <w:rsid w:val="00272443"/>
    <w:rsid w:val="00272533"/>
    <w:rsid w:val="002726D7"/>
    <w:rsid w:val="002726F0"/>
    <w:rsid w:val="0027292F"/>
    <w:rsid w:val="00272F01"/>
    <w:rsid w:val="002730F4"/>
    <w:rsid w:val="002731A0"/>
    <w:rsid w:val="00273228"/>
    <w:rsid w:val="0027322D"/>
    <w:rsid w:val="002732D6"/>
    <w:rsid w:val="0027333D"/>
    <w:rsid w:val="0027334A"/>
    <w:rsid w:val="002735DE"/>
    <w:rsid w:val="0027368E"/>
    <w:rsid w:val="002736EF"/>
    <w:rsid w:val="002737ED"/>
    <w:rsid w:val="00273B1C"/>
    <w:rsid w:val="00273CC6"/>
    <w:rsid w:val="00273CFA"/>
    <w:rsid w:val="00273DE0"/>
    <w:rsid w:val="00274156"/>
    <w:rsid w:val="00274292"/>
    <w:rsid w:val="002743D1"/>
    <w:rsid w:val="0027444D"/>
    <w:rsid w:val="002744F8"/>
    <w:rsid w:val="0027478C"/>
    <w:rsid w:val="00274B55"/>
    <w:rsid w:val="00274B85"/>
    <w:rsid w:val="00274CA1"/>
    <w:rsid w:val="00274F47"/>
    <w:rsid w:val="00275019"/>
    <w:rsid w:val="00275021"/>
    <w:rsid w:val="0027595D"/>
    <w:rsid w:val="0027599C"/>
    <w:rsid w:val="00275A00"/>
    <w:rsid w:val="00275A3D"/>
    <w:rsid w:val="00275A57"/>
    <w:rsid w:val="00275BEB"/>
    <w:rsid w:val="00275CB4"/>
    <w:rsid w:val="00275F01"/>
    <w:rsid w:val="00276020"/>
    <w:rsid w:val="0027622F"/>
    <w:rsid w:val="00276306"/>
    <w:rsid w:val="00276330"/>
    <w:rsid w:val="00276474"/>
    <w:rsid w:val="002764B2"/>
    <w:rsid w:val="00276506"/>
    <w:rsid w:val="00276665"/>
    <w:rsid w:val="002766CC"/>
    <w:rsid w:val="002768C1"/>
    <w:rsid w:val="002768CA"/>
    <w:rsid w:val="002769FF"/>
    <w:rsid w:val="00276CB1"/>
    <w:rsid w:val="00276CF4"/>
    <w:rsid w:val="00276DF4"/>
    <w:rsid w:val="00276EA1"/>
    <w:rsid w:val="00276F15"/>
    <w:rsid w:val="00277368"/>
    <w:rsid w:val="0027749E"/>
    <w:rsid w:val="0027768E"/>
    <w:rsid w:val="0027789E"/>
    <w:rsid w:val="002800A4"/>
    <w:rsid w:val="0028070E"/>
    <w:rsid w:val="002807AA"/>
    <w:rsid w:val="00280829"/>
    <w:rsid w:val="00280948"/>
    <w:rsid w:val="00280A32"/>
    <w:rsid w:val="00280F75"/>
    <w:rsid w:val="00281159"/>
    <w:rsid w:val="002811F9"/>
    <w:rsid w:val="00281293"/>
    <w:rsid w:val="002817EF"/>
    <w:rsid w:val="0028180F"/>
    <w:rsid w:val="00281D45"/>
    <w:rsid w:val="002821C9"/>
    <w:rsid w:val="00282940"/>
    <w:rsid w:val="00282E02"/>
    <w:rsid w:val="00282F47"/>
    <w:rsid w:val="002832A4"/>
    <w:rsid w:val="0028349B"/>
    <w:rsid w:val="0028353B"/>
    <w:rsid w:val="00283741"/>
    <w:rsid w:val="00283A0F"/>
    <w:rsid w:val="00283E45"/>
    <w:rsid w:val="0028413D"/>
    <w:rsid w:val="00284405"/>
    <w:rsid w:val="00284856"/>
    <w:rsid w:val="00284F76"/>
    <w:rsid w:val="00284FCE"/>
    <w:rsid w:val="00285498"/>
    <w:rsid w:val="00285543"/>
    <w:rsid w:val="002857FA"/>
    <w:rsid w:val="00285822"/>
    <w:rsid w:val="002859B0"/>
    <w:rsid w:val="00285B80"/>
    <w:rsid w:val="00285C71"/>
    <w:rsid w:val="00286326"/>
    <w:rsid w:val="002864EF"/>
    <w:rsid w:val="0028654B"/>
    <w:rsid w:val="002866E5"/>
    <w:rsid w:val="002867D4"/>
    <w:rsid w:val="00286A88"/>
    <w:rsid w:val="00286D07"/>
    <w:rsid w:val="00286DB3"/>
    <w:rsid w:val="00286FF6"/>
    <w:rsid w:val="00287090"/>
    <w:rsid w:val="002870A0"/>
    <w:rsid w:val="00287381"/>
    <w:rsid w:val="00287ACF"/>
    <w:rsid w:val="00287C26"/>
    <w:rsid w:val="00287D67"/>
    <w:rsid w:val="00287D96"/>
    <w:rsid w:val="00287DEB"/>
    <w:rsid w:val="0029001B"/>
    <w:rsid w:val="0029002E"/>
    <w:rsid w:val="0029013C"/>
    <w:rsid w:val="00290372"/>
    <w:rsid w:val="0029080C"/>
    <w:rsid w:val="00290862"/>
    <w:rsid w:val="002908EF"/>
    <w:rsid w:val="00290AF3"/>
    <w:rsid w:val="00290B37"/>
    <w:rsid w:val="00290E1B"/>
    <w:rsid w:val="00290F35"/>
    <w:rsid w:val="00291232"/>
    <w:rsid w:val="002912AF"/>
    <w:rsid w:val="00291AB2"/>
    <w:rsid w:val="00291CC9"/>
    <w:rsid w:val="00291F90"/>
    <w:rsid w:val="00292663"/>
    <w:rsid w:val="00292822"/>
    <w:rsid w:val="00292BB1"/>
    <w:rsid w:val="00292C41"/>
    <w:rsid w:val="00292CAB"/>
    <w:rsid w:val="00292CFF"/>
    <w:rsid w:val="00292DA6"/>
    <w:rsid w:val="0029330E"/>
    <w:rsid w:val="00293384"/>
    <w:rsid w:val="00293D08"/>
    <w:rsid w:val="00293F17"/>
    <w:rsid w:val="00294175"/>
    <w:rsid w:val="00294368"/>
    <w:rsid w:val="002943AB"/>
    <w:rsid w:val="002943AD"/>
    <w:rsid w:val="0029441B"/>
    <w:rsid w:val="0029450B"/>
    <w:rsid w:val="0029454F"/>
    <w:rsid w:val="00294590"/>
    <w:rsid w:val="0029485E"/>
    <w:rsid w:val="00294898"/>
    <w:rsid w:val="00294ACD"/>
    <w:rsid w:val="00294B71"/>
    <w:rsid w:val="00294BB5"/>
    <w:rsid w:val="00294DCA"/>
    <w:rsid w:val="00294E2C"/>
    <w:rsid w:val="0029506E"/>
    <w:rsid w:val="00295336"/>
    <w:rsid w:val="0029590A"/>
    <w:rsid w:val="00295B5A"/>
    <w:rsid w:val="00295BED"/>
    <w:rsid w:val="00295E60"/>
    <w:rsid w:val="002960CC"/>
    <w:rsid w:val="002961CC"/>
    <w:rsid w:val="0029635E"/>
    <w:rsid w:val="002964D2"/>
    <w:rsid w:val="00296932"/>
    <w:rsid w:val="00296E4A"/>
    <w:rsid w:val="00297116"/>
    <w:rsid w:val="0029755D"/>
    <w:rsid w:val="002975F3"/>
    <w:rsid w:val="002977FA"/>
    <w:rsid w:val="00297830"/>
    <w:rsid w:val="0029786A"/>
    <w:rsid w:val="00297A7E"/>
    <w:rsid w:val="00297C18"/>
    <w:rsid w:val="00297D72"/>
    <w:rsid w:val="00297DA0"/>
    <w:rsid w:val="00297DC3"/>
    <w:rsid w:val="00297DDD"/>
    <w:rsid w:val="002A0131"/>
    <w:rsid w:val="002A028C"/>
    <w:rsid w:val="002A0326"/>
    <w:rsid w:val="002A0340"/>
    <w:rsid w:val="002A0544"/>
    <w:rsid w:val="002A0AE6"/>
    <w:rsid w:val="002A0D4A"/>
    <w:rsid w:val="002A0D79"/>
    <w:rsid w:val="002A116D"/>
    <w:rsid w:val="002A1199"/>
    <w:rsid w:val="002A160C"/>
    <w:rsid w:val="002A17D0"/>
    <w:rsid w:val="002A1972"/>
    <w:rsid w:val="002A19AD"/>
    <w:rsid w:val="002A1A09"/>
    <w:rsid w:val="002A1A85"/>
    <w:rsid w:val="002A1D5B"/>
    <w:rsid w:val="002A1D80"/>
    <w:rsid w:val="002A22D9"/>
    <w:rsid w:val="002A2926"/>
    <w:rsid w:val="002A2B8D"/>
    <w:rsid w:val="002A3321"/>
    <w:rsid w:val="002A3460"/>
    <w:rsid w:val="002A3667"/>
    <w:rsid w:val="002A375E"/>
    <w:rsid w:val="002A3872"/>
    <w:rsid w:val="002A389F"/>
    <w:rsid w:val="002A3AEA"/>
    <w:rsid w:val="002A3CAC"/>
    <w:rsid w:val="002A3D13"/>
    <w:rsid w:val="002A3D32"/>
    <w:rsid w:val="002A3EFC"/>
    <w:rsid w:val="002A4000"/>
    <w:rsid w:val="002A4018"/>
    <w:rsid w:val="002A41DC"/>
    <w:rsid w:val="002A4456"/>
    <w:rsid w:val="002A4633"/>
    <w:rsid w:val="002A465C"/>
    <w:rsid w:val="002A46B9"/>
    <w:rsid w:val="002A46DD"/>
    <w:rsid w:val="002A46F3"/>
    <w:rsid w:val="002A4724"/>
    <w:rsid w:val="002A4739"/>
    <w:rsid w:val="002A4C7A"/>
    <w:rsid w:val="002A4CD1"/>
    <w:rsid w:val="002A4D6D"/>
    <w:rsid w:val="002A4EE1"/>
    <w:rsid w:val="002A5100"/>
    <w:rsid w:val="002A5193"/>
    <w:rsid w:val="002A5402"/>
    <w:rsid w:val="002A56CC"/>
    <w:rsid w:val="002A5964"/>
    <w:rsid w:val="002A5975"/>
    <w:rsid w:val="002A5B49"/>
    <w:rsid w:val="002A5CC7"/>
    <w:rsid w:val="002A5D4D"/>
    <w:rsid w:val="002A60EC"/>
    <w:rsid w:val="002A6200"/>
    <w:rsid w:val="002A6215"/>
    <w:rsid w:val="002A674D"/>
    <w:rsid w:val="002A6AA4"/>
    <w:rsid w:val="002A7360"/>
    <w:rsid w:val="002A7509"/>
    <w:rsid w:val="002A76EF"/>
    <w:rsid w:val="002A7714"/>
    <w:rsid w:val="002A7DD2"/>
    <w:rsid w:val="002A7EA9"/>
    <w:rsid w:val="002A7F22"/>
    <w:rsid w:val="002A7FB9"/>
    <w:rsid w:val="002B011C"/>
    <w:rsid w:val="002B0734"/>
    <w:rsid w:val="002B0930"/>
    <w:rsid w:val="002B0951"/>
    <w:rsid w:val="002B0A50"/>
    <w:rsid w:val="002B0E78"/>
    <w:rsid w:val="002B1006"/>
    <w:rsid w:val="002B10BF"/>
    <w:rsid w:val="002B1142"/>
    <w:rsid w:val="002B116A"/>
    <w:rsid w:val="002B1429"/>
    <w:rsid w:val="002B184C"/>
    <w:rsid w:val="002B18AA"/>
    <w:rsid w:val="002B18B1"/>
    <w:rsid w:val="002B1BFB"/>
    <w:rsid w:val="002B1D5E"/>
    <w:rsid w:val="002B2117"/>
    <w:rsid w:val="002B2174"/>
    <w:rsid w:val="002B2928"/>
    <w:rsid w:val="002B2D1D"/>
    <w:rsid w:val="002B2FC3"/>
    <w:rsid w:val="002B370B"/>
    <w:rsid w:val="002B3C5B"/>
    <w:rsid w:val="002B3CC3"/>
    <w:rsid w:val="002B3F0D"/>
    <w:rsid w:val="002B3F21"/>
    <w:rsid w:val="002B40D0"/>
    <w:rsid w:val="002B4185"/>
    <w:rsid w:val="002B43A3"/>
    <w:rsid w:val="002B4572"/>
    <w:rsid w:val="002B464E"/>
    <w:rsid w:val="002B47E3"/>
    <w:rsid w:val="002B4804"/>
    <w:rsid w:val="002B4A24"/>
    <w:rsid w:val="002B4C8E"/>
    <w:rsid w:val="002B4D4A"/>
    <w:rsid w:val="002B4DA1"/>
    <w:rsid w:val="002B4DC0"/>
    <w:rsid w:val="002B4F5F"/>
    <w:rsid w:val="002B504A"/>
    <w:rsid w:val="002B504E"/>
    <w:rsid w:val="002B512B"/>
    <w:rsid w:val="002B5C17"/>
    <w:rsid w:val="002B5C60"/>
    <w:rsid w:val="002B5D9F"/>
    <w:rsid w:val="002B5DD4"/>
    <w:rsid w:val="002B5E25"/>
    <w:rsid w:val="002B6135"/>
    <w:rsid w:val="002B61C2"/>
    <w:rsid w:val="002B6502"/>
    <w:rsid w:val="002B6C25"/>
    <w:rsid w:val="002B6D44"/>
    <w:rsid w:val="002B6E92"/>
    <w:rsid w:val="002B7085"/>
    <w:rsid w:val="002B70B2"/>
    <w:rsid w:val="002B7220"/>
    <w:rsid w:val="002B731B"/>
    <w:rsid w:val="002B731C"/>
    <w:rsid w:val="002B75FE"/>
    <w:rsid w:val="002B76A2"/>
    <w:rsid w:val="002B7F3B"/>
    <w:rsid w:val="002C00AC"/>
    <w:rsid w:val="002C00BF"/>
    <w:rsid w:val="002C0375"/>
    <w:rsid w:val="002C05AE"/>
    <w:rsid w:val="002C0927"/>
    <w:rsid w:val="002C0BD0"/>
    <w:rsid w:val="002C0BFF"/>
    <w:rsid w:val="002C0CE7"/>
    <w:rsid w:val="002C0EB1"/>
    <w:rsid w:val="002C115E"/>
    <w:rsid w:val="002C12AE"/>
    <w:rsid w:val="002C12C8"/>
    <w:rsid w:val="002C1365"/>
    <w:rsid w:val="002C1477"/>
    <w:rsid w:val="002C152F"/>
    <w:rsid w:val="002C1700"/>
    <w:rsid w:val="002C1DA7"/>
    <w:rsid w:val="002C1F8A"/>
    <w:rsid w:val="002C1F90"/>
    <w:rsid w:val="002C21E7"/>
    <w:rsid w:val="002C2273"/>
    <w:rsid w:val="002C23D5"/>
    <w:rsid w:val="002C2465"/>
    <w:rsid w:val="002C2717"/>
    <w:rsid w:val="002C2893"/>
    <w:rsid w:val="002C29B2"/>
    <w:rsid w:val="002C2AFC"/>
    <w:rsid w:val="002C2E05"/>
    <w:rsid w:val="002C2E8B"/>
    <w:rsid w:val="002C30B3"/>
    <w:rsid w:val="002C31C0"/>
    <w:rsid w:val="002C3209"/>
    <w:rsid w:val="002C3289"/>
    <w:rsid w:val="002C361B"/>
    <w:rsid w:val="002C36C0"/>
    <w:rsid w:val="002C3769"/>
    <w:rsid w:val="002C37C2"/>
    <w:rsid w:val="002C3B71"/>
    <w:rsid w:val="002C3CDD"/>
    <w:rsid w:val="002C3F40"/>
    <w:rsid w:val="002C41A2"/>
    <w:rsid w:val="002C4483"/>
    <w:rsid w:val="002C4808"/>
    <w:rsid w:val="002C480C"/>
    <w:rsid w:val="002C4CBB"/>
    <w:rsid w:val="002C4D32"/>
    <w:rsid w:val="002C5156"/>
    <w:rsid w:val="002C5595"/>
    <w:rsid w:val="002C5620"/>
    <w:rsid w:val="002C58DA"/>
    <w:rsid w:val="002C5B89"/>
    <w:rsid w:val="002C5C53"/>
    <w:rsid w:val="002C5C5C"/>
    <w:rsid w:val="002C5D7D"/>
    <w:rsid w:val="002C5DA2"/>
    <w:rsid w:val="002C61CE"/>
    <w:rsid w:val="002C65EB"/>
    <w:rsid w:val="002C6832"/>
    <w:rsid w:val="002C6886"/>
    <w:rsid w:val="002C6CF6"/>
    <w:rsid w:val="002C7045"/>
    <w:rsid w:val="002C7123"/>
    <w:rsid w:val="002C7283"/>
    <w:rsid w:val="002C72A2"/>
    <w:rsid w:val="002C7356"/>
    <w:rsid w:val="002C73A4"/>
    <w:rsid w:val="002C75F5"/>
    <w:rsid w:val="002C76C2"/>
    <w:rsid w:val="002C7708"/>
    <w:rsid w:val="002C7C61"/>
    <w:rsid w:val="002C7CC0"/>
    <w:rsid w:val="002C7CC4"/>
    <w:rsid w:val="002C7E22"/>
    <w:rsid w:val="002C7E60"/>
    <w:rsid w:val="002C7E74"/>
    <w:rsid w:val="002C7F63"/>
    <w:rsid w:val="002D009B"/>
    <w:rsid w:val="002D00D2"/>
    <w:rsid w:val="002D034F"/>
    <w:rsid w:val="002D0820"/>
    <w:rsid w:val="002D0869"/>
    <w:rsid w:val="002D095C"/>
    <w:rsid w:val="002D09D4"/>
    <w:rsid w:val="002D1046"/>
    <w:rsid w:val="002D1086"/>
    <w:rsid w:val="002D122B"/>
    <w:rsid w:val="002D1AE4"/>
    <w:rsid w:val="002D1C0B"/>
    <w:rsid w:val="002D1E31"/>
    <w:rsid w:val="002D1ECD"/>
    <w:rsid w:val="002D207C"/>
    <w:rsid w:val="002D215A"/>
    <w:rsid w:val="002D2252"/>
    <w:rsid w:val="002D226C"/>
    <w:rsid w:val="002D23C8"/>
    <w:rsid w:val="002D259B"/>
    <w:rsid w:val="002D26EF"/>
    <w:rsid w:val="002D2915"/>
    <w:rsid w:val="002D29D0"/>
    <w:rsid w:val="002D2CA2"/>
    <w:rsid w:val="002D3077"/>
    <w:rsid w:val="002D3096"/>
    <w:rsid w:val="002D3398"/>
    <w:rsid w:val="002D3431"/>
    <w:rsid w:val="002D35CA"/>
    <w:rsid w:val="002D3755"/>
    <w:rsid w:val="002D3C06"/>
    <w:rsid w:val="002D3C55"/>
    <w:rsid w:val="002D407E"/>
    <w:rsid w:val="002D42A6"/>
    <w:rsid w:val="002D45EA"/>
    <w:rsid w:val="002D4826"/>
    <w:rsid w:val="002D492E"/>
    <w:rsid w:val="002D4A6D"/>
    <w:rsid w:val="002D4B0D"/>
    <w:rsid w:val="002D4C0C"/>
    <w:rsid w:val="002D4E8A"/>
    <w:rsid w:val="002D5064"/>
    <w:rsid w:val="002D50F3"/>
    <w:rsid w:val="002D533F"/>
    <w:rsid w:val="002D535C"/>
    <w:rsid w:val="002D5465"/>
    <w:rsid w:val="002D5591"/>
    <w:rsid w:val="002D57A0"/>
    <w:rsid w:val="002D5880"/>
    <w:rsid w:val="002D5A19"/>
    <w:rsid w:val="002D5AC6"/>
    <w:rsid w:val="002D5AD9"/>
    <w:rsid w:val="002D5D45"/>
    <w:rsid w:val="002D5D4A"/>
    <w:rsid w:val="002D5EFF"/>
    <w:rsid w:val="002D5F6B"/>
    <w:rsid w:val="002D61C8"/>
    <w:rsid w:val="002D61FF"/>
    <w:rsid w:val="002D621F"/>
    <w:rsid w:val="002D633C"/>
    <w:rsid w:val="002D66D1"/>
    <w:rsid w:val="002D6A02"/>
    <w:rsid w:val="002D6AB8"/>
    <w:rsid w:val="002D6AEE"/>
    <w:rsid w:val="002D6D0C"/>
    <w:rsid w:val="002D7394"/>
    <w:rsid w:val="002D7402"/>
    <w:rsid w:val="002D7492"/>
    <w:rsid w:val="002D78CD"/>
    <w:rsid w:val="002D79B2"/>
    <w:rsid w:val="002D7A70"/>
    <w:rsid w:val="002D7BC5"/>
    <w:rsid w:val="002D7C7F"/>
    <w:rsid w:val="002D7D27"/>
    <w:rsid w:val="002D7D93"/>
    <w:rsid w:val="002D7FA3"/>
    <w:rsid w:val="002E05F6"/>
    <w:rsid w:val="002E0620"/>
    <w:rsid w:val="002E0928"/>
    <w:rsid w:val="002E097B"/>
    <w:rsid w:val="002E0C5E"/>
    <w:rsid w:val="002E0E9F"/>
    <w:rsid w:val="002E1041"/>
    <w:rsid w:val="002E10E6"/>
    <w:rsid w:val="002E1102"/>
    <w:rsid w:val="002E11E5"/>
    <w:rsid w:val="002E11EA"/>
    <w:rsid w:val="002E129E"/>
    <w:rsid w:val="002E12D0"/>
    <w:rsid w:val="002E1350"/>
    <w:rsid w:val="002E171F"/>
    <w:rsid w:val="002E19BB"/>
    <w:rsid w:val="002E1A14"/>
    <w:rsid w:val="002E1A72"/>
    <w:rsid w:val="002E1C05"/>
    <w:rsid w:val="002E1EF8"/>
    <w:rsid w:val="002E2301"/>
    <w:rsid w:val="002E23A4"/>
    <w:rsid w:val="002E244C"/>
    <w:rsid w:val="002E253C"/>
    <w:rsid w:val="002E2611"/>
    <w:rsid w:val="002E2856"/>
    <w:rsid w:val="002E2AA3"/>
    <w:rsid w:val="002E2DA1"/>
    <w:rsid w:val="002E2F4F"/>
    <w:rsid w:val="002E2FCA"/>
    <w:rsid w:val="002E3001"/>
    <w:rsid w:val="002E3145"/>
    <w:rsid w:val="002E31C9"/>
    <w:rsid w:val="002E3366"/>
    <w:rsid w:val="002E3FF0"/>
    <w:rsid w:val="002E442A"/>
    <w:rsid w:val="002E448A"/>
    <w:rsid w:val="002E4786"/>
    <w:rsid w:val="002E4A39"/>
    <w:rsid w:val="002E4B99"/>
    <w:rsid w:val="002E506B"/>
    <w:rsid w:val="002E5350"/>
    <w:rsid w:val="002E5375"/>
    <w:rsid w:val="002E559D"/>
    <w:rsid w:val="002E5912"/>
    <w:rsid w:val="002E5C8F"/>
    <w:rsid w:val="002E5CD4"/>
    <w:rsid w:val="002E5D3C"/>
    <w:rsid w:val="002E60B6"/>
    <w:rsid w:val="002E64CB"/>
    <w:rsid w:val="002E6581"/>
    <w:rsid w:val="002E690E"/>
    <w:rsid w:val="002E690F"/>
    <w:rsid w:val="002E6BBA"/>
    <w:rsid w:val="002E6DE3"/>
    <w:rsid w:val="002E6EF6"/>
    <w:rsid w:val="002E6FDA"/>
    <w:rsid w:val="002E704B"/>
    <w:rsid w:val="002E712A"/>
    <w:rsid w:val="002E71D2"/>
    <w:rsid w:val="002E7637"/>
    <w:rsid w:val="002E76D6"/>
    <w:rsid w:val="002E7D29"/>
    <w:rsid w:val="002E7EA4"/>
    <w:rsid w:val="002F0072"/>
    <w:rsid w:val="002F00D1"/>
    <w:rsid w:val="002F02E8"/>
    <w:rsid w:val="002F032A"/>
    <w:rsid w:val="002F03F1"/>
    <w:rsid w:val="002F04F5"/>
    <w:rsid w:val="002F0663"/>
    <w:rsid w:val="002F09ED"/>
    <w:rsid w:val="002F0C49"/>
    <w:rsid w:val="002F0CF0"/>
    <w:rsid w:val="002F0EF1"/>
    <w:rsid w:val="002F0F17"/>
    <w:rsid w:val="002F0F40"/>
    <w:rsid w:val="002F0FEA"/>
    <w:rsid w:val="002F10D5"/>
    <w:rsid w:val="002F1267"/>
    <w:rsid w:val="002F135D"/>
    <w:rsid w:val="002F1492"/>
    <w:rsid w:val="002F1684"/>
    <w:rsid w:val="002F179B"/>
    <w:rsid w:val="002F1DE1"/>
    <w:rsid w:val="002F1FE3"/>
    <w:rsid w:val="002F224E"/>
    <w:rsid w:val="002F2772"/>
    <w:rsid w:val="002F2815"/>
    <w:rsid w:val="002F2D38"/>
    <w:rsid w:val="002F32BB"/>
    <w:rsid w:val="002F334A"/>
    <w:rsid w:val="002F3474"/>
    <w:rsid w:val="002F3642"/>
    <w:rsid w:val="002F4535"/>
    <w:rsid w:val="002F461D"/>
    <w:rsid w:val="002F47C6"/>
    <w:rsid w:val="002F47E1"/>
    <w:rsid w:val="002F4BBD"/>
    <w:rsid w:val="002F50E7"/>
    <w:rsid w:val="002F5664"/>
    <w:rsid w:val="002F56EC"/>
    <w:rsid w:val="002F6037"/>
    <w:rsid w:val="002F63E3"/>
    <w:rsid w:val="002F65B7"/>
    <w:rsid w:val="002F6715"/>
    <w:rsid w:val="002F6762"/>
    <w:rsid w:val="002F6873"/>
    <w:rsid w:val="002F6A8A"/>
    <w:rsid w:val="002F6ABA"/>
    <w:rsid w:val="002F6B80"/>
    <w:rsid w:val="002F6BA9"/>
    <w:rsid w:val="002F6CFD"/>
    <w:rsid w:val="002F6F43"/>
    <w:rsid w:val="002F7076"/>
    <w:rsid w:val="002F7123"/>
    <w:rsid w:val="002F7374"/>
    <w:rsid w:val="002F7569"/>
    <w:rsid w:val="002F7B1C"/>
    <w:rsid w:val="002F7C10"/>
    <w:rsid w:val="0030011C"/>
    <w:rsid w:val="00300280"/>
    <w:rsid w:val="003005B0"/>
    <w:rsid w:val="0030093B"/>
    <w:rsid w:val="00300CE3"/>
    <w:rsid w:val="00300DAE"/>
    <w:rsid w:val="003011D8"/>
    <w:rsid w:val="00301223"/>
    <w:rsid w:val="00301242"/>
    <w:rsid w:val="0030124D"/>
    <w:rsid w:val="00301259"/>
    <w:rsid w:val="00301427"/>
    <w:rsid w:val="003014C6"/>
    <w:rsid w:val="003016B1"/>
    <w:rsid w:val="00301846"/>
    <w:rsid w:val="003018F7"/>
    <w:rsid w:val="00301986"/>
    <w:rsid w:val="00301BDD"/>
    <w:rsid w:val="00301C58"/>
    <w:rsid w:val="00301D66"/>
    <w:rsid w:val="00301E61"/>
    <w:rsid w:val="003022D1"/>
    <w:rsid w:val="003025A2"/>
    <w:rsid w:val="003025C0"/>
    <w:rsid w:val="00302701"/>
    <w:rsid w:val="003028A5"/>
    <w:rsid w:val="0030294C"/>
    <w:rsid w:val="003029A5"/>
    <w:rsid w:val="00302CAD"/>
    <w:rsid w:val="00302DBD"/>
    <w:rsid w:val="003030C8"/>
    <w:rsid w:val="00303126"/>
    <w:rsid w:val="0030322B"/>
    <w:rsid w:val="00303368"/>
    <w:rsid w:val="003034A7"/>
    <w:rsid w:val="00303642"/>
    <w:rsid w:val="003036F8"/>
    <w:rsid w:val="003038F1"/>
    <w:rsid w:val="00303A7D"/>
    <w:rsid w:val="00303C30"/>
    <w:rsid w:val="00303C88"/>
    <w:rsid w:val="00303D84"/>
    <w:rsid w:val="00303F0B"/>
    <w:rsid w:val="00303F0F"/>
    <w:rsid w:val="0030460E"/>
    <w:rsid w:val="0030477F"/>
    <w:rsid w:val="003048F3"/>
    <w:rsid w:val="0030498E"/>
    <w:rsid w:val="003049A2"/>
    <w:rsid w:val="00304CF7"/>
    <w:rsid w:val="003051C1"/>
    <w:rsid w:val="003053F5"/>
    <w:rsid w:val="003055D8"/>
    <w:rsid w:val="0030563D"/>
    <w:rsid w:val="00305690"/>
    <w:rsid w:val="003056F8"/>
    <w:rsid w:val="0030594D"/>
    <w:rsid w:val="00305CEC"/>
    <w:rsid w:val="00305E72"/>
    <w:rsid w:val="00305EE4"/>
    <w:rsid w:val="00306067"/>
    <w:rsid w:val="003063AC"/>
    <w:rsid w:val="00306718"/>
    <w:rsid w:val="00306953"/>
    <w:rsid w:val="00306A40"/>
    <w:rsid w:val="00306BA5"/>
    <w:rsid w:val="00306C7F"/>
    <w:rsid w:val="00306CA8"/>
    <w:rsid w:val="00307029"/>
    <w:rsid w:val="0030708F"/>
    <w:rsid w:val="00307338"/>
    <w:rsid w:val="00307BD5"/>
    <w:rsid w:val="00307C6E"/>
    <w:rsid w:val="00307F68"/>
    <w:rsid w:val="0031006A"/>
    <w:rsid w:val="00310172"/>
    <w:rsid w:val="00310386"/>
    <w:rsid w:val="00310938"/>
    <w:rsid w:val="00310A25"/>
    <w:rsid w:val="00310C40"/>
    <w:rsid w:val="00310CB9"/>
    <w:rsid w:val="00310D10"/>
    <w:rsid w:val="00310D77"/>
    <w:rsid w:val="00310DA1"/>
    <w:rsid w:val="00310FBA"/>
    <w:rsid w:val="003114F7"/>
    <w:rsid w:val="00311597"/>
    <w:rsid w:val="00311599"/>
    <w:rsid w:val="00311916"/>
    <w:rsid w:val="0031195E"/>
    <w:rsid w:val="00311C4C"/>
    <w:rsid w:val="00311D17"/>
    <w:rsid w:val="00311D3F"/>
    <w:rsid w:val="00311D63"/>
    <w:rsid w:val="0031206B"/>
    <w:rsid w:val="003120F8"/>
    <w:rsid w:val="003121F0"/>
    <w:rsid w:val="00312227"/>
    <w:rsid w:val="0031275E"/>
    <w:rsid w:val="00312C9C"/>
    <w:rsid w:val="00312E12"/>
    <w:rsid w:val="00313601"/>
    <w:rsid w:val="0031372D"/>
    <w:rsid w:val="0031372E"/>
    <w:rsid w:val="00313918"/>
    <w:rsid w:val="003140CE"/>
    <w:rsid w:val="00314735"/>
    <w:rsid w:val="00314B18"/>
    <w:rsid w:val="00314D8D"/>
    <w:rsid w:val="00314F11"/>
    <w:rsid w:val="00315114"/>
    <w:rsid w:val="003151D3"/>
    <w:rsid w:val="0031545C"/>
    <w:rsid w:val="00315BA4"/>
    <w:rsid w:val="00315CDD"/>
    <w:rsid w:val="00316151"/>
    <w:rsid w:val="00316333"/>
    <w:rsid w:val="003163DB"/>
    <w:rsid w:val="003164A3"/>
    <w:rsid w:val="003165CC"/>
    <w:rsid w:val="00316676"/>
    <w:rsid w:val="00316A55"/>
    <w:rsid w:val="00316A79"/>
    <w:rsid w:val="00316C71"/>
    <w:rsid w:val="00316F7D"/>
    <w:rsid w:val="00317404"/>
    <w:rsid w:val="00317437"/>
    <w:rsid w:val="003176AE"/>
    <w:rsid w:val="00317A41"/>
    <w:rsid w:val="00317D6E"/>
    <w:rsid w:val="00320674"/>
    <w:rsid w:val="0032070F"/>
    <w:rsid w:val="003208A1"/>
    <w:rsid w:val="00320A45"/>
    <w:rsid w:val="00320DE9"/>
    <w:rsid w:val="00321057"/>
    <w:rsid w:val="00321123"/>
    <w:rsid w:val="0032116C"/>
    <w:rsid w:val="00321426"/>
    <w:rsid w:val="0032149A"/>
    <w:rsid w:val="003218A9"/>
    <w:rsid w:val="00321A3B"/>
    <w:rsid w:val="00321A7A"/>
    <w:rsid w:val="00321AEE"/>
    <w:rsid w:val="003221A2"/>
    <w:rsid w:val="0032230F"/>
    <w:rsid w:val="00322381"/>
    <w:rsid w:val="0032254C"/>
    <w:rsid w:val="003225F6"/>
    <w:rsid w:val="0032268D"/>
    <w:rsid w:val="00322964"/>
    <w:rsid w:val="00322999"/>
    <w:rsid w:val="00322A46"/>
    <w:rsid w:val="00322F9C"/>
    <w:rsid w:val="0032312C"/>
    <w:rsid w:val="00323591"/>
    <w:rsid w:val="00323608"/>
    <w:rsid w:val="00323731"/>
    <w:rsid w:val="0032387D"/>
    <w:rsid w:val="00324164"/>
    <w:rsid w:val="003244EA"/>
    <w:rsid w:val="00324505"/>
    <w:rsid w:val="0032489D"/>
    <w:rsid w:val="003248EE"/>
    <w:rsid w:val="003249FC"/>
    <w:rsid w:val="00324A8C"/>
    <w:rsid w:val="00324DEC"/>
    <w:rsid w:val="0032501F"/>
    <w:rsid w:val="003251DE"/>
    <w:rsid w:val="003254DC"/>
    <w:rsid w:val="00325708"/>
    <w:rsid w:val="00325949"/>
    <w:rsid w:val="003259A9"/>
    <w:rsid w:val="00325A03"/>
    <w:rsid w:val="0032605D"/>
    <w:rsid w:val="003261DD"/>
    <w:rsid w:val="00326376"/>
    <w:rsid w:val="00326703"/>
    <w:rsid w:val="0032676C"/>
    <w:rsid w:val="003267DC"/>
    <w:rsid w:val="00326C38"/>
    <w:rsid w:val="00327313"/>
    <w:rsid w:val="0032735B"/>
    <w:rsid w:val="003274CA"/>
    <w:rsid w:val="00327683"/>
    <w:rsid w:val="00327732"/>
    <w:rsid w:val="00327737"/>
    <w:rsid w:val="00327740"/>
    <w:rsid w:val="003277E9"/>
    <w:rsid w:val="00327888"/>
    <w:rsid w:val="003279FA"/>
    <w:rsid w:val="00330020"/>
    <w:rsid w:val="00330183"/>
    <w:rsid w:val="00330222"/>
    <w:rsid w:val="00330235"/>
    <w:rsid w:val="003302D5"/>
    <w:rsid w:val="00330389"/>
    <w:rsid w:val="0033044B"/>
    <w:rsid w:val="0033075F"/>
    <w:rsid w:val="003308C3"/>
    <w:rsid w:val="00330983"/>
    <w:rsid w:val="00330AEF"/>
    <w:rsid w:val="00330C44"/>
    <w:rsid w:val="00330D54"/>
    <w:rsid w:val="0033104E"/>
    <w:rsid w:val="003311E3"/>
    <w:rsid w:val="0033135C"/>
    <w:rsid w:val="0033159B"/>
    <w:rsid w:val="00331729"/>
    <w:rsid w:val="0033173D"/>
    <w:rsid w:val="00331771"/>
    <w:rsid w:val="00331B4B"/>
    <w:rsid w:val="00331B63"/>
    <w:rsid w:val="00331BB5"/>
    <w:rsid w:val="00331D48"/>
    <w:rsid w:val="00331E46"/>
    <w:rsid w:val="00332268"/>
    <w:rsid w:val="00332817"/>
    <w:rsid w:val="00332922"/>
    <w:rsid w:val="00332A6E"/>
    <w:rsid w:val="00332B26"/>
    <w:rsid w:val="00332B80"/>
    <w:rsid w:val="00332DA8"/>
    <w:rsid w:val="00333135"/>
    <w:rsid w:val="003335B7"/>
    <w:rsid w:val="003336F3"/>
    <w:rsid w:val="00333773"/>
    <w:rsid w:val="00333B1D"/>
    <w:rsid w:val="00333D01"/>
    <w:rsid w:val="00333FB4"/>
    <w:rsid w:val="00334014"/>
    <w:rsid w:val="003343AE"/>
    <w:rsid w:val="00334921"/>
    <w:rsid w:val="00334D5C"/>
    <w:rsid w:val="0033503E"/>
    <w:rsid w:val="003350C5"/>
    <w:rsid w:val="003351F0"/>
    <w:rsid w:val="003353A3"/>
    <w:rsid w:val="003354A3"/>
    <w:rsid w:val="003354E9"/>
    <w:rsid w:val="00335626"/>
    <w:rsid w:val="003359FB"/>
    <w:rsid w:val="00335A27"/>
    <w:rsid w:val="00335BC5"/>
    <w:rsid w:val="00335BF2"/>
    <w:rsid w:val="00335CFD"/>
    <w:rsid w:val="00335D56"/>
    <w:rsid w:val="00335EA4"/>
    <w:rsid w:val="00335EC4"/>
    <w:rsid w:val="00335F3A"/>
    <w:rsid w:val="003364AB"/>
    <w:rsid w:val="003365C5"/>
    <w:rsid w:val="003366D1"/>
    <w:rsid w:val="00336777"/>
    <w:rsid w:val="00336C32"/>
    <w:rsid w:val="00337249"/>
    <w:rsid w:val="003375C7"/>
    <w:rsid w:val="003376FD"/>
    <w:rsid w:val="003377A2"/>
    <w:rsid w:val="00337984"/>
    <w:rsid w:val="00337EAF"/>
    <w:rsid w:val="00337F9C"/>
    <w:rsid w:val="00340017"/>
    <w:rsid w:val="003402F6"/>
    <w:rsid w:val="0034030B"/>
    <w:rsid w:val="00340494"/>
    <w:rsid w:val="0034055B"/>
    <w:rsid w:val="00340914"/>
    <w:rsid w:val="00340C67"/>
    <w:rsid w:val="00340D20"/>
    <w:rsid w:val="003411D9"/>
    <w:rsid w:val="003414D3"/>
    <w:rsid w:val="00341A13"/>
    <w:rsid w:val="00341A4D"/>
    <w:rsid w:val="00341C2E"/>
    <w:rsid w:val="00341D45"/>
    <w:rsid w:val="00341EAA"/>
    <w:rsid w:val="00341ED1"/>
    <w:rsid w:val="003420A1"/>
    <w:rsid w:val="003420D7"/>
    <w:rsid w:val="00342229"/>
    <w:rsid w:val="003422F2"/>
    <w:rsid w:val="00342616"/>
    <w:rsid w:val="0034275A"/>
    <w:rsid w:val="00342793"/>
    <w:rsid w:val="00342AA2"/>
    <w:rsid w:val="0034347C"/>
    <w:rsid w:val="003442E8"/>
    <w:rsid w:val="00344352"/>
    <w:rsid w:val="003444CB"/>
    <w:rsid w:val="003444E5"/>
    <w:rsid w:val="0034462A"/>
    <w:rsid w:val="003447E6"/>
    <w:rsid w:val="00344A37"/>
    <w:rsid w:val="00344A7C"/>
    <w:rsid w:val="00344B1D"/>
    <w:rsid w:val="00344C04"/>
    <w:rsid w:val="00344C19"/>
    <w:rsid w:val="00344D8B"/>
    <w:rsid w:val="00344E8E"/>
    <w:rsid w:val="00344EB4"/>
    <w:rsid w:val="003451FC"/>
    <w:rsid w:val="00345409"/>
    <w:rsid w:val="003454B8"/>
    <w:rsid w:val="003454D5"/>
    <w:rsid w:val="0034568E"/>
    <w:rsid w:val="003459E6"/>
    <w:rsid w:val="00345F73"/>
    <w:rsid w:val="003465F0"/>
    <w:rsid w:val="00346713"/>
    <w:rsid w:val="00346D22"/>
    <w:rsid w:val="00346F8A"/>
    <w:rsid w:val="00347299"/>
    <w:rsid w:val="003473E2"/>
    <w:rsid w:val="00347682"/>
    <w:rsid w:val="003479F6"/>
    <w:rsid w:val="00347B37"/>
    <w:rsid w:val="00347B4F"/>
    <w:rsid w:val="00347BF2"/>
    <w:rsid w:val="00347CEB"/>
    <w:rsid w:val="00347D96"/>
    <w:rsid w:val="00347DCD"/>
    <w:rsid w:val="00347E3E"/>
    <w:rsid w:val="00350173"/>
    <w:rsid w:val="00350679"/>
    <w:rsid w:val="00350741"/>
    <w:rsid w:val="003509E9"/>
    <w:rsid w:val="00350F0A"/>
    <w:rsid w:val="00350FBE"/>
    <w:rsid w:val="00351543"/>
    <w:rsid w:val="003515EA"/>
    <w:rsid w:val="003516EA"/>
    <w:rsid w:val="00351714"/>
    <w:rsid w:val="003517CC"/>
    <w:rsid w:val="00351AAF"/>
    <w:rsid w:val="00351C1E"/>
    <w:rsid w:val="00351ED4"/>
    <w:rsid w:val="00351F8F"/>
    <w:rsid w:val="003524EC"/>
    <w:rsid w:val="0035257C"/>
    <w:rsid w:val="00352B8C"/>
    <w:rsid w:val="00352D3E"/>
    <w:rsid w:val="00352D4E"/>
    <w:rsid w:val="00352E30"/>
    <w:rsid w:val="00353443"/>
    <w:rsid w:val="003534F3"/>
    <w:rsid w:val="00353625"/>
    <w:rsid w:val="00353787"/>
    <w:rsid w:val="00353F63"/>
    <w:rsid w:val="003540E3"/>
    <w:rsid w:val="0035443B"/>
    <w:rsid w:val="00354A7E"/>
    <w:rsid w:val="00354F31"/>
    <w:rsid w:val="00355199"/>
    <w:rsid w:val="0035539B"/>
    <w:rsid w:val="00355882"/>
    <w:rsid w:val="003558F8"/>
    <w:rsid w:val="0035599E"/>
    <w:rsid w:val="00355C24"/>
    <w:rsid w:val="00355CAF"/>
    <w:rsid w:val="003560BA"/>
    <w:rsid w:val="00356264"/>
    <w:rsid w:val="003562F5"/>
    <w:rsid w:val="0035639F"/>
    <w:rsid w:val="003568F9"/>
    <w:rsid w:val="00356949"/>
    <w:rsid w:val="00356ADB"/>
    <w:rsid w:val="00356B3C"/>
    <w:rsid w:val="00356C9E"/>
    <w:rsid w:val="00356CC1"/>
    <w:rsid w:val="00356D28"/>
    <w:rsid w:val="00356D7C"/>
    <w:rsid w:val="00356E4C"/>
    <w:rsid w:val="00356F50"/>
    <w:rsid w:val="00356FEF"/>
    <w:rsid w:val="0035704A"/>
    <w:rsid w:val="003570DE"/>
    <w:rsid w:val="00357137"/>
    <w:rsid w:val="00357157"/>
    <w:rsid w:val="00357261"/>
    <w:rsid w:val="00357568"/>
    <w:rsid w:val="00357635"/>
    <w:rsid w:val="0035764A"/>
    <w:rsid w:val="003579AB"/>
    <w:rsid w:val="00357CA2"/>
    <w:rsid w:val="00360064"/>
    <w:rsid w:val="003601AB"/>
    <w:rsid w:val="00360290"/>
    <w:rsid w:val="003608F8"/>
    <w:rsid w:val="00360A3F"/>
    <w:rsid w:val="00360FB4"/>
    <w:rsid w:val="00360FF9"/>
    <w:rsid w:val="00361043"/>
    <w:rsid w:val="003619C8"/>
    <w:rsid w:val="00361A4F"/>
    <w:rsid w:val="00361C12"/>
    <w:rsid w:val="00361D57"/>
    <w:rsid w:val="00361E55"/>
    <w:rsid w:val="00362261"/>
    <w:rsid w:val="00362291"/>
    <w:rsid w:val="003624EA"/>
    <w:rsid w:val="003625A8"/>
    <w:rsid w:val="0036261D"/>
    <w:rsid w:val="00362716"/>
    <w:rsid w:val="00362A27"/>
    <w:rsid w:val="00362A38"/>
    <w:rsid w:val="00362CA3"/>
    <w:rsid w:val="00362CFE"/>
    <w:rsid w:val="00362D5F"/>
    <w:rsid w:val="00363266"/>
    <w:rsid w:val="00363361"/>
    <w:rsid w:val="0036356A"/>
    <w:rsid w:val="0036374A"/>
    <w:rsid w:val="00363764"/>
    <w:rsid w:val="00363895"/>
    <w:rsid w:val="00363A01"/>
    <w:rsid w:val="00363A7F"/>
    <w:rsid w:val="00363B3E"/>
    <w:rsid w:val="00363D62"/>
    <w:rsid w:val="00363EB6"/>
    <w:rsid w:val="0036433F"/>
    <w:rsid w:val="003647B6"/>
    <w:rsid w:val="00364CA4"/>
    <w:rsid w:val="00364E3F"/>
    <w:rsid w:val="00364E50"/>
    <w:rsid w:val="00364E84"/>
    <w:rsid w:val="0036519F"/>
    <w:rsid w:val="00365200"/>
    <w:rsid w:val="00365698"/>
    <w:rsid w:val="003656B8"/>
    <w:rsid w:val="003657E4"/>
    <w:rsid w:val="00365832"/>
    <w:rsid w:val="00365921"/>
    <w:rsid w:val="003659F2"/>
    <w:rsid w:val="00365C88"/>
    <w:rsid w:val="00365CAD"/>
    <w:rsid w:val="00365CAE"/>
    <w:rsid w:val="00365DC2"/>
    <w:rsid w:val="00366312"/>
    <w:rsid w:val="0036656B"/>
    <w:rsid w:val="003665AD"/>
    <w:rsid w:val="00366601"/>
    <w:rsid w:val="003666C8"/>
    <w:rsid w:val="00366970"/>
    <w:rsid w:val="00366B37"/>
    <w:rsid w:val="00366C68"/>
    <w:rsid w:val="00366E6D"/>
    <w:rsid w:val="00366FA4"/>
    <w:rsid w:val="00366FFE"/>
    <w:rsid w:val="003670B0"/>
    <w:rsid w:val="00367126"/>
    <w:rsid w:val="0036725B"/>
    <w:rsid w:val="00367481"/>
    <w:rsid w:val="00367773"/>
    <w:rsid w:val="00367921"/>
    <w:rsid w:val="003679B0"/>
    <w:rsid w:val="00367A32"/>
    <w:rsid w:val="00367A8C"/>
    <w:rsid w:val="00367D86"/>
    <w:rsid w:val="00367F7B"/>
    <w:rsid w:val="0037021F"/>
    <w:rsid w:val="00370704"/>
    <w:rsid w:val="00370C65"/>
    <w:rsid w:val="00370CB8"/>
    <w:rsid w:val="00370E84"/>
    <w:rsid w:val="0037124C"/>
    <w:rsid w:val="003713A2"/>
    <w:rsid w:val="003713AF"/>
    <w:rsid w:val="003713CD"/>
    <w:rsid w:val="003717DD"/>
    <w:rsid w:val="00371855"/>
    <w:rsid w:val="00371CC7"/>
    <w:rsid w:val="00371FF9"/>
    <w:rsid w:val="00372530"/>
    <w:rsid w:val="003725F5"/>
    <w:rsid w:val="003727A6"/>
    <w:rsid w:val="00372BA3"/>
    <w:rsid w:val="00372DAE"/>
    <w:rsid w:val="00372DFF"/>
    <w:rsid w:val="00373423"/>
    <w:rsid w:val="0037358F"/>
    <w:rsid w:val="00373AA5"/>
    <w:rsid w:val="00373C28"/>
    <w:rsid w:val="00373D11"/>
    <w:rsid w:val="00373D70"/>
    <w:rsid w:val="00373D7C"/>
    <w:rsid w:val="00373DC0"/>
    <w:rsid w:val="0037413E"/>
    <w:rsid w:val="00374364"/>
    <w:rsid w:val="0037474E"/>
    <w:rsid w:val="00374AAC"/>
    <w:rsid w:val="00374BE5"/>
    <w:rsid w:val="00374D16"/>
    <w:rsid w:val="003750CA"/>
    <w:rsid w:val="003754D2"/>
    <w:rsid w:val="003754E2"/>
    <w:rsid w:val="0037557D"/>
    <w:rsid w:val="0037582E"/>
    <w:rsid w:val="003758A1"/>
    <w:rsid w:val="00375D12"/>
    <w:rsid w:val="00375E9E"/>
    <w:rsid w:val="00375FF0"/>
    <w:rsid w:val="003767F4"/>
    <w:rsid w:val="00376E60"/>
    <w:rsid w:val="00376F0F"/>
    <w:rsid w:val="00377077"/>
    <w:rsid w:val="0037712C"/>
    <w:rsid w:val="0037728D"/>
    <w:rsid w:val="0037787F"/>
    <w:rsid w:val="003779D8"/>
    <w:rsid w:val="00380338"/>
    <w:rsid w:val="0038066D"/>
    <w:rsid w:val="003807DB"/>
    <w:rsid w:val="003809F9"/>
    <w:rsid w:val="00380A04"/>
    <w:rsid w:val="00380A52"/>
    <w:rsid w:val="00380B4B"/>
    <w:rsid w:val="00380BEA"/>
    <w:rsid w:val="00380C75"/>
    <w:rsid w:val="00380FB5"/>
    <w:rsid w:val="0038103F"/>
    <w:rsid w:val="0038105C"/>
    <w:rsid w:val="003812F6"/>
    <w:rsid w:val="0038136A"/>
    <w:rsid w:val="0038154D"/>
    <w:rsid w:val="00381A21"/>
    <w:rsid w:val="00381E7C"/>
    <w:rsid w:val="00382423"/>
    <w:rsid w:val="003824F6"/>
    <w:rsid w:val="00382711"/>
    <w:rsid w:val="003829A8"/>
    <w:rsid w:val="00382A7F"/>
    <w:rsid w:val="00382D58"/>
    <w:rsid w:val="00382E97"/>
    <w:rsid w:val="00383002"/>
    <w:rsid w:val="0038343D"/>
    <w:rsid w:val="003835D2"/>
    <w:rsid w:val="00383C82"/>
    <w:rsid w:val="00384028"/>
    <w:rsid w:val="00384092"/>
    <w:rsid w:val="0038418C"/>
    <w:rsid w:val="00384497"/>
    <w:rsid w:val="003846D0"/>
    <w:rsid w:val="003846FB"/>
    <w:rsid w:val="00384852"/>
    <w:rsid w:val="0038486B"/>
    <w:rsid w:val="003850B8"/>
    <w:rsid w:val="00385199"/>
    <w:rsid w:val="0038591E"/>
    <w:rsid w:val="00385FC3"/>
    <w:rsid w:val="00386054"/>
    <w:rsid w:val="003860F6"/>
    <w:rsid w:val="0038634D"/>
    <w:rsid w:val="00386525"/>
    <w:rsid w:val="00386856"/>
    <w:rsid w:val="00386A22"/>
    <w:rsid w:val="00386B97"/>
    <w:rsid w:val="00386C7A"/>
    <w:rsid w:val="00386DF4"/>
    <w:rsid w:val="00387350"/>
    <w:rsid w:val="00387403"/>
    <w:rsid w:val="0038760E"/>
    <w:rsid w:val="00387714"/>
    <w:rsid w:val="003877AA"/>
    <w:rsid w:val="00387856"/>
    <w:rsid w:val="003879AF"/>
    <w:rsid w:val="00387ABD"/>
    <w:rsid w:val="00387C54"/>
    <w:rsid w:val="00387DBD"/>
    <w:rsid w:val="0039001E"/>
    <w:rsid w:val="00390033"/>
    <w:rsid w:val="00390626"/>
    <w:rsid w:val="00390BF7"/>
    <w:rsid w:val="00390CE9"/>
    <w:rsid w:val="00390DF2"/>
    <w:rsid w:val="0039126E"/>
    <w:rsid w:val="00391466"/>
    <w:rsid w:val="0039170B"/>
    <w:rsid w:val="0039174B"/>
    <w:rsid w:val="003917DF"/>
    <w:rsid w:val="00391A1B"/>
    <w:rsid w:val="00391FFD"/>
    <w:rsid w:val="00392062"/>
    <w:rsid w:val="003923BF"/>
    <w:rsid w:val="0039270E"/>
    <w:rsid w:val="003928AA"/>
    <w:rsid w:val="003929F5"/>
    <w:rsid w:val="00392E06"/>
    <w:rsid w:val="003930AF"/>
    <w:rsid w:val="0039326E"/>
    <w:rsid w:val="00393597"/>
    <w:rsid w:val="00393703"/>
    <w:rsid w:val="00393782"/>
    <w:rsid w:val="00393822"/>
    <w:rsid w:val="00393982"/>
    <w:rsid w:val="00393A89"/>
    <w:rsid w:val="00393BE7"/>
    <w:rsid w:val="00393F10"/>
    <w:rsid w:val="00393FFC"/>
    <w:rsid w:val="0039407B"/>
    <w:rsid w:val="003941C3"/>
    <w:rsid w:val="003942A4"/>
    <w:rsid w:val="00394379"/>
    <w:rsid w:val="003944A3"/>
    <w:rsid w:val="0039456F"/>
    <w:rsid w:val="0039461E"/>
    <w:rsid w:val="0039468E"/>
    <w:rsid w:val="00394A7B"/>
    <w:rsid w:val="00394C3D"/>
    <w:rsid w:val="00394F14"/>
    <w:rsid w:val="00394F37"/>
    <w:rsid w:val="00395101"/>
    <w:rsid w:val="00395183"/>
    <w:rsid w:val="003951E4"/>
    <w:rsid w:val="003952A7"/>
    <w:rsid w:val="00395416"/>
    <w:rsid w:val="00395615"/>
    <w:rsid w:val="003958CC"/>
    <w:rsid w:val="00395962"/>
    <w:rsid w:val="00395B91"/>
    <w:rsid w:val="003960A9"/>
    <w:rsid w:val="0039654A"/>
    <w:rsid w:val="00396652"/>
    <w:rsid w:val="00396809"/>
    <w:rsid w:val="00396839"/>
    <w:rsid w:val="00396B50"/>
    <w:rsid w:val="00396BD2"/>
    <w:rsid w:val="00396E92"/>
    <w:rsid w:val="003970FD"/>
    <w:rsid w:val="003975E4"/>
    <w:rsid w:val="00397775"/>
    <w:rsid w:val="00397904"/>
    <w:rsid w:val="003A0032"/>
    <w:rsid w:val="003A01CC"/>
    <w:rsid w:val="003A027B"/>
    <w:rsid w:val="003A02F9"/>
    <w:rsid w:val="003A03EF"/>
    <w:rsid w:val="003A061D"/>
    <w:rsid w:val="003A065B"/>
    <w:rsid w:val="003A07CD"/>
    <w:rsid w:val="003A08B2"/>
    <w:rsid w:val="003A1378"/>
    <w:rsid w:val="003A1402"/>
    <w:rsid w:val="003A1785"/>
    <w:rsid w:val="003A18AF"/>
    <w:rsid w:val="003A1A8D"/>
    <w:rsid w:val="003A1E7E"/>
    <w:rsid w:val="003A1ED9"/>
    <w:rsid w:val="003A25D9"/>
    <w:rsid w:val="003A2610"/>
    <w:rsid w:val="003A265A"/>
    <w:rsid w:val="003A2816"/>
    <w:rsid w:val="003A2B45"/>
    <w:rsid w:val="003A2E29"/>
    <w:rsid w:val="003A2E41"/>
    <w:rsid w:val="003A30CF"/>
    <w:rsid w:val="003A30E6"/>
    <w:rsid w:val="003A3B2F"/>
    <w:rsid w:val="003A3B52"/>
    <w:rsid w:val="003A3C64"/>
    <w:rsid w:val="003A3D01"/>
    <w:rsid w:val="003A3FF9"/>
    <w:rsid w:val="003A413A"/>
    <w:rsid w:val="003A4C1A"/>
    <w:rsid w:val="003A5036"/>
    <w:rsid w:val="003A5863"/>
    <w:rsid w:val="003A5C33"/>
    <w:rsid w:val="003A6121"/>
    <w:rsid w:val="003A6132"/>
    <w:rsid w:val="003A6237"/>
    <w:rsid w:val="003A664E"/>
    <w:rsid w:val="003A66FA"/>
    <w:rsid w:val="003A6899"/>
    <w:rsid w:val="003A69A3"/>
    <w:rsid w:val="003A6ACF"/>
    <w:rsid w:val="003A6C75"/>
    <w:rsid w:val="003A6FB1"/>
    <w:rsid w:val="003A713B"/>
    <w:rsid w:val="003A72ED"/>
    <w:rsid w:val="003A7398"/>
    <w:rsid w:val="003A7404"/>
    <w:rsid w:val="003A75AB"/>
    <w:rsid w:val="003A7618"/>
    <w:rsid w:val="003A79D0"/>
    <w:rsid w:val="003B00BD"/>
    <w:rsid w:val="003B0532"/>
    <w:rsid w:val="003B0847"/>
    <w:rsid w:val="003B09F7"/>
    <w:rsid w:val="003B0ACC"/>
    <w:rsid w:val="003B0E84"/>
    <w:rsid w:val="003B1151"/>
    <w:rsid w:val="003B123B"/>
    <w:rsid w:val="003B1294"/>
    <w:rsid w:val="003B12D2"/>
    <w:rsid w:val="003B1382"/>
    <w:rsid w:val="003B15BD"/>
    <w:rsid w:val="003B1975"/>
    <w:rsid w:val="003B1ADF"/>
    <w:rsid w:val="003B1C54"/>
    <w:rsid w:val="003B1F26"/>
    <w:rsid w:val="003B1F45"/>
    <w:rsid w:val="003B22D4"/>
    <w:rsid w:val="003B259B"/>
    <w:rsid w:val="003B26F9"/>
    <w:rsid w:val="003B2813"/>
    <w:rsid w:val="003B2A08"/>
    <w:rsid w:val="003B2CA0"/>
    <w:rsid w:val="003B2DA2"/>
    <w:rsid w:val="003B2EA7"/>
    <w:rsid w:val="003B2EC5"/>
    <w:rsid w:val="003B30E8"/>
    <w:rsid w:val="003B3208"/>
    <w:rsid w:val="003B34B4"/>
    <w:rsid w:val="003B3591"/>
    <w:rsid w:val="003B3603"/>
    <w:rsid w:val="003B3754"/>
    <w:rsid w:val="003B3833"/>
    <w:rsid w:val="003B3A0E"/>
    <w:rsid w:val="003B3A64"/>
    <w:rsid w:val="003B3B18"/>
    <w:rsid w:val="003B3B82"/>
    <w:rsid w:val="003B3E7A"/>
    <w:rsid w:val="003B3E99"/>
    <w:rsid w:val="003B4099"/>
    <w:rsid w:val="003B4300"/>
    <w:rsid w:val="003B433A"/>
    <w:rsid w:val="003B4419"/>
    <w:rsid w:val="003B459A"/>
    <w:rsid w:val="003B46EE"/>
    <w:rsid w:val="003B4706"/>
    <w:rsid w:val="003B5089"/>
    <w:rsid w:val="003B51BA"/>
    <w:rsid w:val="003B52A8"/>
    <w:rsid w:val="003B5435"/>
    <w:rsid w:val="003B59E0"/>
    <w:rsid w:val="003B5B41"/>
    <w:rsid w:val="003B5B85"/>
    <w:rsid w:val="003B5B8D"/>
    <w:rsid w:val="003B5DEA"/>
    <w:rsid w:val="003B5FA8"/>
    <w:rsid w:val="003B6100"/>
    <w:rsid w:val="003B63EB"/>
    <w:rsid w:val="003B6469"/>
    <w:rsid w:val="003B6864"/>
    <w:rsid w:val="003B694F"/>
    <w:rsid w:val="003B6BB4"/>
    <w:rsid w:val="003B6DB5"/>
    <w:rsid w:val="003B6F7C"/>
    <w:rsid w:val="003B70CC"/>
    <w:rsid w:val="003B7207"/>
    <w:rsid w:val="003B7473"/>
    <w:rsid w:val="003B7500"/>
    <w:rsid w:val="003B76E6"/>
    <w:rsid w:val="003B77BD"/>
    <w:rsid w:val="003B7944"/>
    <w:rsid w:val="003B7C5E"/>
    <w:rsid w:val="003B7D8D"/>
    <w:rsid w:val="003B7E34"/>
    <w:rsid w:val="003B7EEC"/>
    <w:rsid w:val="003C043C"/>
    <w:rsid w:val="003C0567"/>
    <w:rsid w:val="003C090B"/>
    <w:rsid w:val="003C0DEE"/>
    <w:rsid w:val="003C0F3B"/>
    <w:rsid w:val="003C100E"/>
    <w:rsid w:val="003C119B"/>
    <w:rsid w:val="003C1540"/>
    <w:rsid w:val="003C15B0"/>
    <w:rsid w:val="003C15F0"/>
    <w:rsid w:val="003C1748"/>
    <w:rsid w:val="003C18DE"/>
    <w:rsid w:val="003C1942"/>
    <w:rsid w:val="003C19D3"/>
    <w:rsid w:val="003C1A28"/>
    <w:rsid w:val="003C1AE7"/>
    <w:rsid w:val="003C1B22"/>
    <w:rsid w:val="003C1B92"/>
    <w:rsid w:val="003C1C54"/>
    <w:rsid w:val="003C1E03"/>
    <w:rsid w:val="003C2751"/>
    <w:rsid w:val="003C2832"/>
    <w:rsid w:val="003C286A"/>
    <w:rsid w:val="003C2A2D"/>
    <w:rsid w:val="003C2B6C"/>
    <w:rsid w:val="003C2BF2"/>
    <w:rsid w:val="003C2C1B"/>
    <w:rsid w:val="003C3072"/>
    <w:rsid w:val="003C30C8"/>
    <w:rsid w:val="003C350C"/>
    <w:rsid w:val="003C368C"/>
    <w:rsid w:val="003C39E1"/>
    <w:rsid w:val="003C3AE9"/>
    <w:rsid w:val="003C3B3B"/>
    <w:rsid w:val="003C3C04"/>
    <w:rsid w:val="003C3D2C"/>
    <w:rsid w:val="003C43D7"/>
    <w:rsid w:val="003C45A6"/>
    <w:rsid w:val="003C4862"/>
    <w:rsid w:val="003C4B5D"/>
    <w:rsid w:val="003C4DA6"/>
    <w:rsid w:val="003C4F0C"/>
    <w:rsid w:val="003C525D"/>
    <w:rsid w:val="003C596A"/>
    <w:rsid w:val="003C5B3A"/>
    <w:rsid w:val="003C5BC3"/>
    <w:rsid w:val="003C5D34"/>
    <w:rsid w:val="003C5E70"/>
    <w:rsid w:val="003C61C4"/>
    <w:rsid w:val="003C63FC"/>
    <w:rsid w:val="003C6511"/>
    <w:rsid w:val="003C6568"/>
    <w:rsid w:val="003C680C"/>
    <w:rsid w:val="003C690C"/>
    <w:rsid w:val="003C6A42"/>
    <w:rsid w:val="003C6ABB"/>
    <w:rsid w:val="003C709A"/>
    <w:rsid w:val="003C7138"/>
    <w:rsid w:val="003C72F9"/>
    <w:rsid w:val="003C7733"/>
    <w:rsid w:val="003C77E2"/>
    <w:rsid w:val="003C7906"/>
    <w:rsid w:val="003C79B0"/>
    <w:rsid w:val="003C7CC3"/>
    <w:rsid w:val="003C7E5C"/>
    <w:rsid w:val="003C7E9B"/>
    <w:rsid w:val="003D062B"/>
    <w:rsid w:val="003D079E"/>
    <w:rsid w:val="003D0A63"/>
    <w:rsid w:val="003D0B24"/>
    <w:rsid w:val="003D0DB2"/>
    <w:rsid w:val="003D0E3A"/>
    <w:rsid w:val="003D0F5E"/>
    <w:rsid w:val="003D0F64"/>
    <w:rsid w:val="003D1001"/>
    <w:rsid w:val="003D128F"/>
    <w:rsid w:val="003D169F"/>
    <w:rsid w:val="003D180B"/>
    <w:rsid w:val="003D2493"/>
    <w:rsid w:val="003D255E"/>
    <w:rsid w:val="003D25C9"/>
    <w:rsid w:val="003D2BB6"/>
    <w:rsid w:val="003D2BDE"/>
    <w:rsid w:val="003D300C"/>
    <w:rsid w:val="003D3179"/>
    <w:rsid w:val="003D323C"/>
    <w:rsid w:val="003D3512"/>
    <w:rsid w:val="003D368C"/>
    <w:rsid w:val="003D36C1"/>
    <w:rsid w:val="003D37A3"/>
    <w:rsid w:val="003D37FE"/>
    <w:rsid w:val="003D3892"/>
    <w:rsid w:val="003D3A88"/>
    <w:rsid w:val="003D3B96"/>
    <w:rsid w:val="003D3EB5"/>
    <w:rsid w:val="003D4089"/>
    <w:rsid w:val="003D41CE"/>
    <w:rsid w:val="003D4295"/>
    <w:rsid w:val="003D43B8"/>
    <w:rsid w:val="003D475B"/>
    <w:rsid w:val="003D4AAC"/>
    <w:rsid w:val="003D4BF8"/>
    <w:rsid w:val="003D4DEB"/>
    <w:rsid w:val="003D50FC"/>
    <w:rsid w:val="003D5102"/>
    <w:rsid w:val="003D51CB"/>
    <w:rsid w:val="003D563D"/>
    <w:rsid w:val="003D581D"/>
    <w:rsid w:val="003D59D0"/>
    <w:rsid w:val="003D5B3B"/>
    <w:rsid w:val="003D5B3D"/>
    <w:rsid w:val="003D5B91"/>
    <w:rsid w:val="003D5F87"/>
    <w:rsid w:val="003D64F0"/>
    <w:rsid w:val="003D6879"/>
    <w:rsid w:val="003D68B9"/>
    <w:rsid w:val="003D6A09"/>
    <w:rsid w:val="003D6B9D"/>
    <w:rsid w:val="003D6CE3"/>
    <w:rsid w:val="003D6D72"/>
    <w:rsid w:val="003D6EB0"/>
    <w:rsid w:val="003D70EC"/>
    <w:rsid w:val="003D72A7"/>
    <w:rsid w:val="003D779B"/>
    <w:rsid w:val="003D7887"/>
    <w:rsid w:val="003D7998"/>
    <w:rsid w:val="003D7A14"/>
    <w:rsid w:val="003D7D2B"/>
    <w:rsid w:val="003E011F"/>
    <w:rsid w:val="003E0146"/>
    <w:rsid w:val="003E014B"/>
    <w:rsid w:val="003E0205"/>
    <w:rsid w:val="003E0440"/>
    <w:rsid w:val="003E050A"/>
    <w:rsid w:val="003E0959"/>
    <w:rsid w:val="003E09A2"/>
    <w:rsid w:val="003E0AE6"/>
    <w:rsid w:val="003E0AEB"/>
    <w:rsid w:val="003E0C92"/>
    <w:rsid w:val="003E0DBC"/>
    <w:rsid w:val="003E1019"/>
    <w:rsid w:val="003E13C7"/>
    <w:rsid w:val="003E142E"/>
    <w:rsid w:val="003E1CBA"/>
    <w:rsid w:val="003E1D9D"/>
    <w:rsid w:val="003E1E1C"/>
    <w:rsid w:val="003E2221"/>
    <w:rsid w:val="003E22BC"/>
    <w:rsid w:val="003E2405"/>
    <w:rsid w:val="003E252E"/>
    <w:rsid w:val="003E2928"/>
    <w:rsid w:val="003E2948"/>
    <w:rsid w:val="003E2FAF"/>
    <w:rsid w:val="003E2FB1"/>
    <w:rsid w:val="003E330D"/>
    <w:rsid w:val="003E38DE"/>
    <w:rsid w:val="003E398B"/>
    <w:rsid w:val="003E3A98"/>
    <w:rsid w:val="003E3FF1"/>
    <w:rsid w:val="003E425A"/>
    <w:rsid w:val="003E4284"/>
    <w:rsid w:val="003E4374"/>
    <w:rsid w:val="003E4760"/>
    <w:rsid w:val="003E47E4"/>
    <w:rsid w:val="003E483F"/>
    <w:rsid w:val="003E49B9"/>
    <w:rsid w:val="003E4EBB"/>
    <w:rsid w:val="003E502F"/>
    <w:rsid w:val="003E518D"/>
    <w:rsid w:val="003E51D1"/>
    <w:rsid w:val="003E543F"/>
    <w:rsid w:val="003E5549"/>
    <w:rsid w:val="003E55DA"/>
    <w:rsid w:val="003E5669"/>
    <w:rsid w:val="003E5A8D"/>
    <w:rsid w:val="003E5AC8"/>
    <w:rsid w:val="003E5EF0"/>
    <w:rsid w:val="003E6329"/>
    <w:rsid w:val="003E63F6"/>
    <w:rsid w:val="003E65BC"/>
    <w:rsid w:val="003E6AB4"/>
    <w:rsid w:val="003E6B88"/>
    <w:rsid w:val="003E6C9B"/>
    <w:rsid w:val="003E6C9F"/>
    <w:rsid w:val="003E71B7"/>
    <w:rsid w:val="003E744C"/>
    <w:rsid w:val="003E7514"/>
    <w:rsid w:val="003E7CFE"/>
    <w:rsid w:val="003E7E69"/>
    <w:rsid w:val="003E7FFB"/>
    <w:rsid w:val="003F020D"/>
    <w:rsid w:val="003F05F9"/>
    <w:rsid w:val="003F0ABF"/>
    <w:rsid w:val="003F0AE7"/>
    <w:rsid w:val="003F0B15"/>
    <w:rsid w:val="003F0BB6"/>
    <w:rsid w:val="003F0CD8"/>
    <w:rsid w:val="003F0D41"/>
    <w:rsid w:val="003F1031"/>
    <w:rsid w:val="003F1518"/>
    <w:rsid w:val="003F157A"/>
    <w:rsid w:val="003F184F"/>
    <w:rsid w:val="003F1E12"/>
    <w:rsid w:val="003F2247"/>
    <w:rsid w:val="003F2444"/>
    <w:rsid w:val="003F248C"/>
    <w:rsid w:val="003F2546"/>
    <w:rsid w:val="003F25CC"/>
    <w:rsid w:val="003F25E6"/>
    <w:rsid w:val="003F27B1"/>
    <w:rsid w:val="003F2B9C"/>
    <w:rsid w:val="003F2D0A"/>
    <w:rsid w:val="003F3207"/>
    <w:rsid w:val="003F3220"/>
    <w:rsid w:val="003F332F"/>
    <w:rsid w:val="003F3795"/>
    <w:rsid w:val="003F3C5F"/>
    <w:rsid w:val="003F3CFB"/>
    <w:rsid w:val="003F4B67"/>
    <w:rsid w:val="003F4F88"/>
    <w:rsid w:val="003F4FCD"/>
    <w:rsid w:val="003F53AE"/>
    <w:rsid w:val="003F5875"/>
    <w:rsid w:val="003F5B9F"/>
    <w:rsid w:val="003F5C95"/>
    <w:rsid w:val="003F5CF5"/>
    <w:rsid w:val="003F64E2"/>
    <w:rsid w:val="003F67F6"/>
    <w:rsid w:val="003F6A2F"/>
    <w:rsid w:val="003F6AE4"/>
    <w:rsid w:val="003F6D59"/>
    <w:rsid w:val="003F71D5"/>
    <w:rsid w:val="003F73C2"/>
    <w:rsid w:val="003F73C8"/>
    <w:rsid w:val="003F74A7"/>
    <w:rsid w:val="003F7703"/>
    <w:rsid w:val="003F7773"/>
    <w:rsid w:val="003F793D"/>
    <w:rsid w:val="003F7CA4"/>
    <w:rsid w:val="003F7E46"/>
    <w:rsid w:val="003F7EAC"/>
    <w:rsid w:val="00400143"/>
    <w:rsid w:val="00400273"/>
    <w:rsid w:val="0040063B"/>
    <w:rsid w:val="00400775"/>
    <w:rsid w:val="004008D0"/>
    <w:rsid w:val="00400A7F"/>
    <w:rsid w:val="00400BE3"/>
    <w:rsid w:val="00400C05"/>
    <w:rsid w:val="00400C2D"/>
    <w:rsid w:val="00400C8D"/>
    <w:rsid w:val="00400E37"/>
    <w:rsid w:val="0040117C"/>
    <w:rsid w:val="004011A2"/>
    <w:rsid w:val="0040140D"/>
    <w:rsid w:val="00401452"/>
    <w:rsid w:val="00401506"/>
    <w:rsid w:val="0040156B"/>
    <w:rsid w:val="00401607"/>
    <w:rsid w:val="00401800"/>
    <w:rsid w:val="0040193B"/>
    <w:rsid w:val="00401961"/>
    <w:rsid w:val="00401976"/>
    <w:rsid w:val="00401A99"/>
    <w:rsid w:val="00401BD0"/>
    <w:rsid w:val="00401D5E"/>
    <w:rsid w:val="00401E7A"/>
    <w:rsid w:val="00401E7B"/>
    <w:rsid w:val="00402195"/>
    <w:rsid w:val="00402481"/>
    <w:rsid w:val="0040251F"/>
    <w:rsid w:val="00402637"/>
    <w:rsid w:val="00402910"/>
    <w:rsid w:val="0040305B"/>
    <w:rsid w:val="00403377"/>
    <w:rsid w:val="004034B7"/>
    <w:rsid w:val="00403930"/>
    <w:rsid w:val="004039DB"/>
    <w:rsid w:val="004039F4"/>
    <w:rsid w:val="00403AC2"/>
    <w:rsid w:val="00404089"/>
    <w:rsid w:val="00404106"/>
    <w:rsid w:val="0040429B"/>
    <w:rsid w:val="004042BB"/>
    <w:rsid w:val="004042E9"/>
    <w:rsid w:val="00404510"/>
    <w:rsid w:val="004045D0"/>
    <w:rsid w:val="0040491E"/>
    <w:rsid w:val="00404B78"/>
    <w:rsid w:val="00404CAF"/>
    <w:rsid w:val="0040519E"/>
    <w:rsid w:val="00405236"/>
    <w:rsid w:val="00405433"/>
    <w:rsid w:val="004054CE"/>
    <w:rsid w:val="0040558F"/>
    <w:rsid w:val="004055E8"/>
    <w:rsid w:val="00405870"/>
    <w:rsid w:val="00405A11"/>
    <w:rsid w:val="00405B06"/>
    <w:rsid w:val="00405BAD"/>
    <w:rsid w:val="00405F76"/>
    <w:rsid w:val="00406036"/>
    <w:rsid w:val="00406278"/>
    <w:rsid w:val="0040661D"/>
    <w:rsid w:val="004068A7"/>
    <w:rsid w:val="00406A4C"/>
    <w:rsid w:val="00406A82"/>
    <w:rsid w:val="00406A88"/>
    <w:rsid w:val="00406C50"/>
    <w:rsid w:val="00406EBB"/>
    <w:rsid w:val="00406F27"/>
    <w:rsid w:val="004071DE"/>
    <w:rsid w:val="004075A4"/>
    <w:rsid w:val="0040767D"/>
    <w:rsid w:val="004077BC"/>
    <w:rsid w:val="00407EA7"/>
    <w:rsid w:val="00407ED2"/>
    <w:rsid w:val="00410157"/>
    <w:rsid w:val="0041031E"/>
    <w:rsid w:val="00410492"/>
    <w:rsid w:val="004104AD"/>
    <w:rsid w:val="004105F2"/>
    <w:rsid w:val="004106A2"/>
    <w:rsid w:val="00410710"/>
    <w:rsid w:val="00410771"/>
    <w:rsid w:val="004108AE"/>
    <w:rsid w:val="004108F0"/>
    <w:rsid w:val="004108FB"/>
    <w:rsid w:val="004109E3"/>
    <w:rsid w:val="00410D7C"/>
    <w:rsid w:val="00411012"/>
    <w:rsid w:val="00411170"/>
    <w:rsid w:val="00411574"/>
    <w:rsid w:val="004118A3"/>
    <w:rsid w:val="004119C7"/>
    <w:rsid w:val="00411A04"/>
    <w:rsid w:val="00411B32"/>
    <w:rsid w:val="00411DE8"/>
    <w:rsid w:val="00411F24"/>
    <w:rsid w:val="004120B6"/>
    <w:rsid w:val="00412281"/>
    <w:rsid w:val="00412365"/>
    <w:rsid w:val="00412673"/>
    <w:rsid w:val="00412791"/>
    <w:rsid w:val="004128F0"/>
    <w:rsid w:val="00412A32"/>
    <w:rsid w:val="00412C42"/>
    <w:rsid w:val="00412D8C"/>
    <w:rsid w:val="00412E6E"/>
    <w:rsid w:val="00412FBB"/>
    <w:rsid w:val="0041315D"/>
    <w:rsid w:val="0041359D"/>
    <w:rsid w:val="0041371C"/>
    <w:rsid w:val="004137F5"/>
    <w:rsid w:val="004141E0"/>
    <w:rsid w:val="004142DC"/>
    <w:rsid w:val="004142E7"/>
    <w:rsid w:val="0041447A"/>
    <w:rsid w:val="00414834"/>
    <w:rsid w:val="0041487B"/>
    <w:rsid w:val="0041489E"/>
    <w:rsid w:val="00414C88"/>
    <w:rsid w:val="00414CA2"/>
    <w:rsid w:val="00414D04"/>
    <w:rsid w:val="00414D1D"/>
    <w:rsid w:val="00414DB4"/>
    <w:rsid w:val="00414F6E"/>
    <w:rsid w:val="0041512B"/>
    <w:rsid w:val="0041538C"/>
    <w:rsid w:val="00415461"/>
    <w:rsid w:val="00415700"/>
    <w:rsid w:val="00415866"/>
    <w:rsid w:val="004159B0"/>
    <w:rsid w:val="00415A54"/>
    <w:rsid w:val="00415A56"/>
    <w:rsid w:val="00415ABF"/>
    <w:rsid w:val="00415C92"/>
    <w:rsid w:val="00415D15"/>
    <w:rsid w:val="00415D8A"/>
    <w:rsid w:val="00415E7D"/>
    <w:rsid w:val="00415E9F"/>
    <w:rsid w:val="00416660"/>
    <w:rsid w:val="00416809"/>
    <w:rsid w:val="00416829"/>
    <w:rsid w:val="004168D8"/>
    <w:rsid w:val="00416B88"/>
    <w:rsid w:val="00416BE7"/>
    <w:rsid w:val="0041728B"/>
    <w:rsid w:val="00417391"/>
    <w:rsid w:val="00417397"/>
    <w:rsid w:val="00417543"/>
    <w:rsid w:val="004175E8"/>
    <w:rsid w:val="00417670"/>
    <w:rsid w:val="00417881"/>
    <w:rsid w:val="0041FF37"/>
    <w:rsid w:val="004203D3"/>
    <w:rsid w:val="00420791"/>
    <w:rsid w:val="00420832"/>
    <w:rsid w:val="00420B02"/>
    <w:rsid w:val="00420F08"/>
    <w:rsid w:val="00420FD1"/>
    <w:rsid w:val="004212A0"/>
    <w:rsid w:val="0042130D"/>
    <w:rsid w:val="0042157D"/>
    <w:rsid w:val="00421A24"/>
    <w:rsid w:val="0042246E"/>
    <w:rsid w:val="004225E7"/>
    <w:rsid w:val="004229CD"/>
    <w:rsid w:val="00422A34"/>
    <w:rsid w:val="00422C6D"/>
    <w:rsid w:val="00422C95"/>
    <w:rsid w:val="0042357B"/>
    <w:rsid w:val="004235FE"/>
    <w:rsid w:val="0042388D"/>
    <w:rsid w:val="00423B89"/>
    <w:rsid w:val="00423E16"/>
    <w:rsid w:val="0042400C"/>
    <w:rsid w:val="004241C9"/>
    <w:rsid w:val="004243A1"/>
    <w:rsid w:val="004243C2"/>
    <w:rsid w:val="0042443E"/>
    <w:rsid w:val="00424D1D"/>
    <w:rsid w:val="00424EE2"/>
    <w:rsid w:val="004250AF"/>
    <w:rsid w:val="004250BF"/>
    <w:rsid w:val="0042519C"/>
    <w:rsid w:val="004257C8"/>
    <w:rsid w:val="0042588D"/>
    <w:rsid w:val="00425ADF"/>
    <w:rsid w:val="004261B3"/>
    <w:rsid w:val="004263EB"/>
    <w:rsid w:val="00426435"/>
    <w:rsid w:val="00426480"/>
    <w:rsid w:val="004264CA"/>
    <w:rsid w:val="004265B6"/>
    <w:rsid w:val="00426AAF"/>
    <w:rsid w:val="00426FDE"/>
    <w:rsid w:val="004272DD"/>
    <w:rsid w:val="004273C8"/>
    <w:rsid w:val="0042769D"/>
    <w:rsid w:val="0042794C"/>
    <w:rsid w:val="00427C4D"/>
    <w:rsid w:val="00427EF8"/>
    <w:rsid w:val="00427FAB"/>
    <w:rsid w:val="004303EF"/>
    <w:rsid w:val="00430808"/>
    <w:rsid w:val="004309BE"/>
    <w:rsid w:val="00430CC2"/>
    <w:rsid w:val="00430D53"/>
    <w:rsid w:val="00430DF6"/>
    <w:rsid w:val="00431187"/>
    <w:rsid w:val="0043166A"/>
    <w:rsid w:val="00431852"/>
    <w:rsid w:val="00431855"/>
    <w:rsid w:val="00431D0E"/>
    <w:rsid w:val="00431DC8"/>
    <w:rsid w:val="00431F3C"/>
    <w:rsid w:val="00432711"/>
    <w:rsid w:val="00432AE5"/>
    <w:rsid w:val="00432B4B"/>
    <w:rsid w:val="00432CE2"/>
    <w:rsid w:val="00432E41"/>
    <w:rsid w:val="00432ED7"/>
    <w:rsid w:val="00432F8F"/>
    <w:rsid w:val="0043386E"/>
    <w:rsid w:val="004338F9"/>
    <w:rsid w:val="00433B64"/>
    <w:rsid w:val="00433C4C"/>
    <w:rsid w:val="00433E58"/>
    <w:rsid w:val="00433F0F"/>
    <w:rsid w:val="00434103"/>
    <w:rsid w:val="00434859"/>
    <w:rsid w:val="00434E72"/>
    <w:rsid w:val="00434E93"/>
    <w:rsid w:val="00434F04"/>
    <w:rsid w:val="0043525C"/>
    <w:rsid w:val="004355FC"/>
    <w:rsid w:val="004356A6"/>
    <w:rsid w:val="004357AA"/>
    <w:rsid w:val="004357D6"/>
    <w:rsid w:val="00435978"/>
    <w:rsid w:val="00435A19"/>
    <w:rsid w:val="00435C76"/>
    <w:rsid w:val="00435F41"/>
    <w:rsid w:val="0043624D"/>
    <w:rsid w:val="004362C5"/>
    <w:rsid w:val="00436545"/>
    <w:rsid w:val="0043656C"/>
    <w:rsid w:val="004365A8"/>
    <w:rsid w:val="0043674B"/>
    <w:rsid w:val="00436AD1"/>
    <w:rsid w:val="00436AEA"/>
    <w:rsid w:val="00436AFF"/>
    <w:rsid w:val="00436C7C"/>
    <w:rsid w:val="00436D6F"/>
    <w:rsid w:val="00436F84"/>
    <w:rsid w:val="004374C8"/>
    <w:rsid w:val="00437E60"/>
    <w:rsid w:val="00440234"/>
    <w:rsid w:val="0044030D"/>
    <w:rsid w:val="004403B1"/>
    <w:rsid w:val="004404A3"/>
    <w:rsid w:val="004405FF"/>
    <w:rsid w:val="00440642"/>
    <w:rsid w:val="00440B61"/>
    <w:rsid w:val="00440C34"/>
    <w:rsid w:val="00440D28"/>
    <w:rsid w:val="00440E19"/>
    <w:rsid w:val="00440FA0"/>
    <w:rsid w:val="00441756"/>
    <w:rsid w:val="0044175C"/>
    <w:rsid w:val="00441895"/>
    <w:rsid w:val="00441B08"/>
    <w:rsid w:val="0044255A"/>
    <w:rsid w:val="004428A0"/>
    <w:rsid w:val="00442910"/>
    <w:rsid w:val="00442BC0"/>
    <w:rsid w:val="00442CE7"/>
    <w:rsid w:val="00442E0E"/>
    <w:rsid w:val="00443138"/>
    <w:rsid w:val="0044361E"/>
    <w:rsid w:val="004438E3"/>
    <w:rsid w:val="0044396A"/>
    <w:rsid w:val="00443AB0"/>
    <w:rsid w:val="00443F07"/>
    <w:rsid w:val="00443F0A"/>
    <w:rsid w:val="00443FF9"/>
    <w:rsid w:val="0044420D"/>
    <w:rsid w:val="004445D6"/>
    <w:rsid w:val="004446D9"/>
    <w:rsid w:val="00444958"/>
    <w:rsid w:val="00444A46"/>
    <w:rsid w:val="00444B1D"/>
    <w:rsid w:val="00444D0D"/>
    <w:rsid w:val="00444F29"/>
    <w:rsid w:val="00445074"/>
    <w:rsid w:val="0044523F"/>
    <w:rsid w:val="00445696"/>
    <w:rsid w:val="004457B3"/>
    <w:rsid w:val="004457EE"/>
    <w:rsid w:val="004458FE"/>
    <w:rsid w:val="004459E0"/>
    <w:rsid w:val="004459E7"/>
    <w:rsid w:val="00445ACA"/>
    <w:rsid w:val="00445E43"/>
    <w:rsid w:val="00445E58"/>
    <w:rsid w:val="00445F1B"/>
    <w:rsid w:val="0044612D"/>
    <w:rsid w:val="004464D0"/>
    <w:rsid w:val="004466FF"/>
    <w:rsid w:val="00446A74"/>
    <w:rsid w:val="00446C0C"/>
    <w:rsid w:val="00446EE6"/>
    <w:rsid w:val="0044719F"/>
    <w:rsid w:val="0044732F"/>
    <w:rsid w:val="00447481"/>
    <w:rsid w:val="004474B7"/>
    <w:rsid w:val="00447544"/>
    <w:rsid w:val="0044764A"/>
    <w:rsid w:val="004478EB"/>
    <w:rsid w:val="00447A84"/>
    <w:rsid w:val="00447AF9"/>
    <w:rsid w:val="00447D41"/>
    <w:rsid w:val="00447E03"/>
    <w:rsid w:val="00450581"/>
    <w:rsid w:val="004509F7"/>
    <w:rsid w:val="00450C5F"/>
    <w:rsid w:val="00450D7E"/>
    <w:rsid w:val="004510AE"/>
    <w:rsid w:val="00451305"/>
    <w:rsid w:val="004514A8"/>
    <w:rsid w:val="004514FE"/>
    <w:rsid w:val="004515A1"/>
    <w:rsid w:val="00451B45"/>
    <w:rsid w:val="00452551"/>
    <w:rsid w:val="00452574"/>
    <w:rsid w:val="0045268A"/>
    <w:rsid w:val="004526D7"/>
    <w:rsid w:val="004527C2"/>
    <w:rsid w:val="00452D3F"/>
    <w:rsid w:val="00452DE1"/>
    <w:rsid w:val="0045349F"/>
    <w:rsid w:val="00453659"/>
    <w:rsid w:val="00453783"/>
    <w:rsid w:val="00453837"/>
    <w:rsid w:val="00453A9C"/>
    <w:rsid w:val="00453E7A"/>
    <w:rsid w:val="00453E81"/>
    <w:rsid w:val="00453F31"/>
    <w:rsid w:val="004540EB"/>
    <w:rsid w:val="004543FD"/>
    <w:rsid w:val="0045466F"/>
    <w:rsid w:val="00454734"/>
    <w:rsid w:val="00454762"/>
    <w:rsid w:val="004548FF"/>
    <w:rsid w:val="00454915"/>
    <w:rsid w:val="0045494B"/>
    <w:rsid w:val="00454A52"/>
    <w:rsid w:val="00454A86"/>
    <w:rsid w:val="00454B73"/>
    <w:rsid w:val="00454B84"/>
    <w:rsid w:val="00454C20"/>
    <w:rsid w:val="00454CB6"/>
    <w:rsid w:val="00454DB9"/>
    <w:rsid w:val="00454EE3"/>
    <w:rsid w:val="00455066"/>
    <w:rsid w:val="00455C3F"/>
    <w:rsid w:val="00455C8A"/>
    <w:rsid w:val="00455DDC"/>
    <w:rsid w:val="004562B1"/>
    <w:rsid w:val="00456510"/>
    <w:rsid w:val="00456613"/>
    <w:rsid w:val="0045688D"/>
    <w:rsid w:val="00456D2E"/>
    <w:rsid w:val="00456E31"/>
    <w:rsid w:val="00456E7A"/>
    <w:rsid w:val="00456F1E"/>
    <w:rsid w:val="00456FB0"/>
    <w:rsid w:val="004570CC"/>
    <w:rsid w:val="00457284"/>
    <w:rsid w:val="00457371"/>
    <w:rsid w:val="00457CCD"/>
    <w:rsid w:val="00457E14"/>
    <w:rsid w:val="00457E56"/>
    <w:rsid w:val="00457F34"/>
    <w:rsid w:val="0046061E"/>
    <w:rsid w:val="00460992"/>
    <w:rsid w:val="00460B5D"/>
    <w:rsid w:val="00461357"/>
    <w:rsid w:val="004613AB"/>
    <w:rsid w:val="0046163D"/>
    <w:rsid w:val="00461674"/>
    <w:rsid w:val="00461707"/>
    <w:rsid w:val="00461779"/>
    <w:rsid w:val="00461964"/>
    <w:rsid w:val="004620CF"/>
    <w:rsid w:val="004620EE"/>
    <w:rsid w:val="0046221D"/>
    <w:rsid w:val="00462310"/>
    <w:rsid w:val="00462490"/>
    <w:rsid w:val="0046277A"/>
    <w:rsid w:val="004629DF"/>
    <w:rsid w:val="00462C4F"/>
    <w:rsid w:val="00462D51"/>
    <w:rsid w:val="00462DF9"/>
    <w:rsid w:val="004636D2"/>
    <w:rsid w:val="004639F5"/>
    <w:rsid w:val="00463A43"/>
    <w:rsid w:val="00463A7F"/>
    <w:rsid w:val="00463D59"/>
    <w:rsid w:val="00463DAE"/>
    <w:rsid w:val="00463FAC"/>
    <w:rsid w:val="004640E0"/>
    <w:rsid w:val="00464128"/>
    <w:rsid w:val="00464386"/>
    <w:rsid w:val="00464550"/>
    <w:rsid w:val="00464607"/>
    <w:rsid w:val="00464618"/>
    <w:rsid w:val="00464B41"/>
    <w:rsid w:val="00464C25"/>
    <w:rsid w:val="004650F6"/>
    <w:rsid w:val="004651B1"/>
    <w:rsid w:val="004656A3"/>
    <w:rsid w:val="00465856"/>
    <w:rsid w:val="0046595A"/>
    <w:rsid w:val="00465B4D"/>
    <w:rsid w:val="00465F47"/>
    <w:rsid w:val="0046618C"/>
    <w:rsid w:val="00466223"/>
    <w:rsid w:val="00466318"/>
    <w:rsid w:val="004664BC"/>
    <w:rsid w:val="00466BF0"/>
    <w:rsid w:val="00466D31"/>
    <w:rsid w:val="004672EE"/>
    <w:rsid w:val="004675DC"/>
    <w:rsid w:val="004678C6"/>
    <w:rsid w:val="00467A6D"/>
    <w:rsid w:val="00467D2C"/>
    <w:rsid w:val="00467D51"/>
    <w:rsid w:val="00467FE9"/>
    <w:rsid w:val="00470019"/>
    <w:rsid w:val="004700D2"/>
    <w:rsid w:val="004701BD"/>
    <w:rsid w:val="00470260"/>
    <w:rsid w:val="004704B5"/>
    <w:rsid w:val="004705D5"/>
    <w:rsid w:val="0047077D"/>
    <w:rsid w:val="004708FB"/>
    <w:rsid w:val="00470B6C"/>
    <w:rsid w:val="00470CBF"/>
    <w:rsid w:val="00470ED6"/>
    <w:rsid w:val="00470FC8"/>
    <w:rsid w:val="004715ED"/>
    <w:rsid w:val="0047167C"/>
    <w:rsid w:val="0047168B"/>
    <w:rsid w:val="0047179A"/>
    <w:rsid w:val="0047199D"/>
    <w:rsid w:val="00471D6F"/>
    <w:rsid w:val="00471F90"/>
    <w:rsid w:val="0047207E"/>
    <w:rsid w:val="00472098"/>
    <w:rsid w:val="004721A2"/>
    <w:rsid w:val="00472624"/>
    <w:rsid w:val="004729D7"/>
    <w:rsid w:val="00472AD3"/>
    <w:rsid w:val="00472D27"/>
    <w:rsid w:val="00472E94"/>
    <w:rsid w:val="00472F4A"/>
    <w:rsid w:val="00473421"/>
    <w:rsid w:val="00473AE7"/>
    <w:rsid w:val="00473C12"/>
    <w:rsid w:val="00473D6B"/>
    <w:rsid w:val="00474177"/>
    <w:rsid w:val="004744AE"/>
    <w:rsid w:val="004746EB"/>
    <w:rsid w:val="00474743"/>
    <w:rsid w:val="00474862"/>
    <w:rsid w:val="00474E3B"/>
    <w:rsid w:val="0047513C"/>
    <w:rsid w:val="00475327"/>
    <w:rsid w:val="00475467"/>
    <w:rsid w:val="00475801"/>
    <w:rsid w:val="0047596B"/>
    <w:rsid w:val="00475E06"/>
    <w:rsid w:val="00475F68"/>
    <w:rsid w:val="00475FBD"/>
    <w:rsid w:val="004765CA"/>
    <w:rsid w:val="00476830"/>
    <w:rsid w:val="00476C29"/>
    <w:rsid w:val="00477394"/>
    <w:rsid w:val="004774A8"/>
    <w:rsid w:val="0047786C"/>
    <w:rsid w:val="00477CF8"/>
    <w:rsid w:val="00477E56"/>
    <w:rsid w:val="00480325"/>
    <w:rsid w:val="00480407"/>
    <w:rsid w:val="004805CE"/>
    <w:rsid w:val="0048067D"/>
    <w:rsid w:val="004807B1"/>
    <w:rsid w:val="0048097A"/>
    <w:rsid w:val="00480BC0"/>
    <w:rsid w:val="00480C6E"/>
    <w:rsid w:val="00480FF2"/>
    <w:rsid w:val="004812BE"/>
    <w:rsid w:val="00481302"/>
    <w:rsid w:val="00481306"/>
    <w:rsid w:val="00481539"/>
    <w:rsid w:val="004819AE"/>
    <w:rsid w:val="004819ED"/>
    <w:rsid w:val="00481CC4"/>
    <w:rsid w:val="00481D42"/>
    <w:rsid w:val="00481DAD"/>
    <w:rsid w:val="0048205A"/>
    <w:rsid w:val="0048222E"/>
    <w:rsid w:val="0048251C"/>
    <w:rsid w:val="004827F3"/>
    <w:rsid w:val="00482AE1"/>
    <w:rsid w:val="00483537"/>
    <w:rsid w:val="0048366F"/>
    <w:rsid w:val="00483A6E"/>
    <w:rsid w:val="00483AA0"/>
    <w:rsid w:val="00483B87"/>
    <w:rsid w:val="00483B9F"/>
    <w:rsid w:val="00483DB0"/>
    <w:rsid w:val="00483EA5"/>
    <w:rsid w:val="00484090"/>
    <w:rsid w:val="004841BD"/>
    <w:rsid w:val="00484549"/>
    <w:rsid w:val="00484592"/>
    <w:rsid w:val="004846B4"/>
    <w:rsid w:val="00484912"/>
    <w:rsid w:val="00484E66"/>
    <w:rsid w:val="004850B2"/>
    <w:rsid w:val="004850E3"/>
    <w:rsid w:val="0048527E"/>
    <w:rsid w:val="004853CA"/>
    <w:rsid w:val="004853DE"/>
    <w:rsid w:val="00485429"/>
    <w:rsid w:val="004855E5"/>
    <w:rsid w:val="00485663"/>
    <w:rsid w:val="00485843"/>
    <w:rsid w:val="00485ACA"/>
    <w:rsid w:val="00485C90"/>
    <w:rsid w:val="00485DC0"/>
    <w:rsid w:val="00485F81"/>
    <w:rsid w:val="00486298"/>
    <w:rsid w:val="004863EC"/>
    <w:rsid w:val="00486763"/>
    <w:rsid w:val="004868B2"/>
    <w:rsid w:val="00486A8D"/>
    <w:rsid w:val="00486AEC"/>
    <w:rsid w:val="00486C9E"/>
    <w:rsid w:val="00486DF8"/>
    <w:rsid w:val="00486F89"/>
    <w:rsid w:val="0048700B"/>
    <w:rsid w:val="00487278"/>
    <w:rsid w:val="00487424"/>
    <w:rsid w:val="00487874"/>
    <w:rsid w:val="00487BAA"/>
    <w:rsid w:val="00487BC1"/>
    <w:rsid w:val="00487BED"/>
    <w:rsid w:val="00487F1B"/>
    <w:rsid w:val="00487F91"/>
    <w:rsid w:val="00487FA6"/>
    <w:rsid w:val="004904D4"/>
    <w:rsid w:val="004904EC"/>
    <w:rsid w:val="004905A6"/>
    <w:rsid w:val="00490846"/>
    <w:rsid w:val="0049090F"/>
    <w:rsid w:val="00490DBC"/>
    <w:rsid w:val="00491384"/>
    <w:rsid w:val="00491426"/>
    <w:rsid w:val="00491467"/>
    <w:rsid w:val="00491821"/>
    <w:rsid w:val="00491878"/>
    <w:rsid w:val="00491898"/>
    <w:rsid w:val="00491B52"/>
    <w:rsid w:val="00491E3E"/>
    <w:rsid w:val="00491F2D"/>
    <w:rsid w:val="0049238E"/>
    <w:rsid w:val="004923BE"/>
    <w:rsid w:val="004923C2"/>
    <w:rsid w:val="00492460"/>
    <w:rsid w:val="00492797"/>
    <w:rsid w:val="00492A95"/>
    <w:rsid w:val="00492B72"/>
    <w:rsid w:val="00492FAB"/>
    <w:rsid w:val="0049306C"/>
    <w:rsid w:val="004930A3"/>
    <w:rsid w:val="004934FF"/>
    <w:rsid w:val="00493678"/>
    <w:rsid w:val="00493AC9"/>
    <w:rsid w:val="00493B34"/>
    <w:rsid w:val="00493D56"/>
    <w:rsid w:val="004940F5"/>
    <w:rsid w:val="00494128"/>
    <w:rsid w:val="00494208"/>
    <w:rsid w:val="004946D9"/>
    <w:rsid w:val="004949A7"/>
    <w:rsid w:val="00494B1C"/>
    <w:rsid w:val="00494C16"/>
    <w:rsid w:val="00495264"/>
    <w:rsid w:val="00495443"/>
    <w:rsid w:val="00495444"/>
    <w:rsid w:val="00495490"/>
    <w:rsid w:val="004956ED"/>
    <w:rsid w:val="004959F0"/>
    <w:rsid w:val="00495C52"/>
    <w:rsid w:val="00495E29"/>
    <w:rsid w:val="00495FE9"/>
    <w:rsid w:val="004961DF"/>
    <w:rsid w:val="0049647D"/>
    <w:rsid w:val="00496675"/>
    <w:rsid w:val="004968A8"/>
    <w:rsid w:val="00496ACA"/>
    <w:rsid w:val="00496B4B"/>
    <w:rsid w:val="00496B53"/>
    <w:rsid w:val="00496C49"/>
    <w:rsid w:val="00496D7F"/>
    <w:rsid w:val="0049746A"/>
    <w:rsid w:val="004978ED"/>
    <w:rsid w:val="0049791B"/>
    <w:rsid w:val="00497988"/>
    <w:rsid w:val="00497C38"/>
    <w:rsid w:val="00497E3A"/>
    <w:rsid w:val="00497E67"/>
    <w:rsid w:val="00497F07"/>
    <w:rsid w:val="00497F5B"/>
    <w:rsid w:val="004A0306"/>
    <w:rsid w:val="004A0651"/>
    <w:rsid w:val="004A0792"/>
    <w:rsid w:val="004A087F"/>
    <w:rsid w:val="004A0AFD"/>
    <w:rsid w:val="004A0B99"/>
    <w:rsid w:val="004A0D1C"/>
    <w:rsid w:val="004A128B"/>
    <w:rsid w:val="004A1328"/>
    <w:rsid w:val="004A1457"/>
    <w:rsid w:val="004A16C6"/>
    <w:rsid w:val="004A1711"/>
    <w:rsid w:val="004A1785"/>
    <w:rsid w:val="004A19A0"/>
    <w:rsid w:val="004A1E3A"/>
    <w:rsid w:val="004A24F7"/>
    <w:rsid w:val="004A2A28"/>
    <w:rsid w:val="004A2C1A"/>
    <w:rsid w:val="004A2C6A"/>
    <w:rsid w:val="004A2CE3"/>
    <w:rsid w:val="004A2E99"/>
    <w:rsid w:val="004A36D5"/>
    <w:rsid w:val="004A37DF"/>
    <w:rsid w:val="004A3927"/>
    <w:rsid w:val="004A3ACB"/>
    <w:rsid w:val="004A40DC"/>
    <w:rsid w:val="004A4258"/>
    <w:rsid w:val="004A443F"/>
    <w:rsid w:val="004A48A4"/>
    <w:rsid w:val="004A4997"/>
    <w:rsid w:val="004A49AE"/>
    <w:rsid w:val="004A49D3"/>
    <w:rsid w:val="004A4A80"/>
    <w:rsid w:val="004A4CE6"/>
    <w:rsid w:val="004A4F04"/>
    <w:rsid w:val="004A5105"/>
    <w:rsid w:val="004A5153"/>
    <w:rsid w:val="004A53D6"/>
    <w:rsid w:val="004A54BF"/>
    <w:rsid w:val="004A5A37"/>
    <w:rsid w:val="004A5B02"/>
    <w:rsid w:val="004A5D50"/>
    <w:rsid w:val="004A5F26"/>
    <w:rsid w:val="004A60C7"/>
    <w:rsid w:val="004A62B2"/>
    <w:rsid w:val="004A6587"/>
    <w:rsid w:val="004A68B9"/>
    <w:rsid w:val="004A6969"/>
    <w:rsid w:val="004A6AD8"/>
    <w:rsid w:val="004A6B37"/>
    <w:rsid w:val="004A7035"/>
    <w:rsid w:val="004A73E7"/>
    <w:rsid w:val="004A7446"/>
    <w:rsid w:val="004A74A9"/>
    <w:rsid w:val="004A7696"/>
    <w:rsid w:val="004A76E3"/>
    <w:rsid w:val="004A7A33"/>
    <w:rsid w:val="004A7A96"/>
    <w:rsid w:val="004A7BCC"/>
    <w:rsid w:val="004A7C58"/>
    <w:rsid w:val="004A7D50"/>
    <w:rsid w:val="004A7DCA"/>
    <w:rsid w:val="004A7F29"/>
    <w:rsid w:val="004B060D"/>
    <w:rsid w:val="004B0C43"/>
    <w:rsid w:val="004B13EB"/>
    <w:rsid w:val="004B1639"/>
    <w:rsid w:val="004B1753"/>
    <w:rsid w:val="004B1ABF"/>
    <w:rsid w:val="004B1D25"/>
    <w:rsid w:val="004B1D55"/>
    <w:rsid w:val="004B20FB"/>
    <w:rsid w:val="004B2208"/>
    <w:rsid w:val="004B25DD"/>
    <w:rsid w:val="004B28A9"/>
    <w:rsid w:val="004B2A1A"/>
    <w:rsid w:val="004B2A25"/>
    <w:rsid w:val="004B2B11"/>
    <w:rsid w:val="004B2BB3"/>
    <w:rsid w:val="004B2D21"/>
    <w:rsid w:val="004B2D3B"/>
    <w:rsid w:val="004B330D"/>
    <w:rsid w:val="004B3400"/>
    <w:rsid w:val="004B3489"/>
    <w:rsid w:val="004B3723"/>
    <w:rsid w:val="004B3766"/>
    <w:rsid w:val="004B376C"/>
    <w:rsid w:val="004B3803"/>
    <w:rsid w:val="004B3912"/>
    <w:rsid w:val="004B3962"/>
    <w:rsid w:val="004B3AF1"/>
    <w:rsid w:val="004B3B16"/>
    <w:rsid w:val="004B3C5B"/>
    <w:rsid w:val="004B3C78"/>
    <w:rsid w:val="004B3C93"/>
    <w:rsid w:val="004B46DE"/>
    <w:rsid w:val="004B4737"/>
    <w:rsid w:val="004B4AAF"/>
    <w:rsid w:val="004B4B5E"/>
    <w:rsid w:val="004B4F5D"/>
    <w:rsid w:val="004B51B9"/>
    <w:rsid w:val="004B5220"/>
    <w:rsid w:val="004B52C7"/>
    <w:rsid w:val="004B55C6"/>
    <w:rsid w:val="004B5693"/>
    <w:rsid w:val="004B5696"/>
    <w:rsid w:val="004B5737"/>
    <w:rsid w:val="004B5B9A"/>
    <w:rsid w:val="004B6081"/>
    <w:rsid w:val="004B6118"/>
    <w:rsid w:val="004B640A"/>
    <w:rsid w:val="004B692B"/>
    <w:rsid w:val="004B6D75"/>
    <w:rsid w:val="004B6E76"/>
    <w:rsid w:val="004B6FF7"/>
    <w:rsid w:val="004B7015"/>
    <w:rsid w:val="004B71FB"/>
    <w:rsid w:val="004B7223"/>
    <w:rsid w:val="004B763D"/>
    <w:rsid w:val="004B7758"/>
    <w:rsid w:val="004B7888"/>
    <w:rsid w:val="004B78F1"/>
    <w:rsid w:val="004B7939"/>
    <w:rsid w:val="004B796F"/>
    <w:rsid w:val="004B7A63"/>
    <w:rsid w:val="004B7B57"/>
    <w:rsid w:val="004C02F1"/>
    <w:rsid w:val="004C0798"/>
    <w:rsid w:val="004C0B81"/>
    <w:rsid w:val="004C0C41"/>
    <w:rsid w:val="004C0CC8"/>
    <w:rsid w:val="004C0F31"/>
    <w:rsid w:val="004C12C7"/>
    <w:rsid w:val="004C17FD"/>
    <w:rsid w:val="004C1BE6"/>
    <w:rsid w:val="004C1CEE"/>
    <w:rsid w:val="004C1D55"/>
    <w:rsid w:val="004C1EC3"/>
    <w:rsid w:val="004C2030"/>
    <w:rsid w:val="004C21A2"/>
    <w:rsid w:val="004C2252"/>
    <w:rsid w:val="004C27E6"/>
    <w:rsid w:val="004C290D"/>
    <w:rsid w:val="004C2B73"/>
    <w:rsid w:val="004C2C7E"/>
    <w:rsid w:val="004C2D7B"/>
    <w:rsid w:val="004C3050"/>
    <w:rsid w:val="004C31C5"/>
    <w:rsid w:val="004C32FB"/>
    <w:rsid w:val="004C33E1"/>
    <w:rsid w:val="004C34A8"/>
    <w:rsid w:val="004C3616"/>
    <w:rsid w:val="004C3682"/>
    <w:rsid w:val="004C3742"/>
    <w:rsid w:val="004C3762"/>
    <w:rsid w:val="004C37EA"/>
    <w:rsid w:val="004C3981"/>
    <w:rsid w:val="004C3C15"/>
    <w:rsid w:val="004C4001"/>
    <w:rsid w:val="004C4139"/>
    <w:rsid w:val="004C4304"/>
    <w:rsid w:val="004C4388"/>
    <w:rsid w:val="004C43A8"/>
    <w:rsid w:val="004C43FA"/>
    <w:rsid w:val="004C445B"/>
    <w:rsid w:val="004C45EC"/>
    <w:rsid w:val="004C469B"/>
    <w:rsid w:val="004C4872"/>
    <w:rsid w:val="004C4964"/>
    <w:rsid w:val="004C4976"/>
    <w:rsid w:val="004C4C3A"/>
    <w:rsid w:val="004C4FD0"/>
    <w:rsid w:val="004C5060"/>
    <w:rsid w:val="004C5091"/>
    <w:rsid w:val="004C50F4"/>
    <w:rsid w:val="004C51A2"/>
    <w:rsid w:val="004C5B03"/>
    <w:rsid w:val="004C5BC0"/>
    <w:rsid w:val="004C5C38"/>
    <w:rsid w:val="004C5D86"/>
    <w:rsid w:val="004C5EAD"/>
    <w:rsid w:val="004C5FF9"/>
    <w:rsid w:val="004C6114"/>
    <w:rsid w:val="004C614F"/>
    <w:rsid w:val="004C634A"/>
    <w:rsid w:val="004C6621"/>
    <w:rsid w:val="004C6BB9"/>
    <w:rsid w:val="004C6ECF"/>
    <w:rsid w:val="004C6F46"/>
    <w:rsid w:val="004C6F86"/>
    <w:rsid w:val="004C7128"/>
    <w:rsid w:val="004C7830"/>
    <w:rsid w:val="004C7A20"/>
    <w:rsid w:val="004C7B2F"/>
    <w:rsid w:val="004C7BC3"/>
    <w:rsid w:val="004C7C49"/>
    <w:rsid w:val="004C7FAE"/>
    <w:rsid w:val="004D01C1"/>
    <w:rsid w:val="004D05EC"/>
    <w:rsid w:val="004D0670"/>
    <w:rsid w:val="004D06C6"/>
    <w:rsid w:val="004D0B49"/>
    <w:rsid w:val="004D0CAD"/>
    <w:rsid w:val="004D0CF8"/>
    <w:rsid w:val="004D0E2A"/>
    <w:rsid w:val="004D1210"/>
    <w:rsid w:val="004D1239"/>
    <w:rsid w:val="004D13E2"/>
    <w:rsid w:val="004D17C5"/>
    <w:rsid w:val="004D19EC"/>
    <w:rsid w:val="004D1A77"/>
    <w:rsid w:val="004D1B14"/>
    <w:rsid w:val="004D1E32"/>
    <w:rsid w:val="004D21DB"/>
    <w:rsid w:val="004D2576"/>
    <w:rsid w:val="004D2868"/>
    <w:rsid w:val="004D2872"/>
    <w:rsid w:val="004D2A78"/>
    <w:rsid w:val="004D2B67"/>
    <w:rsid w:val="004D2E4C"/>
    <w:rsid w:val="004D34CA"/>
    <w:rsid w:val="004D354D"/>
    <w:rsid w:val="004D3D00"/>
    <w:rsid w:val="004D3D68"/>
    <w:rsid w:val="004D3D6B"/>
    <w:rsid w:val="004D3E57"/>
    <w:rsid w:val="004D4013"/>
    <w:rsid w:val="004D427B"/>
    <w:rsid w:val="004D459F"/>
    <w:rsid w:val="004D46BB"/>
    <w:rsid w:val="004D47C7"/>
    <w:rsid w:val="004D4D65"/>
    <w:rsid w:val="004D4D7A"/>
    <w:rsid w:val="004D4E4A"/>
    <w:rsid w:val="004D5070"/>
    <w:rsid w:val="004D5140"/>
    <w:rsid w:val="004D5188"/>
    <w:rsid w:val="004D5247"/>
    <w:rsid w:val="004D5768"/>
    <w:rsid w:val="004D5781"/>
    <w:rsid w:val="004D5803"/>
    <w:rsid w:val="004D58A7"/>
    <w:rsid w:val="004D5B4E"/>
    <w:rsid w:val="004D5D88"/>
    <w:rsid w:val="004D5E0B"/>
    <w:rsid w:val="004D5F8B"/>
    <w:rsid w:val="004D6021"/>
    <w:rsid w:val="004D615F"/>
    <w:rsid w:val="004D67C2"/>
    <w:rsid w:val="004D68D4"/>
    <w:rsid w:val="004D6905"/>
    <w:rsid w:val="004D6EC6"/>
    <w:rsid w:val="004D731F"/>
    <w:rsid w:val="004D75ED"/>
    <w:rsid w:val="004D77E0"/>
    <w:rsid w:val="004D7984"/>
    <w:rsid w:val="004D7F37"/>
    <w:rsid w:val="004E03B3"/>
    <w:rsid w:val="004E03D3"/>
    <w:rsid w:val="004E04D2"/>
    <w:rsid w:val="004E0504"/>
    <w:rsid w:val="004E0578"/>
    <w:rsid w:val="004E0644"/>
    <w:rsid w:val="004E0882"/>
    <w:rsid w:val="004E088A"/>
    <w:rsid w:val="004E0A0F"/>
    <w:rsid w:val="004E0A9A"/>
    <w:rsid w:val="004E0A9F"/>
    <w:rsid w:val="004E0B90"/>
    <w:rsid w:val="004E0EFA"/>
    <w:rsid w:val="004E0F83"/>
    <w:rsid w:val="004E14F5"/>
    <w:rsid w:val="004E1783"/>
    <w:rsid w:val="004E18AD"/>
    <w:rsid w:val="004E1DBA"/>
    <w:rsid w:val="004E1DC4"/>
    <w:rsid w:val="004E1E02"/>
    <w:rsid w:val="004E23A6"/>
    <w:rsid w:val="004E24C2"/>
    <w:rsid w:val="004E251C"/>
    <w:rsid w:val="004E26C8"/>
    <w:rsid w:val="004E27E4"/>
    <w:rsid w:val="004E2D49"/>
    <w:rsid w:val="004E2D57"/>
    <w:rsid w:val="004E2D97"/>
    <w:rsid w:val="004E3024"/>
    <w:rsid w:val="004E323A"/>
    <w:rsid w:val="004E3275"/>
    <w:rsid w:val="004E32EA"/>
    <w:rsid w:val="004E32F9"/>
    <w:rsid w:val="004E3934"/>
    <w:rsid w:val="004E41E6"/>
    <w:rsid w:val="004E434B"/>
    <w:rsid w:val="004E4534"/>
    <w:rsid w:val="004E47FA"/>
    <w:rsid w:val="004E48A4"/>
    <w:rsid w:val="004E4971"/>
    <w:rsid w:val="004E4FD8"/>
    <w:rsid w:val="004E5965"/>
    <w:rsid w:val="004E5AE1"/>
    <w:rsid w:val="004E5BEB"/>
    <w:rsid w:val="004E5C45"/>
    <w:rsid w:val="004E5CD6"/>
    <w:rsid w:val="004E5F0E"/>
    <w:rsid w:val="004E60D0"/>
    <w:rsid w:val="004E6588"/>
    <w:rsid w:val="004E65E9"/>
    <w:rsid w:val="004E6A67"/>
    <w:rsid w:val="004E7100"/>
    <w:rsid w:val="004E7162"/>
    <w:rsid w:val="004E746C"/>
    <w:rsid w:val="004E759B"/>
    <w:rsid w:val="004E7817"/>
    <w:rsid w:val="004E78C2"/>
    <w:rsid w:val="004E7A55"/>
    <w:rsid w:val="004E7AE4"/>
    <w:rsid w:val="004E7BB7"/>
    <w:rsid w:val="004E7BED"/>
    <w:rsid w:val="004E7D2D"/>
    <w:rsid w:val="004E7E56"/>
    <w:rsid w:val="004E7E60"/>
    <w:rsid w:val="004E7E8D"/>
    <w:rsid w:val="004F045C"/>
    <w:rsid w:val="004F05C5"/>
    <w:rsid w:val="004F0650"/>
    <w:rsid w:val="004F0816"/>
    <w:rsid w:val="004F098D"/>
    <w:rsid w:val="004F0FA2"/>
    <w:rsid w:val="004F1076"/>
    <w:rsid w:val="004F13DF"/>
    <w:rsid w:val="004F176C"/>
    <w:rsid w:val="004F1AC3"/>
    <w:rsid w:val="004F1AE6"/>
    <w:rsid w:val="004F1B3C"/>
    <w:rsid w:val="004F1C3C"/>
    <w:rsid w:val="004F1D8F"/>
    <w:rsid w:val="004F1FA1"/>
    <w:rsid w:val="004F200F"/>
    <w:rsid w:val="004F2035"/>
    <w:rsid w:val="004F20CA"/>
    <w:rsid w:val="004F20FB"/>
    <w:rsid w:val="004F21EC"/>
    <w:rsid w:val="004F2241"/>
    <w:rsid w:val="004F230B"/>
    <w:rsid w:val="004F23B0"/>
    <w:rsid w:val="004F242E"/>
    <w:rsid w:val="004F24AB"/>
    <w:rsid w:val="004F2617"/>
    <w:rsid w:val="004F26F2"/>
    <w:rsid w:val="004F28CC"/>
    <w:rsid w:val="004F29BD"/>
    <w:rsid w:val="004F29C0"/>
    <w:rsid w:val="004F2BB1"/>
    <w:rsid w:val="004F2D38"/>
    <w:rsid w:val="004F2E45"/>
    <w:rsid w:val="004F2F98"/>
    <w:rsid w:val="004F34E3"/>
    <w:rsid w:val="004F3639"/>
    <w:rsid w:val="004F395A"/>
    <w:rsid w:val="004F3A0C"/>
    <w:rsid w:val="004F3B0F"/>
    <w:rsid w:val="004F3DD3"/>
    <w:rsid w:val="004F3F36"/>
    <w:rsid w:val="004F407C"/>
    <w:rsid w:val="004F4373"/>
    <w:rsid w:val="004F445F"/>
    <w:rsid w:val="004F44F3"/>
    <w:rsid w:val="004F4B51"/>
    <w:rsid w:val="004F4D0C"/>
    <w:rsid w:val="004F4DE6"/>
    <w:rsid w:val="004F4ED1"/>
    <w:rsid w:val="004F5040"/>
    <w:rsid w:val="004F52A5"/>
    <w:rsid w:val="004F542C"/>
    <w:rsid w:val="004F56B2"/>
    <w:rsid w:val="004F5750"/>
    <w:rsid w:val="004F57C2"/>
    <w:rsid w:val="004F5C7D"/>
    <w:rsid w:val="004F614F"/>
    <w:rsid w:val="004F6674"/>
    <w:rsid w:val="004F67AC"/>
    <w:rsid w:val="004F695A"/>
    <w:rsid w:val="004F6AE1"/>
    <w:rsid w:val="004F6C2E"/>
    <w:rsid w:val="004F6F6B"/>
    <w:rsid w:val="004F7102"/>
    <w:rsid w:val="004F7179"/>
    <w:rsid w:val="004F7270"/>
    <w:rsid w:val="004F72E7"/>
    <w:rsid w:val="004F75A7"/>
    <w:rsid w:val="004F76AB"/>
    <w:rsid w:val="004F77B6"/>
    <w:rsid w:val="004F77D7"/>
    <w:rsid w:val="004F7815"/>
    <w:rsid w:val="004F787E"/>
    <w:rsid w:val="004F7C30"/>
    <w:rsid w:val="004F7CBF"/>
    <w:rsid w:val="004F7F1E"/>
    <w:rsid w:val="00500270"/>
    <w:rsid w:val="00500481"/>
    <w:rsid w:val="005005A8"/>
    <w:rsid w:val="00500A64"/>
    <w:rsid w:val="00500B68"/>
    <w:rsid w:val="00500B83"/>
    <w:rsid w:val="00500BEC"/>
    <w:rsid w:val="00500C8B"/>
    <w:rsid w:val="00500CB6"/>
    <w:rsid w:val="00501250"/>
    <w:rsid w:val="005016A1"/>
    <w:rsid w:val="00501908"/>
    <w:rsid w:val="00501A80"/>
    <w:rsid w:val="00501B5D"/>
    <w:rsid w:val="00501F78"/>
    <w:rsid w:val="0050218C"/>
    <w:rsid w:val="005023C2"/>
    <w:rsid w:val="0050246C"/>
    <w:rsid w:val="005024CB"/>
    <w:rsid w:val="005027D2"/>
    <w:rsid w:val="00502CB5"/>
    <w:rsid w:val="00502CEB"/>
    <w:rsid w:val="00502D44"/>
    <w:rsid w:val="00502DF7"/>
    <w:rsid w:val="00502FA4"/>
    <w:rsid w:val="00503055"/>
    <w:rsid w:val="00503315"/>
    <w:rsid w:val="0050333C"/>
    <w:rsid w:val="005033C4"/>
    <w:rsid w:val="0050343A"/>
    <w:rsid w:val="00503887"/>
    <w:rsid w:val="005038DA"/>
    <w:rsid w:val="00503BB4"/>
    <w:rsid w:val="00503BEA"/>
    <w:rsid w:val="00503C2E"/>
    <w:rsid w:val="00503DCA"/>
    <w:rsid w:val="00503F9F"/>
    <w:rsid w:val="00504091"/>
    <w:rsid w:val="00504106"/>
    <w:rsid w:val="005044C2"/>
    <w:rsid w:val="005044D6"/>
    <w:rsid w:val="00504608"/>
    <w:rsid w:val="005047E6"/>
    <w:rsid w:val="0050490A"/>
    <w:rsid w:val="00504AAD"/>
    <w:rsid w:val="00504C74"/>
    <w:rsid w:val="00504C98"/>
    <w:rsid w:val="00504D60"/>
    <w:rsid w:val="0050544A"/>
    <w:rsid w:val="0050593B"/>
    <w:rsid w:val="00505973"/>
    <w:rsid w:val="00505CBC"/>
    <w:rsid w:val="00505F47"/>
    <w:rsid w:val="00506283"/>
    <w:rsid w:val="005064BA"/>
    <w:rsid w:val="005066D2"/>
    <w:rsid w:val="00506C03"/>
    <w:rsid w:val="00506FC4"/>
    <w:rsid w:val="005070D9"/>
    <w:rsid w:val="005075DE"/>
    <w:rsid w:val="005077BC"/>
    <w:rsid w:val="005077DE"/>
    <w:rsid w:val="0050787F"/>
    <w:rsid w:val="00507887"/>
    <w:rsid w:val="0050788D"/>
    <w:rsid w:val="00507B68"/>
    <w:rsid w:val="005102B6"/>
    <w:rsid w:val="00510521"/>
    <w:rsid w:val="005105ED"/>
    <w:rsid w:val="005109BE"/>
    <w:rsid w:val="00510AE1"/>
    <w:rsid w:val="00510B5B"/>
    <w:rsid w:val="00510EB3"/>
    <w:rsid w:val="00510F1D"/>
    <w:rsid w:val="0051111E"/>
    <w:rsid w:val="0051117D"/>
    <w:rsid w:val="005111F0"/>
    <w:rsid w:val="00511257"/>
    <w:rsid w:val="005113CD"/>
    <w:rsid w:val="00511455"/>
    <w:rsid w:val="005117AB"/>
    <w:rsid w:val="00511F4E"/>
    <w:rsid w:val="00511F7E"/>
    <w:rsid w:val="005122B8"/>
    <w:rsid w:val="00512465"/>
    <w:rsid w:val="005126A1"/>
    <w:rsid w:val="00512A32"/>
    <w:rsid w:val="00512B26"/>
    <w:rsid w:val="00512CD9"/>
    <w:rsid w:val="00513090"/>
    <w:rsid w:val="00513118"/>
    <w:rsid w:val="0051312E"/>
    <w:rsid w:val="00513781"/>
    <w:rsid w:val="005138DA"/>
    <w:rsid w:val="00513969"/>
    <w:rsid w:val="00513B85"/>
    <w:rsid w:val="00513EA2"/>
    <w:rsid w:val="00513EDD"/>
    <w:rsid w:val="00513FF9"/>
    <w:rsid w:val="00514626"/>
    <w:rsid w:val="00514B3E"/>
    <w:rsid w:val="00514BAF"/>
    <w:rsid w:val="00514BCD"/>
    <w:rsid w:val="00514ED8"/>
    <w:rsid w:val="00514F87"/>
    <w:rsid w:val="00515026"/>
    <w:rsid w:val="00515085"/>
    <w:rsid w:val="00515211"/>
    <w:rsid w:val="005152B1"/>
    <w:rsid w:val="00515471"/>
    <w:rsid w:val="00515763"/>
    <w:rsid w:val="00515AE9"/>
    <w:rsid w:val="00515B5D"/>
    <w:rsid w:val="005163BF"/>
    <w:rsid w:val="00516494"/>
    <w:rsid w:val="005164FB"/>
    <w:rsid w:val="005168AE"/>
    <w:rsid w:val="00516BA6"/>
    <w:rsid w:val="005173CA"/>
    <w:rsid w:val="005173E6"/>
    <w:rsid w:val="005175A3"/>
    <w:rsid w:val="0051794A"/>
    <w:rsid w:val="00517BF1"/>
    <w:rsid w:val="0052002C"/>
    <w:rsid w:val="00520052"/>
    <w:rsid w:val="0052040A"/>
    <w:rsid w:val="0052070D"/>
    <w:rsid w:val="005207F1"/>
    <w:rsid w:val="005207F4"/>
    <w:rsid w:val="00520AC7"/>
    <w:rsid w:val="00520CA8"/>
    <w:rsid w:val="00520CB9"/>
    <w:rsid w:val="00520EC5"/>
    <w:rsid w:val="00521223"/>
    <w:rsid w:val="00521284"/>
    <w:rsid w:val="005213B8"/>
    <w:rsid w:val="005214AD"/>
    <w:rsid w:val="0052155B"/>
    <w:rsid w:val="005219B5"/>
    <w:rsid w:val="00521C0A"/>
    <w:rsid w:val="00522317"/>
    <w:rsid w:val="00522F80"/>
    <w:rsid w:val="005230A0"/>
    <w:rsid w:val="00523179"/>
    <w:rsid w:val="005232D3"/>
    <w:rsid w:val="0052330F"/>
    <w:rsid w:val="00523396"/>
    <w:rsid w:val="0052342D"/>
    <w:rsid w:val="0052343E"/>
    <w:rsid w:val="005234CB"/>
    <w:rsid w:val="005234FA"/>
    <w:rsid w:val="0052381C"/>
    <w:rsid w:val="005238EF"/>
    <w:rsid w:val="00523C06"/>
    <w:rsid w:val="00523F56"/>
    <w:rsid w:val="00523F62"/>
    <w:rsid w:val="00523FCD"/>
    <w:rsid w:val="00524216"/>
    <w:rsid w:val="005243F7"/>
    <w:rsid w:val="00524515"/>
    <w:rsid w:val="00524656"/>
    <w:rsid w:val="0052486F"/>
    <w:rsid w:val="00524972"/>
    <w:rsid w:val="00524AC0"/>
    <w:rsid w:val="00524EF3"/>
    <w:rsid w:val="005250F4"/>
    <w:rsid w:val="005252ED"/>
    <w:rsid w:val="005254A8"/>
    <w:rsid w:val="00525506"/>
    <w:rsid w:val="005256BB"/>
    <w:rsid w:val="005257E1"/>
    <w:rsid w:val="005257EE"/>
    <w:rsid w:val="00525855"/>
    <w:rsid w:val="0052593D"/>
    <w:rsid w:val="005259E7"/>
    <w:rsid w:val="00525AFC"/>
    <w:rsid w:val="00525C61"/>
    <w:rsid w:val="00525E21"/>
    <w:rsid w:val="00526043"/>
    <w:rsid w:val="005261D3"/>
    <w:rsid w:val="00526277"/>
    <w:rsid w:val="005262A4"/>
    <w:rsid w:val="00526401"/>
    <w:rsid w:val="0052659F"/>
    <w:rsid w:val="0052667F"/>
    <w:rsid w:val="005267C8"/>
    <w:rsid w:val="00526978"/>
    <w:rsid w:val="00526A42"/>
    <w:rsid w:val="00526ABC"/>
    <w:rsid w:val="00526CDB"/>
    <w:rsid w:val="00526FF5"/>
    <w:rsid w:val="005271F0"/>
    <w:rsid w:val="00527289"/>
    <w:rsid w:val="0052734B"/>
    <w:rsid w:val="00527DF4"/>
    <w:rsid w:val="00527FEE"/>
    <w:rsid w:val="005300F2"/>
    <w:rsid w:val="00530133"/>
    <w:rsid w:val="005301C6"/>
    <w:rsid w:val="0053032A"/>
    <w:rsid w:val="005304E9"/>
    <w:rsid w:val="00530673"/>
    <w:rsid w:val="005306FC"/>
    <w:rsid w:val="0053086C"/>
    <w:rsid w:val="00530AFE"/>
    <w:rsid w:val="00530CE4"/>
    <w:rsid w:val="00530D42"/>
    <w:rsid w:val="00530FA2"/>
    <w:rsid w:val="00531425"/>
    <w:rsid w:val="0053160B"/>
    <w:rsid w:val="0053163E"/>
    <w:rsid w:val="005319F8"/>
    <w:rsid w:val="00531D8D"/>
    <w:rsid w:val="00531DF4"/>
    <w:rsid w:val="00531F69"/>
    <w:rsid w:val="00532110"/>
    <w:rsid w:val="0053219A"/>
    <w:rsid w:val="00532256"/>
    <w:rsid w:val="005322F9"/>
    <w:rsid w:val="005323CD"/>
    <w:rsid w:val="005329F4"/>
    <w:rsid w:val="00532E8D"/>
    <w:rsid w:val="00533742"/>
    <w:rsid w:val="00533764"/>
    <w:rsid w:val="00533787"/>
    <w:rsid w:val="005337C4"/>
    <w:rsid w:val="005337D2"/>
    <w:rsid w:val="005339FB"/>
    <w:rsid w:val="0053420F"/>
    <w:rsid w:val="005348A7"/>
    <w:rsid w:val="005348F0"/>
    <w:rsid w:val="00534B61"/>
    <w:rsid w:val="00534F7E"/>
    <w:rsid w:val="00535038"/>
    <w:rsid w:val="00535365"/>
    <w:rsid w:val="00535506"/>
    <w:rsid w:val="00535572"/>
    <w:rsid w:val="00535CAF"/>
    <w:rsid w:val="00535CBA"/>
    <w:rsid w:val="00535D44"/>
    <w:rsid w:val="00535E28"/>
    <w:rsid w:val="00536178"/>
    <w:rsid w:val="00536210"/>
    <w:rsid w:val="005366DD"/>
    <w:rsid w:val="00536755"/>
    <w:rsid w:val="005367B0"/>
    <w:rsid w:val="005367FA"/>
    <w:rsid w:val="00536854"/>
    <w:rsid w:val="00536870"/>
    <w:rsid w:val="00536B01"/>
    <w:rsid w:val="00536CFB"/>
    <w:rsid w:val="00536ECD"/>
    <w:rsid w:val="00536EF1"/>
    <w:rsid w:val="00537337"/>
    <w:rsid w:val="0053743D"/>
    <w:rsid w:val="0053765A"/>
    <w:rsid w:val="0053791D"/>
    <w:rsid w:val="00537D0B"/>
    <w:rsid w:val="00537D26"/>
    <w:rsid w:val="00537F29"/>
    <w:rsid w:val="00537FE0"/>
    <w:rsid w:val="00540126"/>
    <w:rsid w:val="005402D5"/>
    <w:rsid w:val="00540573"/>
    <w:rsid w:val="00540585"/>
    <w:rsid w:val="005406C3"/>
    <w:rsid w:val="0054072E"/>
    <w:rsid w:val="00540839"/>
    <w:rsid w:val="00540958"/>
    <w:rsid w:val="00540AF9"/>
    <w:rsid w:val="00540BD5"/>
    <w:rsid w:val="00540F6B"/>
    <w:rsid w:val="00541143"/>
    <w:rsid w:val="00541294"/>
    <w:rsid w:val="0054129E"/>
    <w:rsid w:val="0054135D"/>
    <w:rsid w:val="00541423"/>
    <w:rsid w:val="00541AE4"/>
    <w:rsid w:val="00541BE7"/>
    <w:rsid w:val="00541C99"/>
    <w:rsid w:val="00541E67"/>
    <w:rsid w:val="00541E70"/>
    <w:rsid w:val="00541F3A"/>
    <w:rsid w:val="0054202A"/>
    <w:rsid w:val="00542341"/>
    <w:rsid w:val="00542347"/>
    <w:rsid w:val="0054253B"/>
    <w:rsid w:val="00542C9C"/>
    <w:rsid w:val="005432CC"/>
    <w:rsid w:val="00543446"/>
    <w:rsid w:val="0054345C"/>
    <w:rsid w:val="00543795"/>
    <w:rsid w:val="0054386C"/>
    <w:rsid w:val="00543C71"/>
    <w:rsid w:val="00543EE4"/>
    <w:rsid w:val="0054410A"/>
    <w:rsid w:val="005441B0"/>
    <w:rsid w:val="005441F5"/>
    <w:rsid w:val="005441FD"/>
    <w:rsid w:val="00544210"/>
    <w:rsid w:val="00544257"/>
    <w:rsid w:val="00544540"/>
    <w:rsid w:val="00544715"/>
    <w:rsid w:val="005447B4"/>
    <w:rsid w:val="005447E7"/>
    <w:rsid w:val="00544928"/>
    <w:rsid w:val="00544C4D"/>
    <w:rsid w:val="00544D49"/>
    <w:rsid w:val="00544E67"/>
    <w:rsid w:val="00544FF0"/>
    <w:rsid w:val="0054500A"/>
    <w:rsid w:val="005450D1"/>
    <w:rsid w:val="00545550"/>
    <w:rsid w:val="00545691"/>
    <w:rsid w:val="005458A0"/>
    <w:rsid w:val="005458ED"/>
    <w:rsid w:val="00545AB0"/>
    <w:rsid w:val="00545E86"/>
    <w:rsid w:val="00546083"/>
    <w:rsid w:val="00546700"/>
    <w:rsid w:val="00546730"/>
    <w:rsid w:val="0054706B"/>
    <w:rsid w:val="005471D4"/>
    <w:rsid w:val="0054733F"/>
    <w:rsid w:val="00547470"/>
    <w:rsid w:val="005476F2"/>
    <w:rsid w:val="00547A73"/>
    <w:rsid w:val="00547C2A"/>
    <w:rsid w:val="00547DAE"/>
    <w:rsid w:val="00547EA1"/>
    <w:rsid w:val="00547F62"/>
    <w:rsid w:val="005500CF"/>
    <w:rsid w:val="00550373"/>
    <w:rsid w:val="00550569"/>
    <w:rsid w:val="005506FE"/>
    <w:rsid w:val="0055075F"/>
    <w:rsid w:val="005508F9"/>
    <w:rsid w:val="00550C81"/>
    <w:rsid w:val="00550CB0"/>
    <w:rsid w:val="00550CE2"/>
    <w:rsid w:val="00551003"/>
    <w:rsid w:val="005511E7"/>
    <w:rsid w:val="00551322"/>
    <w:rsid w:val="00551BB6"/>
    <w:rsid w:val="00551D2C"/>
    <w:rsid w:val="00551E0B"/>
    <w:rsid w:val="00551F0B"/>
    <w:rsid w:val="00551FAD"/>
    <w:rsid w:val="00552215"/>
    <w:rsid w:val="00552CF9"/>
    <w:rsid w:val="00552EE9"/>
    <w:rsid w:val="005531E0"/>
    <w:rsid w:val="005532C2"/>
    <w:rsid w:val="005532D0"/>
    <w:rsid w:val="0055354F"/>
    <w:rsid w:val="00553633"/>
    <w:rsid w:val="005538DA"/>
    <w:rsid w:val="00553C3C"/>
    <w:rsid w:val="0055416D"/>
    <w:rsid w:val="005542DA"/>
    <w:rsid w:val="005542F3"/>
    <w:rsid w:val="00554537"/>
    <w:rsid w:val="005545CC"/>
    <w:rsid w:val="0055467E"/>
    <w:rsid w:val="00554714"/>
    <w:rsid w:val="005547C2"/>
    <w:rsid w:val="00554CD9"/>
    <w:rsid w:val="00554D5D"/>
    <w:rsid w:val="00554E75"/>
    <w:rsid w:val="0055526A"/>
    <w:rsid w:val="0055530C"/>
    <w:rsid w:val="005557C0"/>
    <w:rsid w:val="00555C70"/>
    <w:rsid w:val="00555C8E"/>
    <w:rsid w:val="00555D9A"/>
    <w:rsid w:val="00555FB6"/>
    <w:rsid w:val="00556098"/>
    <w:rsid w:val="00556116"/>
    <w:rsid w:val="0055620B"/>
    <w:rsid w:val="00556525"/>
    <w:rsid w:val="00556589"/>
    <w:rsid w:val="005565FB"/>
    <w:rsid w:val="00556887"/>
    <w:rsid w:val="005568A7"/>
    <w:rsid w:val="00556900"/>
    <w:rsid w:val="00556A27"/>
    <w:rsid w:val="00556CA3"/>
    <w:rsid w:val="00556DB3"/>
    <w:rsid w:val="005572B3"/>
    <w:rsid w:val="00557349"/>
    <w:rsid w:val="00557385"/>
    <w:rsid w:val="00557414"/>
    <w:rsid w:val="005574AF"/>
    <w:rsid w:val="005574BD"/>
    <w:rsid w:val="0055753E"/>
    <w:rsid w:val="00557557"/>
    <w:rsid w:val="00557A41"/>
    <w:rsid w:val="00557E9B"/>
    <w:rsid w:val="00560081"/>
    <w:rsid w:val="00560099"/>
    <w:rsid w:val="00560A86"/>
    <w:rsid w:val="00560ACF"/>
    <w:rsid w:val="00560CE4"/>
    <w:rsid w:val="00560CF9"/>
    <w:rsid w:val="00561012"/>
    <w:rsid w:val="005615BC"/>
    <w:rsid w:val="005615BD"/>
    <w:rsid w:val="005615E0"/>
    <w:rsid w:val="005616EF"/>
    <w:rsid w:val="00561911"/>
    <w:rsid w:val="00561967"/>
    <w:rsid w:val="00561E28"/>
    <w:rsid w:val="00561F3C"/>
    <w:rsid w:val="00562012"/>
    <w:rsid w:val="005624BD"/>
    <w:rsid w:val="0056279E"/>
    <w:rsid w:val="00562820"/>
    <w:rsid w:val="00562840"/>
    <w:rsid w:val="005628EF"/>
    <w:rsid w:val="00562994"/>
    <w:rsid w:val="00562F3D"/>
    <w:rsid w:val="00562FAA"/>
    <w:rsid w:val="00562FBA"/>
    <w:rsid w:val="005630C7"/>
    <w:rsid w:val="00563673"/>
    <w:rsid w:val="0056370D"/>
    <w:rsid w:val="00563A49"/>
    <w:rsid w:val="00563AB1"/>
    <w:rsid w:val="00563D89"/>
    <w:rsid w:val="00563F02"/>
    <w:rsid w:val="00564018"/>
    <w:rsid w:val="0056413A"/>
    <w:rsid w:val="0056421D"/>
    <w:rsid w:val="00564275"/>
    <w:rsid w:val="00564383"/>
    <w:rsid w:val="00564542"/>
    <w:rsid w:val="005646F6"/>
    <w:rsid w:val="00564A5F"/>
    <w:rsid w:val="005652AF"/>
    <w:rsid w:val="005652B7"/>
    <w:rsid w:val="00565344"/>
    <w:rsid w:val="00565690"/>
    <w:rsid w:val="005657D1"/>
    <w:rsid w:val="005657F4"/>
    <w:rsid w:val="0056583F"/>
    <w:rsid w:val="00565AB8"/>
    <w:rsid w:val="005662DA"/>
    <w:rsid w:val="00566511"/>
    <w:rsid w:val="00566B33"/>
    <w:rsid w:val="00566F4F"/>
    <w:rsid w:val="00567294"/>
    <w:rsid w:val="00567556"/>
    <w:rsid w:val="0056781D"/>
    <w:rsid w:val="0056788C"/>
    <w:rsid w:val="00567C39"/>
    <w:rsid w:val="00567E35"/>
    <w:rsid w:val="00567F9B"/>
    <w:rsid w:val="00570286"/>
    <w:rsid w:val="005703E9"/>
    <w:rsid w:val="0057061D"/>
    <w:rsid w:val="0057075C"/>
    <w:rsid w:val="00570A3B"/>
    <w:rsid w:val="00570C0E"/>
    <w:rsid w:val="00570EE4"/>
    <w:rsid w:val="00570F1A"/>
    <w:rsid w:val="00571127"/>
    <w:rsid w:val="0057134E"/>
    <w:rsid w:val="00571362"/>
    <w:rsid w:val="005714CF"/>
    <w:rsid w:val="005714E5"/>
    <w:rsid w:val="00571679"/>
    <w:rsid w:val="00571C8F"/>
    <w:rsid w:val="00571FE2"/>
    <w:rsid w:val="005720A2"/>
    <w:rsid w:val="00572374"/>
    <w:rsid w:val="0057259C"/>
    <w:rsid w:val="00572727"/>
    <w:rsid w:val="00572931"/>
    <w:rsid w:val="00572B80"/>
    <w:rsid w:val="00572BD4"/>
    <w:rsid w:val="00572D84"/>
    <w:rsid w:val="005730CA"/>
    <w:rsid w:val="00573353"/>
    <w:rsid w:val="00573609"/>
    <w:rsid w:val="005736AE"/>
    <w:rsid w:val="00573701"/>
    <w:rsid w:val="0057402B"/>
    <w:rsid w:val="0057420E"/>
    <w:rsid w:val="00574214"/>
    <w:rsid w:val="005743FD"/>
    <w:rsid w:val="00574472"/>
    <w:rsid w:val="00574503"/>
    <w:rsid w:val="00574764"/>
    <w:rsid w:val="0057488A"/>
    <w:rsid w:val="00574C19"/>
    <w:rsid w:val="00574FF8"/>
    <w:rsid w:val="00575051"/>
    <w:rsid w:val="00575144"/>
    <w:rsid w:val="00575181"/>
    <w:rsid w:val="0057531F"/>
    <w:rsid w:val="00575413"/>
    <w:rsid w:val="0057541F"/>
    <w:rsid w:val="005755DE"/>
    <w:rsid w:val="00575947"/>
    <w:rsid w:val="00575B35"/>
    <w:rsid w:val="00575BBE"/>
    <w:rsid w:val="00575DFA"/>
    <w:rsid w:val="00575E1C"/>
    <w:rsid w:val="00575F79"/>
    <w:rsid w:val="00576047"/>
    <w:rsid w:val="00576078"/>
    <w:rsid w:val="00576399"/>
    <w:rsid w:val="005764B4"/>
    <w:rsid w:val="00576555"/>
    <w:rsid w:val="0057667C"/>
    <w:rsid w:val="00576AAD"/>
    <w:rsid w:val="00576DBA"/>
    <w:rsid w:val="00576ED1"/>
    <w:rsid w:val="005770A9"/>
    <w:rsid w:val="005775F4"/>
    <w:rsid w:val="005776D8"/>
    <w:rsid w:val="00577ADE"/>
    <w:rsid w:val="00577C2B"/>
    <w:rsid w:val="00577EE0"/>
    <w:rsid w:val="005804A8"/>
    <w:rsid w:val="005804D9"/>
    <w:rsid w:val="00580812"/>
    <w:rsid w:val="005808E9"/>
    <w:rsid w:val="00580B3E"/>
    <w:rsid w:val="00580B76"/>
    <w:rsid w:val="00580D5A"/>
    <w:rsid w:val="00580D85"/>
    <w:rsid w:val="00580F7E"/>
    <w:rsid w:val="00581586"/>
    <w:rsid w:val="005817AD"/>
    <w:rsid w:val="00581949"/>
    <w:rsid w:val="005819FB"/>
    <w:rsid w:val="00581B08"/>
    <w:rsid w:val="00581E3F"/>
    <w:rsid w:val="00581EC3"/>
    <w:rsid w:val="00582296"/>
    <w:rsid w:val="0058249C"/>
    <w:rsid w:val="005824EC"/>
    <w:rsid w:val="0058269C"/>
    <w:rsid w:val="005828F7"/>
    <w:rsid w:val="00582B71"/>
    <w:rsid w:val="00582D03"/>
    <w:rsid w:val="005834E9"/>
    <w:rsid w:val="00583574"/>
    <w:rsid w:val="0058358D"/>
    <w:rsid w:val="0058377F"/>
    <w:rsid w:val="00583AFB"/>
    <w:rsid w:val="00583B2F"/>
    <w:rsid w:val="00583B45"/>
    <w:rsid w:val="00583BFF"/>
    <w:rsid w:val="00583C4E"/>
    <w:rsid w:val="00583FC3"/>
    <w:rsid w:val="0058426E"/>
    <w:rsid w:val="005843F9"/>
    <w:rsid w:val="00584491"/>
    <w:rsid w:val="005844EA"/>
    <w:rsid w:val="0058489D"/>
    <w:rsid w:val="00584914"/>
    <w:rsid w:val="0058498D"/>
    <w:rsid w:val="00584A98"/>
    <w:rsid w:val="00584E9D"/>
    <w:rsid w:val="005850D2"/>
    <w:rsid w:val="00585254"/>
    <w:rsid w:val="00585285"/>
    <w:rsid w:val="00585393"/>
    <w:rsid w:val="005853E7"/>
    <w:rsid w:val="0058540A"/>
    <w:rsid w:val="0058547D"/>
    <w:rsid w:val="00585632"/>
    <w:rsid w:val="0058592D"/>
    <w:rsid w:val="00586060"/>
    <w:rsid w:val="00586214"/>
    <w:rsid w:val="00586240"/>
    <w:rsid w:val="00586451"/>
    <w:rsid w:val="0058647F"/>
    <w:rsid w:val="00586750"/>
    <w:rsid w:val="0058697A"/>
    <w:rsid w:val="00586AA0"/>
    <w:rsid w:val="00586DFC"/>
    <w:rsid w:val="005870B1"/>
    <w:rsid w:val="0058728D"/>
    <w:rsid w:val="00587344"/>
    <w:rsid w:val="005873EE"/>
    <w:rsid w:val="0058741B"/>
    <w:rsid w:val="0058765A"/>
    <w:rsid w:val="00587917"/>
    <w:rsid w:val="00587CBF"/>
    <w:rsid w:val="00587FF2"/>
    <w:rsid w:val="00590079"/>
    <w:rsid w:val="005903A0"/>
    <w:rsid w:val="00590FCC"/>
    <w:rsid w:val="00591120"/>
    <w:rsid w:val="0059127E"/>
    <w:rsid w:val="00591D7C"/>
    <w:rsid w:val="00591EA5"/>
    <w:rsid w:val="00592640"/>
    <w:rsid w:val="0059266C"/>
    <w:rsid w:val="00592692"/>
    <w:rsid w:val="00592851"/>
    <w:rsid w:val="005929FB"/>
    <w:rsid w:val="00592B49"/>
    <w:rsid w:val="00592C39"/>
    <w:rsid w:val="00592C67"/>
    <w:rsid w:val="00592EFA"/>
    <w:rsid w:val="00592F23"/>
    <w:rsid w:val="00592F2E"/>
    <w:rsid w:val="005930CD"/>
    <w:rsid w:val="005933F5"/>
    <w:rsid w:val="00593641"/>
    <w:rsid w:val="00593B19"/>
    <w:rsid w:val="00593CC6"/>
    <w:rsid w:val="00593E26"/>
    <w:rsid w:val="00593EED"/>
    <w:rsid w:val="005943A8"/>
    <w:rsid w:val="00594795"/>
    <w:rsid w:val="00594889"/>
    <w:rsid w:val="0059494E"/>
    <w:rsid w:val="005949F1"/>
    <w:rsid w:val="00594A54"/>
    <w:rsid w:val="00594B22"/>
    <w:rsid w:val="00594B37"/>
    <w:rsid w:val="00594B9E"/>
    <w:rsid w:val="00594BF5"/>
    <w:rsid w:val="00594D5D"/>
    <w:rsid w:val="00594DC0"/>
    <w:rsid w:val="005953A7"/>
    <w:rsid w:val="00595AA1"/>
    <w:rsid w:val="00595EFE"/>
    <w:rsid w:val="005960FF"/>
    <w:rsid w:val="005967FE"/>
    <w:rsid w:val="00596D7A"/>
    <w:rsid w:val="00596DE2"/>
    <w:rsid w:val="00597063"/>
    <w:rsid w:val="005970FF"/>
    <w:rsid w:val="00597143"/>
    <w:rsid w:val="00597385"/>
    <w:rsid w:val="005974BE"/>
    <w:rsid w:val="005976AB"/>
    <w:rsid w:val="005976D6"/>
    <w:rsid w:val="00597A74"/>
    <w:rsid w:val="00597B3C"/>
    <w:rsid w:val="00597E7A"/>
    <w:rsid w:val="00597F20"/>
    <w:rsid w:val="005A0163"/>
    <w:rsid w:val="005A0424"/>
    <w:rsid w:val="005A05D2"/>
    <w:rsid w:val="005A0819"/>
    <w:rsid w:val="005A083E"/>
    <w:rsid w:val="005A0919"/>
    <w:rsid w:val="005A0D4C"/>
    <w:rsid w:val="005A0EA2"/>
    <w:rsid w:val="005A0EE6"/>
    <w:rsid w:val="005A1249"/>
    <w:rsid w:val="005A162F"/>
    <w:rsid w:val="005A184D"/>
    <w:rsid w:val="005A1A01"/>
    <w:rsid w:val="005A1AD2"/>
    <w:rsid w:val="005A1AD5"/>
    <w:rsid w:val="005A1AF6"/>
    <w:rsid w:val="005A1DFB"/>
    <w:rsid w:val="005A1F19"/>
    <w:rsid w:val="005A1F76"/>
    <w:rsid w:val="005A204A"/>
    <w:rsid w:val="005A207A"/>
    <w:rsid w:val="005A20AB"/>
    <w:rsid w:val="005A214C"/>
    <w:rsid w:val="005A266C"/>
    <w:rsid w:val="005A26C7"/>
    <w:rsid w:val="005A2949"/>
    <w:rsid w:val="005A2B2B"/>
    <w:rsid w:val="005A2BB1"/>
    <w:rsid w:val="005A2DC4"/>
    <w:rsid w:val="005A315B"/>
    <w:rsid w:val="005A322A"/>
    <w:rsid w:val="005A3486"/>
    <w:rsid w:val="005A34C9"/>
    <w:rsid w:val="005A3552"/>
    <w:rsid w:val="005A3B13"/>
    <w:rsid w:val="005A3D0B"/>
    <w:rsid w:val="005A3E7E"/>
    <w:rsid w:val="005A42E7"/>
    <w:rsid w:val="005A4468"/>
    <w:rsid w:val="005A4522"/>
    <w:rsid w:val="005A452C"/>
    <w:rsid w:val="005A45F8"/>
    <w:rsid w:val="005A4660"/>
    <w:rsid w:val="005A47A7"/>
    <w:rsid w:val="005A485B"/>
    <w:rsid w:val="005A4B36"/>
    <w:rsid w:val="005A4BF6"/>
    <w:rsid w:val="005A519E"/>
    <w:rsid w:val="005A548A"/>
    <w:rsid w:val="005A553F"/>
    <w:rsid w:val="005A55F6"/>
    <w:rsid w:val="005A580F"/>
    <w:rsid w:val="005A5D4A"/>
    <w:rsid w:val="005A600E"/>
    <w:rsid w:val="005A635A"/>
    <w:rsid w:val="005A63D8"/>
    <w:rsid w:val="005A6432"/>
    <w:rsid w:val="005A677F"/>
    <w:rsid w:val="005A685A"/>
    <w:rsid w:val="005A6D99"/>
    <w:rsid w:val="005A783C"/>
    <w:rsid w:val="005A7BED"/>
    <w:rsid w:val="005A7DD5"/>
    <w:rsid w:val="005A7DEF"/>
    <w:rsid w:val="005A7EAA"/>
    <w:rsid w:val="005A7F46"/>
    <w:rsid w:val="005B0018"/>
    <w:rsid w:val="005B0038"/>
    <w:rsid w:val="005B00DB"/>
    <w:rsid w:val="005B00E4"/>
    <w:rsid w:val="005B040F"/>
    <w:rsid w:val="005B0670"/>
    <w:rsid w:val="005B08B5"/>
    <w:rsid w:val="005B0912"/>
    <w:rsid w:val="005B0960"/>
    <w:rsid w:val="005B09CE"/>
    <w:rsid w:val="005B0CF0"/>
    <w:rsid w:val="005B0D35"/>
    <w:rsid w:val="005B0DCA"/>
    <w:rsid w:val="005B0DDD"/>
    <w:rsid w:val="005B0F93"/>
    <w:rsid w:val="005B12A8"/>
    <w:rsid w:val="005B141E"/>
    <w:rsid w:val="005B16E9"/>
    <w:rsid w:val="005B1861"/>
    <w:rsid w:val="005B189B"/>
    <w:rsid w:val="005B1952"/>
    <w:rsid w:val="005B1A4A"/>
    <w:rsid w:val="005B1B68"/>
    <w:rsid w:val="005B1B8A"/>
    <w:rsid w:val="005B2071"/>
    <w:rsid w:val="005B2522"/>
    <w:rsid w:val="005B29BC"/>
    <w:rsid w:val="005B2E55"/>
    <w:rsid w:val="005B2FF9"/>
    <w:rsid w:val="005B3018"/>
    <w:rsid w:val="005B304F"/>
    <w:rsid w:val="005B32EC"/>
    <w:rsid w:val="005B3408"/>
    <w:rsid w:val="005B3425"/>
    <w:rsid w:val="005B397D"/>
    <w:rsid w:val="005B3BD1"/>
    <w:rsid w:val="005B41A2"/>
    <w:rsid w:val="005B4355"/>
    <w:rsid w:val="005B48DA"/>
    <w:rsid w:val="005B4ABE"/>
    <w:rsid w:val="005B4B0D"/>
    <w:rsid w:val="005B4E18"/>
    <w:rsid w:val="005B4ECB"/>
    <w:rsid w:val="005B51E0"/>
    <w:rsid w:val="005B5214"/>
    <w:rsid w:val="005B5312"/>
    <w:rsid w:val="005B532E"/>
    <w:rsid w:val="005B53CE"/>
    <w:rsid w:val="005B540F"/>
    <w:rsid w:val="005B55D1"/>
    <w:rsid w:val="005B57AA"/>
    <w:rsid w:val="005B5937"/>
    <w:rsid w:val="005B5F39"/>
    <w:rsid w:val="005B6480"/>
    <w:rsid w:val="005B682E"/>
    <w:rsid w:val="005B68E1"/>
    <w:rsid w:val="005B69A4"/>
    <w:rsid w:val="005B6D54"/>
    <w:rsid w:val="005B714D"/>
    <w:rsid w:val="005B71F6"/>
    <w:rsid w:val="005B743C"/>
    <w:rsid w:val="005B74CA"/>
    <w:rsid w:val="005B7545"/>
    <w:rsid w:val="005B76AB"/>
    <w:rsid w:val="005B7961"/>
    <w:rsid w:val="005B7B3B"/>
    <w:rsid w:val="005B7CEB"/>
    <w:rsid w:val="005B7D64"/>
    <w:rsid w:val="005B7E1A"/>
    <w:rsid w:val="005B7F04"/>
    <w:rsid w:val="005C0098"/>
    <w:rsid w:val="005C009C"/>
    <w:rsid w:val="005C04F5"/>
    <w:rsid w:val="005C0897"/>
    <w:rsid w:val="005C08EA"/>
    <w:rsid w:val="005C0A1B"/>
    <w:rsid w:val="005C0D1A"/>
    <w:rsid w:val="005C0DA0"/>
    <w:rsid w:val="005C0FDF"/>
    <w:rsid w:val="005C1165"/>
    <w:rsid w:val="005C130B"/>
    <w:rsid w:val="005C1AE2"/>
    <w:rsid w:val="005C1BFC"/>
    <w:rsid w:val="005C1C81"/>
    <w:rsid w:val="005C1C99"/>
    <w:rsid w:val="005C1E0C"/>
    <w:rsid w:val="005C2441"/>
    <w:rsid w:val="005C24AB"/>
    <w:rsid w:val="005C2531"/>
    <w:rsid w:val="005C2654"/>
    <w:rsid w:val="005C26DC"/>
    <w:rsid w:val="005C2726"/>
    <w:rsid w:val="005C2C30"/>
    <w:rsid w:val="005C2C51"/>
    <w:rsid w:val="005C2E8F"/>
    <w:rsid w:val="005C3041"/>
    <w:rsid w:val="005C31AE"/>
    <w:rsid w:val="005C3322"/>
    <w:rsid w:val="005C3462"/>
    <w:rsid w:val="005C375D"/>
    <w:rsid w:val="005C3981"/>
    <w:rsid w:val="005C39B0"/>
    <w:rsid w:val="005C3C58"/>
    <w:rsid w:val="005C41B5"/>
    <w:rsid w:val="005C4209"/>
    <w:rsid w:val="005C428D"/>
    <w:rsid w:val="005C4324"/>
    <w:rsid w:val="005C4525"/>
    <w:rsid w:val="005C4B75"/>
    <w:rsid w:val="005C4F23"/>
    <w:rsid w:val="005C5097"/>
    <w:rsid w:val="005C5127"/>
    <w:rsid w:val="005C5155"/>
    <w:rsid w:val="005C5156"/>
    <w:rsid w:val="005C597B"/>
    <w:rsid w:val="005C5A01"/>
    <w:rsid w:val="005C5FBF"/>
    <w:rsid w:val="005C5FE1"/>
    <w:rsid w:val="005C6074"/>
    <w:rsid w:val="005C62F9"/>
    <w:rsid w:val="005C684D"/>
    <w:rsid w:val="005C68AC"/>
    <w:rsid w:val="005C69AA"/>
    <w:rsid w:val="005C69D2"/>
    <w:rsid w:val="005C6B8C"/>
    <w:rsid w:val="005C6BD6"/>
    <w:rsid w:val="005C6BDC"/>
    <w:rsid w:val="005C7201"/>
    <w:rsid w:val="005C780B"/>
    <w:rsid w:val="005C788F"/>
    <w:rsid w:val="005C7B2E"/>
    <w:rsid w:val="005D0107"/>
    <w:rsid w:val="005D0198"/>
    <w:rsid w:val="005D0199"/>
    <w:rsid w:val="005D01A6"/>
    <w:rsid w:val="005D01E5"/>
    <w:rsid w:val="005D03B7"/>
    <w:rsid w:val="005D0C03"/>
    <w:rsid w:val="005D0CBD"/>
    <w:rsid w:val="005D0DBC"/>
    <w:rsid w:val="005D0FCD"/>
    <w:rsid w:val="005D1340"/>
    <w:rsid w:val="005D1420"/>
    <w:rsid w:val="005D154A"/>
    <w:rsid w:val="005D15CD"/>
    <w:rsid w:val="005D1CCB"/>
    <w:rsid w:val="005D1FE9"/>
    <w:rsid w:val="005D20DC"/>
    <w:rsid w:val="005D23E5"/>
    <w:rsid w:val="005D253D"/>
    <w:rsid w:val="005D2BD1"/>
    <w:rsid w:val="005D2F1A"/>
    <w:rsid w:val="005D3258"/>
    <w:rsid w:val="005D346A"/>
    <w:rsid w:val="005D370E"/>
    <w:rsid w:val="005D37D3"/>
    <w:rsid w:val="005D3F89"/>
    <w:rsid w:val="005D42CA"/>
    <w:rsid w:val="005D42F4"/>
    <w:rsid w:val="005D432F"/>
    <w:rsid w:val="005D44BE"/>
    <w:rsid w:val="005D44F2"/>
    <w:rsid w:val="005D497A"/>
    <w:rsid w:val="005D4A17"/>
    <w:rsid w:val="005D4B35"/>
    <w:rsid w:val="005D51AB"/>
    <w:rsid w:val="005D555A"/>
    <w:rsid w:val="005D5629"/>
    <w:rsid w:val="005D58C0"/>
    <w:rsid w:val="005D58D5"/>
    <w:rsid w:val="005D5A79"/>
    <w:rsid w:val="005D5BF1"/>
    <w:rsid w:val="005D5C80"/>
    <w:rsid w:val="005D5D0A"/>
    <w:rsid w:val="005D6194"/>
    <w:rsid w:val="005D630A"/>
    <w:rsid w:val="005D652B"/>
    <w:rsid w:val="005D6A31"/>
    <w:rsid w:val="005D6ACE"/>
    <w:rsid w:val="005D6D13"/>
    <w:rsid w:val="005D6D8F"/>
    <w:rsid w:val="005D6E7F"/>
    <w:rsid w:val="005D6F74"/>
    <w:rsid w:val="005D75FB"/>
    <w:rsid w:val="005D770D"/>
    <w:rsid w:val="005D7847"/>
    <w:rsid w:val="005D78A5"/>
    <w:rsid w:val="005D7AEA"/>
    <w:rsid w:val="005D7C7B"/>
    <w:rsid w:val="005E0397"/>
    <w:rsid w:val="005E03FE"/>
    <w:rsid w:val="005E08A2"/>
    <w:rsid w:val="005E0A93"/>
    <w:rsid w:val="005E0D8F"/>
    <w:rsid w:val="005E0D93"/>
    <w:rsid w:val="005E0DF7"/>
    <w:rsid w:val="005E1570"/>
    <w:rsid w:val="005E166B"/>
    <w:rsid w:val="005E176A"/>
    <w:rsid w:val="005E1C38"/>
    <w:rsid w:val="005E22F2"/>
    <w:rsid w:val="005E2319"/>
    <w:rsid w:val="005E2512"/>
    <w:rsid w:val="005E260B"/>
    <w:rsid w:val="005E26DE"/>
    <w:rsid w:val="005E275A"/>
    <w:rsid w:val="005E27B6"/>
    <w:rsid w:val="005E27F2"/>
    <w:rsid w:val="005E2996"/>
    <w:rsid w:val="005E2B9E"/>
    <w:rsid w:val="005E2D40"/>
    <w:rsid w:val="005E2FB1"/>
    <w:rsid w:val="005E3057"/>
    <w:rsid w:val="005E31E5"/>
    <w:rsid w:val="005E3388"/>
    <w:rsid w:val="005E340C"/>
    <w:rsid w:val="005E3460"/>
    <w:rsid w:val="005E3503"/>
    <w:rsid w:val="005E36A4"/>
    <w:rsid w:val="005E375E"/>
    <w:rsid w:val="005E375F"/>
    <w:rsid w:val="005E3861"/>
    <w:rsid w:val="005E3963"/>
    <w:rsid w:val="005E39B4"/>
    <w:rsid w:val="005E3A7C"/>
    <w:rsid w:val="005E3B18"/>
    <w:rsid w:val="005E3B82"/>
    <w:rsid w:val="005E3E24"/>
    <w:rsid w:val="005E3FEF"/>
    <w:rsid w:val="005E419D"/>
    <w:rsid w:val="005E41ED"/>
    <w:rsid w:val="005E43BB"/>
    <w:rsid w:val="005E46A0"/>
    <w:rsid w:val="005E48C8"/>
    <w:rsid w:val="005E4CB3"/>
    <w:rsid w:val="005E4E2D"/>
    <w:rsid w:val="005E4E48"/>
    <w:rsid w:val="005E4E6B"/>
    <w:rsid w:val="005E5098"/>
    <w:rsid w:val="005E50C3"/>
    <w:rsid w:val="005E53F7"/>
    <w:rsid w:val="005E5568"/>
    <w:rsid w:val="005E55FA"/>
    <w:rsid w:val="005E5786"/>
    <w:rsid w:val="005E57A8"/>
    <w:rsid w:val="005E592D"/>
    <w:rsid w:val="005E59F9"/>
    <w:rsid w:val="005E5AE9"/>
    <w:rsid w:val="005E5CE3"/>
    <w:rsid w:val="005E5F36"/>
    <w:rsid w:val="005E6045"/>
    <w:rsid w:val="005E64A4"/>
    <w:rsid w:val="005E65ED"/>
    <w:rsid w:val="005E68F7"/>
    <w:rsid w:val="005E6AEF"/>
    <w:rsid w:val="005E6DD1"/>
    <w:rsid w:val="005E700A"/>
    <w:rsid w:val="005E7061"/>
    <w:rsid w:val="005E7100"/>
    <w:rsid w:val="005E7202"/>
    <w:rsid w:val="005E762B"/>
    <w:rsid w:val="005E7781"/>
    <w:rsid w:val="005E7790"/>
    <w:rsid w:val="005E77E6"/>
    <w:rsid w:val="005E78C1"/>
    <w:rsid w:val="005E791A"/>
    <w:rsid w:val="005E7AFE"/>
    <w:rsid w:val="005E7C45"/>
    <w:rsid w:val="005E7D83"/>
    <w:rsid w:val="005E7F0B"/>
    <w:rsid w:val="005F00BF"/>
    <w:rsid w:val="005F02E0"/>
    <w:rsid w:val="005F0450"/>
    <w:rsid w:val="005F046A"/>
    <w:rsid w:val="005F0494"/>
    <w:rsid w:val="005F06D9"/>
    <w:rsid w:val="005F0968"/>
    <w:rsid w:val="005F0A74"/>
    <w:rsid w:val="005F0F71"/>
    <w:rsid w:val="005F0F92"/>
    <w:rsid w:val="005F11D3"/>
    <w:rsid w:val="005F1203"/>
    <w:rsid w:val="005F1457"/>
    <w:rsid w:val="005F1878"/>
    <w:rsid w:val="005F1BCB"/>
    <w:rsid w:val="005F1C9A"/>
    <w:rsid w:val="005F1CA0"/>
    <w:rsid w:val="005F1EB2"/>
    <w:rsid w:val="005F1ED1"/>
    <w:rsid w:val="005F219A"/>
    <w:rsid w:val="005F24DF"/>
    <w:rsid w:val="005F24E1"/>
    <w:rsid w:val="005F27F1"/>
    <w:rsid w:val="005F2866"/>
    <w:rsid w:val="005F2870"/>
    <w:rsid w:val="005F289E"/>
    <w:rsid w:val="005F2983"/>
    <w:rsid w:val="005F2AA8"/>
    <w:rsid w:val="005F2B69"/>
    <w:rsid w:val="005F3068"/>
    <w:rsid w:val="005F3215"/>
    <w:rsid w:val="005F33EF"/>
    <w:rsid w:val="005F3AE3"/>
    <w:rsid w:val="005F3B22"/>
    <w:rsid w:val="005F40D2"/>
    <w:rsid w:val="005F4257"/>
    <w:rsid w:val="005F4389"/>
    <w:rsid w:val="005F43BE"/>
    <w:rsid w:val="005F4479"/>
    <w:rsid w:val="005F44EE"/>
    <w:rsid w:val="005F45D1"/>
    <w:rsid w:val="005F45D4"/>
    <w:rsid w:val="005F4854"/>
    <w:rsid w:val="005F49C8"/>
    <w:rsid w:val="005F4A71"/>
    <w:rsid w:val="005F4A82"/>
    <w:rsid w:val="005F4B7B"/>
    <w:rsid w:val="005F4B91"/>
    <w:rsid w:val="005F4BCA"/>
    <w:rsid w:val="005F514B"/>
    <w:rsid w:val="005F56A9"/>
    <w:rsid w:val="005F56C9"/>
    <w:rsid w:val="005F57FA"/>
    <w:rsid w:val="005F5A13"/>
    <w:rsid w:val="005F5C1D"/>
    <w:rsid w:val="005F5C9A"/>
    <w:rsid w:val="005F5D09"/>
    <w:rsid w:val="005F5D9F"/>
    <w:rsid w:val="005F60A5"/>
    <w:rsid w:val="005F6148"/>
    <w:rsid w:val="005F62A0"/>
    <w:rsid w:val="005F6507"/>
    <w:rsid w:val="005F65F9"/>
    <w:rsid w:val="005F6845"/>
    <w:rsid w:val="005F6FD1"/>
    <w:rsid w:val="005F6FD7"/>
    <w:rsid w:val="005F6FF0"/>
    <w:rsid w:val="005F71E6"/>
    <w:rsid w:val="005F73E4"/>
    <w:rsid w:val="005F74E4"/>
    <w:rsid w:val="005F7780"/>
    <w:rsid w:val="005F781C"/>
    <w:rsid w:val="005F7ABE"/>
    <w:rsid w:val="005F7CE7"/>
    <w:rsid w:val="005F7EDB"/>
    <w:rsid w:val="005F7F36"/>
    <w:rsid w:val="006004C5"/>
    <w:rsid w:val="0060071D"/>
    <w:rsid w:val="00600848"/>
    <w:rsid w:val="0060086A"/>
    <w:rsid w:val="00600A65"/>
    <w:rsid w:val="00600B93"/>
    <w:rsid w:val="00600D50"/>
    <w:rsid w:val="00600F0F"/>
    <w:rsid w:val="0060109B"/>
    <w:rsid w:val="006019CC"/>
    <w:rsid w:val="00601AF6"/>
    <w:rsid w:val="006020B2"/>
    <w:rsid w:val="00602215"/>
    <w:rsid w:val="00602398"/>
    <w:rsid w:val="006025D8"/>
    <w:rsid w:val="00602643"/>
    <w:rsid w:val="006026CF"/>
    <w:rsid w:val="006027AE"/>
    <w:rsid w:val="006027E6"/>
    <w:rsid w:val="00602840"/>
    <w:rsid w:val="00602E03"/>
    <w:rsid w:val="00602EE6"/>
    <w:rsid w:val="00603296"/>
    <w:rsid w:val="0060382D"/>
    <w:rsid w:val="0060390C"/>
    <w:rsid w:val="0060392E"/>
    <w:rsid w:val="00603A4E"/>
    <w:rsid w:val="00603B5F"/>
    <w:rsid w:val="00603BF9"/>
    <w:rsid w:val="00603C99"/>
    <w:rsid w:val="00603D2E"/>
    <w:rsid w:val="00603E3A"/>
    <w:rsid w:val="00603ECA"/>
    <w:rsid w:val="00603EE1"/>
    <w:rsid w:val="00604625"/>
    <w:rsid w:val="0060496E"/>
    <w:rsid w:val="00604AEC"/>
    <w:rsid w:val="00604CB0"/>
    <w:rsid w:val="00604E51"/>
    <w:rsid w:val="00605016"/>
    <w:rsid w:val="006051BA"/>
    <w:rsid w:val="00605253"/>
    <w:rsid w:val="00605458"/>
    <w:rsid w:val="006057C1"/>
    <w:rsid w:val="00605840"/>
    <w:rsid w:val="00605CA0"/>
    <w:rsid w:val="0060601D"/>
    <w:rsid w:val="00606264"/>
    <w:rsid w:val="00606453"/>
    <w:rsid w:val="006067C2"/>
    <w:rsid w:val="00606833"/>
    <w:rsid w:val="006069C0"/>
    <w:rsid w:val="006069C1"/>
    <w:rsid w:val="006069EB"/>
    <w:rsid w:val="00606AFD"/>
    <w:rsid w:val="00606B94"/>
    <w:rsid w:val="00606C84"/>
    <w:rsid w:val="00606DED"/>
    <w:rsid w:val="00606E4F"/>
    <w:rsid w:val="0060707E"/>
    <w:rsid w:val="00607773"/>
    <w:rsid w:val="0060784B"/>
    <w:rsid w:val="00607E66"/>
    <w:rsid w:val="00610070"/>
    <w:rsid w:val="006102C2"/>
    <w:rsid w:val="0061054A"/>
    <w:rsid w:val="006106BD"/>
    <w:rsid w:val="006108A3"/>
    <w:rsid w:val="00610BB6"/>
    <w:rsid w:val="00610E91"/>
    <w:rsid w:val="006115F2"/>
    <w:rsid w:val="0061170F"/>
    <w:rsid w:val="0061183A"/>
    <w:rsid w:val="0061187F"/>
    <w:rsid w:val="00611CD6"/>
    <w:rsid w:val="00611DF5"/>
    <w:rsid w:val="00611E91"/>
    <w:rsid w:val="006120FC"/>
    <w:rsid w:val="00612158"/>
    <w:rsid w:val="00612436"/>
    <w:rsid w:val="006127A3"/>
    <w:rsid w:val="006129DE"/>
    <w:rsid w:val="00613331"/>
    <w:rsid w:val="00613768"/>
    <w:rsid w:val="00613972"/>
    <w:rsid w:val="00613B2D"/>
    <w:rsid w:val="00614379"/>
    <w:rsid w:val="006143BD"/>
    <w:rsid w:val="00614434"/>
    <w:rsid w:val="006146A0"/>
    <w:rsid w:val="006154CF"/>
    <w:rsid w:val="006156A2"/>
    <w:rsid w:val="00615A56"/>
    <w:rsid w:val="00615B25"/>
    <w:rsid w:val="00615BB6"/>
    <w:rsid w:val="00615E42"/>
    <w:rsid w:val="0061600B"/>
    <w:rsid w:val="0061608F"/>
    <w:rsid w:val="0061622D"/>
    <w:rsid w:val="00616280"/>
    <w:rsid w:val="006166FD"/>
    <w:rsid w:val="006168DB"/>
    <w:rsid w:val="00616C60"/>
    <w:rsid w:val="006172AA"/>
    <w:rsid w:val="006173D6"/>
    <w:rsid w:val="00617708"/>
    <w:rsid w:val="00617A6D"/>
    <w:rsid w:val="00617AC0"/>
    <w:rsid w:val="00617B21"/>
    <w:rsid w:val="00617BA2"/>
    <w:rsid w:val="00617E32"/>
    <w:rsid w:val="00617EBA"/>
    <w:rsid w:val="0062018E"/>
    <w:rsid w:val="0062029B"/>
    <w:rsid w:val="00620357"/>
    <w:rsid w:val="006204F0"/>
    <w:rsid w:val="0062069A"/>
    <w:rsid w:val="006206B4"/>
    <w:rsid w:val="00620865"/>
    <w:rsid w:val="0062087E"/>
    <w:rsid w:val="00620AAD"/>
    <w:rsid w:val="00620B6F"/>
    <w:rsid w:val="00620C87"/>
    <w:rsid w:val="00620D9B"/>
    <w:rsid w:val="00620E9C"/>
    <w:rsid w:val="0062117F"/>
    <w:rsid w:val="00621248"/>
    <w:rsid w:val="006219AD"/>
    <w:rsid w:val="00621A71"/>
    <w:rsid w:val="00621ED8"/>
    <w:rsid w:val="006221AF"/>
    <w:rsid w:val="006221D0"/>
    <w:rsid w:val="0062234B"/>
    <w:rsid w:val="0062244D"/>
    <w:rsid w:val="00622529"/>
    <w:rsid w:val="006225B1"/>
    <w:rsid w:val="0062267B"/>
    <w:rsid w:val="006226F6"/>
    <w:rsid w:val="006227A8"/>
    <w:rsid w:val="006227ED"/>
    <w:rsid w:val="00622A3F"/>
    <w:rsid w:val="00622AC0"/>
    <w:rsid w:val="00622BEE"/>
    <w:rsid w:val="0062310B"/>
    <w:rsid w:val="0062355E"/>
    <w:rsid w:val="00623660"/>
    <w:rsid w:val="00623769"/>
    <w:rsid w:val="0062376A"/>
    <w:rsid w:val="006239A6"/>
    <w:rsid w:val="00623B8C"/>
    <w:rsid w:val="00623E38"/>
    <w:rsid w:val="00624086"/>
    <w:rsid w:val="00624631"/>
    <w:rsid w:val="00624DAD"/>
    <w:rsid w:val="0062504D"/>
    <w:rsid w:val="006251D4"/>
    <w:rsid w:val="0062522D"/>
    <w:rsid w:val="006253C4"/>
    <w:rsid w:val="0062551B"/>
    <w:rsid w:val="006259F7"/>
    <w:rsid w:val="00625BA5"/>
    <w:rsid w:val="00625D49"/>
    <w:rsid w:val="0062627F"/>
    <w:rsid w:val="006265B8"/>
    <w:rsid w:val="0062666B"/>
    <w:rsid w:val="00626784"/>
    <w:rsid w:val="006267B3"/>
    <w:rsid w:val="0062695F"/>
    <w:rsid w:val="00626968"/>
    <w:rsid w:val="00626F98"/>
    <w:rsid w:val="006271D8"/>
    <w:rsid w:val="006273F4"/>
    <w:rsid w:val="006275FC"/>
    <w:rsid w:val="006276CA"/>
    <w:rsid w:val="00627847"/>
    <w:rsid w:val="00627947"/>
    <w:rsid w:val="00627980"/>
    <w:rsid w:val="00627A39"/>
    <w:rsid w:val="00627B60"/>
    <w:rsid w:val="00627E98"/>
    <w:rsid w:val="00630327"/>
    <w:rsid w:val="006306A9"/>
    <w:rsid w:val="006306D4"/>
    <w:rsid w:val="006308F8"/>
    <w:rsid w:val="00630A5F"/>
    <w:rsid w:val="00630AA9"/>
    <w:rsid w:val="00630D37"/>
    <w:rsid w:val="00630D51"/>
    <w:rsid w:val="00630DF2"/>
    <w:rsid w:val="00630EEB"/>
    <w:rsid w:val="00630F07"/>
    <w:rsid w:val="00630F3C"/>
    <w:rsid w:val="00630F6A"/>
    <w:rsid w:val="0063139B"/>
    <w:rsid w:val="00631849"/>
    <w:rsid w:val="00631987"/>
    <w:rsid w:val="00631B46"/>
    <w:rsid w:val="00632048"/>
    <w:rsid w:val="006322B0"/>
    <w:rsid w:val="00632388"/>
    <w:rsid w:val="006323C7"/>
    <w:rsid w:val="00632519"/>
    <w:rsid w:val="00632C17"/>
    <w:rsid w:val="00632FCB"/>
    <w:rsid w:val="0063310B"/>
    <w:rsid w:val="006331B3"/>
    <w:rsid w:val="00633AA5"/>
    <w:rsid w:val="00633E65"/>
    <w:rsid w:val="00633EFB"/>
    <w:rsid w:val="00634077"/>
    <w:rsid w:val="006342B4"/>
    <w:rsid w:val="00634774"/>
    <w:rsid w:val="00634A44"/>
    <w:rsid w:val="00635A17"/>
    <w:rsid w:val="00635A86"/>
    <w:rsid w:val="00635B44"/>
    <w:rsid w:val="00635D1F"/>
    <w:rsid w:val="006362F7"/>
    <w:rsid w:val="006364E6"/>
    <w:rsid w:val="00636E66"/>
    <w:rsid w:val="00636F2E"/>
    <w:rsid w:val="00636FC6"/>
    <w:rsid w:val="00637084"/>
    <w:rsid w:val="006371A3"/>
    <w:rsid w:val="006379E0"/>
    <w:rsid w:val="00637A0F"/>
    <w:rsid w:val="00637AEA"/>
    <w:rsid w:val="00637BE9"/>
    <w:rsid w:val="00637F49"/>
    <w:rsid w:val="00637F54"/>
    <w:rsid w:val="00640030"/>
    <w:rsid w:val="006403DE"/>
    <w:rsid w:val="00640613"/>
    <w:rsid w:val="00640848"/>
    <w:rsid w:val="00640866"/>
    <w:rsid w:val="00640871"/>
    <w:rsid w:val="00640A20"/>
    <w:rsid w:val="00640AAD"/>
    <w:rsid w:val="00640C68"/>
    <w:rsid w:val="00641073"/>
    <w:rsid w:val="00641295"/>
    <w:rsid w:val="006413FB"/>
    <w:rsid w:val="0064168F"/>
    <w:rsid w:val="006418F0"/>
    <w:rsid w:val="00641AC9"/>
    <w:rsid w:val="00641B1C"/>
    <w:rsid w:val="00641B61"/>
    <w:rsid w:val="00641B74"/>
    <w:rsid w:val="00641BFA"/>
    <w:rsid w:val="00641CAD"/>
    <w:rsid w:val="00642045"/>
    <w:rsid w:val="0064219E"/>
    <w:rsid w:val="006421F6"/>
    <w:rsid w:val="006422DB"/>
    <w:rsid w:val="00642730"/>
    <w:rsid w:val="00642905"/>
    <w:rsid w:val="00642ED1"/>
    <w:rsid w:val="00643700"/>
    <w:rsid w:val="006437DC"/>
    <w:rsid w:val="00643A1E"/>
    <w:rsid w:val="00643E05"/>
    <w:rsid w:val="00643E38"/>
    <w:rsid w:val="006440CD"/>
    <w:rsid w:val="006440FC"/>
    <w:rsid w:val="00644108"/>
    <w:rsid w:val="0064448B"/>
    <w:rsid w:val="00644584"/>
    <w:rsid w:val="00644608"/>
    <w:rsid w:val="00644715"/>
    <w:rsid w:val="006448A1"/>
    <w:rsid w:val="0064496D"/>
    <w:rsid w:val="006449C7"/>
    <w:rsid w:val="00644C33"/>
    <w:rsid w:val="00644E20"/>
    <w:rsid w:val="00644EF4"/>
    <w:rsid w:val="006452A6"/>
    <w:rsid w:val="006455D4"/>
    <w:rsid w:val="006456B6"/>
    <w:rsid w:val="00645703"/>
    <w:rsid w:val="006457C7"/>
    <w:rsid w:val="00645A03"/>
    <w:rsid w:val="00645B26"/>
    <w:rsid w:val="00645BC6"/>
    <w:rsid w:val="00645CC8"/>
    <w:rsid w:val="00645DB2"/>
    <w:rsid w:val="00646165"/>
    <w:rsid w:val="00646D85"/>
    <w:rsid w:val="00646E94"/>
    <w:rsid w:val="00647083"/>
    <w:rsid w:val="00647490"/>
    <w:rsid w:val="00647639"/>
    <w:rsid w:val="0064771D"/>
    <w:rsid w:val="00647729"/>
    <w:rsid w:val="006477DE"/>
    <w:rsid w:val="00647801"/>
    <w:rsid w:val="00647834"/>
    <w:rsid w:val="00647B4F"/>
    <w:rsid w:val="00647D38"/>
    <w:rsid w:val="0065012A"/>
    <w:rsid w:val="006502D9"/>
    <w:rsid w:val="00650416"/>
    <w:rsid w:val="006507A2"/>
    <w:rsid w:val="006508C2"/>
    <w:rsid w:val="0065095F"/>
    <w:rsid w:val="00650B79"/>
    <w:rsid w:val="00650C2E"/>
    <w:rsid w:val="00650EAF"/>
    <w:rsid w:val="0065121C"/>
    <w:rsid w:val="006512EF"/>
    <w:rsid w:val="006513AC"/>
    <w:rsid w:val="00651463"/>
    <w:rsid w:val="006517F1"/>
    <w:rsid w:val="006518C9"/>
    <w:rsid w:val="00651996"/>
    <w:rsid w:val="00651A67"/>
    <w:rsid w:val="00651CE8"/>
    <w:rsid w:val="006520F6"/>
    <w:rsid w:val="00652107"/>
    <w:rsid w:val="00652162"/>
    <w:rsid w:val="0065233F"/>
    <w:rsid w:val="006525BF"/>
    <w:rsid w:val="006525E1"/>
    <w:rsid w:val="006526BE"/>
    <w:rsid w:val="006526CB"/>
    <w:rsid w:val="006526FD"/>
    <w:rsid w:val="006527DE"/>
    <w:rsid w:val="00652B69"/>
    <w:rsid w:val="00652BB6"/>
    <w:rsid w:val="00652E54"/>
    <w:rsid w:val="00653427"/>
    <w:rsid w:val="00653736"/>
    <w:rsid w:val="006537CC"/>
    <w:rsid w:val="006538E5"/>
    <w:rsid w:val="00653C88"/>
    <w:rsid w:val="00654C45"/>
    <w:rsid w:val="0065532B"/>
    <w:rsid w:val="006556F8"/>
    <w:rsid w:val="00655709"/>
    <w:rsid w:val="00655793"/>
    <w:rsid w:val="006558DE"/>
    <w:rsid w:val="00656807"/>
    <w:rsid w:val="006569F0"/>
    <w:rsid w:val="00656A08"/>
    <w:rsid w:val="00656EE9"/>
    <w:rsid w:val="00656F7F"/>
    <w:rsid w:val="0065706E"/>
    <w:rsid w:val="006570D6"/>
    <w:rsid w:val="00657619"/>
    <w:rsid w:val="006577AE"/>
    <w:rsid w:val="00657883"/>
    <w:rsid w:val="00657B4F"/>
    <w:rsid w:val="00657D0D"/>
    <w:rsid w:val="00657E5E"/>
    <w:rsid w:val="006601D5"/>
    <w:rsid w:val="006601E2"/>
    <w:rsid w:val="00660232"/>
    <w:rsid w:val="00660453"/>
    <w:rsid w:val="00660511"/>
    <w:rsid w:val="006605A3"/>
    <w:rsid w:val="006605F6"/>
    <w:rsid w:val="00660BA2"/>
    <w:rsid w:val="006615C1"/>
    <w:rsid w:val="0066174C"/>
    <w:rsid w:val="00661848"/>
    <w:rsid w:val="00661BAE"/>
    <w:rsid w:val="00661D8D"/>
    <w:rsid w:val="0066202E"/>
    <w:rsid w:val="00662594"/>
    <w:rsid w:val="006626B7"/>
    <w:rsid w:val="006629A0"/>
    <w:rsid w:val="00662A70"/>
    <w:rsid w:val="00662F3A"/>
    <w:rsid w:val="00662FBD"/>
    <w:rsid w:val="0066303E"/>
    <w:rsid w:val="00663097"/>
    <w:rsid w:val="00663165"/>
    <w:rsid w:val="00663346"/>
    <w:rsid w:val="00663384"/>
    <w:rsid w:val="006633A9"/>
    <w:rsid w:val="006633EA"/>
    <w:rsid w:val="006635A6"/>
    <w:rsid w:val="006635D8"/>
    <w:rsid w:val="00663628"/>
    <w:rsid w:val="0066366D"/>
    <w:rsid w:val="00663913"/>
    <w:rsid w:val="00663A6D"/>
    <w:rsid w:val="00663B48"/>
    <w:rsid w:val="00663C35"/>
    <w:rsid w:val="00663F45"/>
    <w:rsid w:val="0066420E"/>
    <w:rsid w:val="00664446"/>
    <w:rsid w:val="00664644"/>
    <w:rsid w:val="00664970"/>
    <w:rsid w:val="0066498F"/>
    <w:rsid w:val="00664A64"/>
    <w:rsid w:val="00664BA5"/>
    <w:rsid w:val="00664C56"/>
    <w:rsid w:val="00664D5C"/>
    <w:rsid w:val="00664DD2"/>
    <w:rsid w:val="00664FCB"/>
    <w:rsid w:val="00665019"/>
    <w:rsid w:val="00665386"/>
    <w:rsid w:val="006654DA"/>
    <w:rsid w:val="00665631"/>
    <w:rsid w:val="00665766"/>
    <w:rsid w:val="00665A4F"/>
    <w:rsid w:val="00665A6F"/>
    <w:rsid w:val="00665AF9"/>
    <w:rsid w:val="00665B32"/>
    <w:rsid w:val="006660D0"/>
    <w:rsid w:val="00666426"/>
    <w:rsid w:val="00666903"/>
    <w:rsid w:val="00666A2F"/>
    <w:rsid w:val="00666AAA"/>
    <w:rsid w:val="00666B84"/>
    <w:rsid w:val="00666E48"/>
    <w:rsid w:val="00666F63"/>
    <w:rsid w:val="0066719A"/>
    <w:rsid w:val="00667389"/>
    <w:rsid w:val="00667505"/>
    <w:rsid w:val="00667594"/>
    <w:rsid w:val="00667C26"/>
    <w:rsid w:val="006700D4"/>
    <w:rsid w:val="006701D0"/>
    <w:rsid w:val="00670252"/>
    <w:rsid w:val="006704EA"/>
    <w:rsid w:val="006704F2"/>
    <w:rsid w:val="006705A8"/>
    <w:rsid w:val="0067077B"/>
    <w:rsid w:val="006708AB"/>
    <w:rsid w:val="00670931"/>
    <w:rsid w:val="00670EC1"/>
    <w:rsid w:val="00670F01"/>
    <w:rsid w:val="00670FC2"/>
    <w:rsid w:val="00671092"/>
    <w:rsid w:val="00671277"/>
    <w:rsid w:val="00671527"/>
    <w:rsid w:val="006716D8"/>
    <w:rsid w:val="006716E6"/>
    <w:rsid w:val="0067197C"/>
    <w:rsid w:val="006721A8"/>
    <w:rsid w:val="00672208"/>
    <w:rsid w:val="006723B2"/>
    <w:rsid w:val="006725D5"/>
    <w:rsid w:val="006725EC"/>
    <w:rsid w:val="0067268F"/>
    <w:rsid w:val="006727DF"/>
    <w:rsid w:val="00672937"/>
    <w:rsid w:val="00672E22"/>
    <w:rsid w:val="00672E5F"/>
    <w:rsid w:val="00672F88"/>
    <w:rsid w:val="006730E4"/>
    <w:rsid w:val="00673131"/>
    <w:rsid w:val="00673191"/>
    <w:rsid w:val="0067323C"/>
    <w:rsid w:val="00673527"/>
    <w:rsid w:val="006735C6"/>
    <w:rsid w:val="00673A4F"/>
    <w:rsid w:val="00673ADA"/>
    <w:rsid w:val="00673BB3"/>
    <w:rsid w:val="00673C28"/>
    <w:rsid w:val="00673DF8"/>
    <w:rsid w:val="00673F3B"/>
    <w:rsid w:val="0067407B"/>
    <w:rsid w:val="00674141"/>
    <w:rsid w:val="0067415B"/>
    <w:rsid w:val="00674193"/>
    <w:rsid w:val="0067423E"/>
    <w:rsid w:val="00674393"/>
    <w:rsid w:val="006744B6"/>
    <w:rsid w:val="0067460A"/>
    <w:rsid w:val="0067475C"/>
    <w:rsid w:val="00674764"/>
    <w:rsid w:val="00674785"/>
    <w:rsid w:val="00674860"/>
    <w:rsid w:val="006748DB"/>
    <w:rsid w:val="00674A4D"/>
    <w:rsid w:val="00674A8C"/>
    <w:rsid w:val="0067507F"/>
    <w:rsid w:val="00675231"/>
    <w:rsid w:val="00675276"/>
    <w:rsid w:val="006755B4"/>
    <w:rsid w:val="00675885"/>
    <w:rsid w:val="006758BD"/>
    <w:rsid w:val="00675990"/>
    <w:rsid w:val="00675AB1"/>
    <w:rsid w:val="00675AB6"/>
    <w:rsid w:val="00675CE9"/>
    <w:rsid w:val="00675D49"/>
    <w:rsid w:val="00676333"/>
    <w:rsid w:val="006765F0"/>
    <w:rsid w:val="0067663A"/>
    <w:rsid w:val="00676652"/>
    <w:rsid w:val="006767D9"/>
    <w:rsid w:val="00676879"/>
    <w:rsid w:val="0067687B"/>
    <w:rsid w:val="0067696D"/>
    <w:rsid w:val="0067699F"/>
    <w:rsid w:val="00676B8E"/>
    <w:rsid w:val="00676E1F"/>
    <w:rsid w:val="00676F1D"/>
    <w:rsid w:val="00676FE1"/>
    <w:rsid w:val="00677043"/>
    <w:rsid w:val="00677201"/>
    <w:rsid w:val="0067767C"/>
    <w:rsid w:val="006779C5"/>
    <w:rsid w:val="00677CF4"/>
    <w:rsid w:val="00677EA5"/>
    <w:rsid w:val="00680067"/>
    <w:rsid w:val="006800A1"/>
    <w:rsid w:val="006801DF"/>
    <w:rsid w:val="0068026D"/>
    <w:rsid w:val="0068043C"/>
    <w:rsid w:val="0068083C"/>
    <w:rsid w:val="00680B34"/>
    <w:rsid w:val="00680B3F"/>
    <w:rsid w:val="00680F29"/>
    <w:rsid w:val="00681670"/>
    <w:rsid w:val="0068176B"/>
    <w:rsid w:val="00681E41"/>
    <w:rsid w:val="006823CF"/>
    <w:rsid w:val="00682448"/>
    <w:rsid w:val="00682687"/>
    <w:rsid w:val="00682967"/>
    <w:rsid w:val="00682AC4"/>
    <w:rsid w:val="00682CA6"/>
    <w:rsid w:val="00682D5A"/>
    <w:rsid w:val="00682E59"/>
    <w:rsid w:val="006833BA"/>
    <w:rsid w:val="00683711"/>
    <w:rsid w:val="006837D6"/>
    <w:rsid w:val="00683906"/>
    <w:rsid w:val="0068392B"/>
    <w:rsid w:val="00683DD2"/>
    <w:rsid w:val="00684027"/>
    <w:rsid w:val="006840F7"/>
    <w:rsid w:val="00684181"/>
    <w:rsid w:val="006841B9"/>
    <w:rsid w:val="00684221"/>
    <w:rsid w:val="006843DC"/>
    <w:rsid w:val="00684549"/>
    <w:rsid w:val="006845CE"/>
    <w:rsid w:val="006846A1"/>
    <w:rsid w:val="0068484C"/>
    <w:rsid w:val="00684B9A"/>
    <w:rsid w:val="00684FD1"/>
    <w:rsid w:val="00685023"/>
    <w:rsid w:val="006850D1"/>
    <w:rsid w:val="0068517A"/>
    <w:rsid w:val="0068530E"/>
    <w:rsid w:val="006855A3"/>
    <w:rsid w:val="00685836"/>
    <w:rsid w:val="0068585A"/>
    <w:rsid w:val="00685866"/>
    <w:rsid w:val="00685954"/>
    <w:rsid w:val="00685955"/>
    <w:rsid w:val="006859F7"/>
    <w:rsid w:val="00685B15"/>
    <w:rsid w:val="00685CB2"/>
    <w:rsid w:val="00685F91"/>
    <w:rsid w:val="0068605C"/>
    <w:rsid w:val="00686223"/>
    <w:rsid w:val="006862B9"/>
    <w:rsid w:val="0068650C"/>
    <w:rsid w:val="00686615"/>
    <w:rsid w:val="006866F0"/>
    <w:rsid w:val="0068684B"/>
    <w:rsid w:val="00686A6F"/>
    <w:rsid w:val="00686AFF"/>
    <w:rsid w:val="00686C25"/>
    <w:rsid w:val="00686D4A"/>
    <w:rsid w:val="00686D7F"/>
    <w:rsid w:val="00686E61"/>
    <w:rsid w:val="00686ECE"/>
    <w:rsid w:val="006870F5"/>
    <w:rsid w:val="00687438"/>
    <w:rsid w:val="00687506"/>
    <w:rsid w:val="006879AE"/>
    <w:rsid w:val="006879B9"/>
    <w:rsid w:val="00687AB9"/>
    <w:rsid w:val="00687D2E"/>
    <w:rsid w:val="006906D7"/>
    <w:rsid w:val="00690DD3"/>
    <w:rsid w:val="00690EBF"/>
    <w:rsid w:val="00690F49"/>
    <w:rsid w:val="006912BD"/>
    <w:rsid w:val="006912F5"/>
    <w:rsid w:val="0069162A"/>
    <w:rsid w:val="006916AD"/>
    <w:rsid w:val="006916D6"/>
    <w:rsid w:val="00691BBB"/>
    <w:rsid w:val="00691D2A"/>
    <w:rsid w:val="00691DA8"/>
    <w:rsid w:val="00691E18"/>
    <w:rsid w:val="00692026"/>
    <w:rsid w:val="0069205F"/>
    <w:rsid w:val="0069208C"/>
    <w:rsid w:val="00692475"/>
    <w:rsid w:val="00692477"/>
    <w:rsid w:val="00692577"/>
    <w:rsid w:val="00692A98"/>
    <w:rsid w:val="00692FA1"/>
    <w:rsid w:val="0069307B"/>
    <w:rsid w:val="0069346B"/>
    <w:rsid w:val="0069359A"/>
    <w:rsid w:val="0069371E"/>
    <w:rsid w:val="0069386E"/>
    <w:rsid w:val="00693A0D"/>
    <w:rsid w:val="00693BCE"/>
    <w:rsid w:val="00693BF3"/>
    <w:rsid w:val="00693EB7"/>
    <w:rsid w:val="0069406F"/>
    <w:rsid w:val="00694149"/>
    <w:rsid w:val="0069423D"/>
    <w:rsid w:val="0069434F"/>
    <w:rsid w:val="0069440B"/>
    <w:rsid w:val="0069450A"/>
    <w:rsid w:val="00694698"/>
    <w:rsid w:val="0069490E"/>
    <w:rsid w:val="00694A8F"/>
    <w:rsid w:val="00694B95"/>
    <w:rsid w:val="00694FDF"/>
    <w:rsid w:val="00695132"/>
    <w:rsid w:val="00695A92"/>
    <w:rsid w:val="00695C41"/>
    <w:rsid w:val="00695D3C"/>
    <w:rsid w:val="00695F61"/>
    <w:rsid w:val="00696222"/>
    <w:rsid w:val="0069675B"/>
    <w:rsid w:val="0069687F"/>
    <w:rsid w:val="00696B23"/>
    <w:rsid w:val="00696B26"/>
    <w:rsid w:val="00696C09"/>
    <w:rsid w:val="006970C5"/>
    <w:rsid w:val="0069726A"/>
    <w:rsid w:val="0069738C"/>
    <w:rsid w:val="0069751E"/>
    <w:rsid w:val="006975C4"/>
    <w:rsid w:val="00697813"/>
    <w:rsid w:val="00697A3D"/>
    <w:rsid w:val="00697A65"/>
    <w:rsid w:val="00697B7B"/>
    <w:rsid w:val="00697CA8"/>
    <w:rsid w:val="00697F86"/>
    <w:rsid w:val="006A0105"/>
    <w:rsid w:val="006A036B"/>
    <w:rsid w:val="006A08D7"/>
    <w:rsid w:val="006A0950"/>
    <w:rsid w:val="006A09F0"/>
    <w:rsid w:val="006A0A80"/>
    <w:rsid w:val="006A0B77"/>
    <w:rsid w:val="006A136E"/>
    <w:rsid w:val="006A1951"/>
    <w:rsid w:val="006A1A6C"/>
    <w:rsid w:val="006A1A7F"/>
    <w:rsid w:val="006A1BE0"/>
    <w:rsid w:val="006A1C3E"/>
    <w:rsid w:val="006A1E6F"/>
    <w:rsid w:val="006A21FE"/>
    <w:rsid w:val="006A2839"/>
    <w:rsid w:val="006A28AC"/>
    <w:rsid w:val="006A2CF0"/>
    <w:rsid w:val="006A2D64"/>
    <w:rsid w:val="006A3054"/>
    <w:rsid w:val="006A34B7"/>
    <w:rsid w:val="006A35C2"/>
    <w:rsid w:val="006A378D"/>
    <w:rsid w:val="006A3A0C"/>
    <w:rsid w:val="006A41A7"/>
    <w:rsid w:val="006A41B9"/>
    <w:rsid w:val="006A43AB"/>
    <w:rsid w:val="006A44C0"/>
    <w:rsid w:val="006A450A"/>
    <w:rsid w:val="006A45F1"/>
    <w:rsid w:val="006A46E4"/>
    <w:rsid w:val="006A4DDA"/>
    <w:rsid w:val="006A4F25"/>
    <w:rsid w:val="006A4F7B"/>
    <w:rsid w:val="006A4FD0"/>
    <w:rsid w:val="006A536E"/>
    <w:rsid w:val="006A5409"/>
    <w:rsid w:val="006A56A6"/>
    <w:rsid w:val="006A596A"/>
    <w:rsid w:val="006A5A45"/>
    <w:rsid w:val="006A5BAB"/>
    <w:rsid w:val="006A5D26"/>
    <w:rsid w:val="006A5FAA"/>
    <w:rsid w:val="006A60C0"/>
    <w:rsid w:val="006A622E"/>
    <w:rsid w:val="006A6287"/>
    <w:rsid w:val="006A6353"/>
    <w:rsid w:val="006A647C"/>
    <w:rsid w:val="006A667F"/>
    <w:rsid w:val="006A6858"/>
    <w:rsid w:val="006A6F3E"/>
    <w:rsid w:val="006A6F65"/>
    <w:rsid w:val="006A6FAF"/>
    <w:rsid w:val="006A7131"/>
    <w:rsid w:val="006A71CA"/>
    <w:rsid w:val="006A71E9"/>
    <w:rsid w:val="006A7350"/>
    <w:rsid w:val="006A763B"/>
    <w:rsid w:val="006A76A4"/>
    <w:rsid w:val="006A7EF5"/>
    <w:rsid w:val="006B011F"/>
    <w:rsid w:val="006B020B"/>
    <w:rsid w:val="006B043C"/>
    <w:rsid w:val="006B06A2"/>
    <w:rsid w:val="006B0763"/>
    <w:rsid w:val="006B086E"/>
    <w:rsid w:val="006B092B"/>
    <w:rsid w:val="006B0B59"/>
    <w:rsid w:val="006B0C53"/>
    <w:rsid w:val="006B1059"/>
    <w:rsid w:val="006B1106"/>
    <w:rsid w:val="006B11B2"/>
    <w:rsid w:val="006B139E"/>
    <w:rsid w:val="006B1E43"/>
    <w:rsid w:val="006B1F49"/>
    <w:rsid w:val="006B24A5"/>
    <w:rsid w:val="006B24DA"/>
    <w:rsid w:val="006B24E8"/>
    <w:rsid w:val="006B2591"/>
    <w:rsid w:val="006B25F1"/>
    <w:rsid w:val="006B27BB"/>
    <w:rsid w:val="006B2882"/>
    <w:rsid w:val="006B2895"/>
    <w:rsid w:val="006B28C5"/>
    <w:rsid w:val="006B2924"/>
    <w:rsid w:val="006B2D2C"/>
    <w:rsid w:val="006B2D39"/>
    <w:rsid w:val="006B3218"/>
    <w:rsid w:val="006B334D"/>
    <w:rsid w:val="006B3508"/>
    <w:rsid w:val="006B3FA3"/>
    <w:rsid w:val="006B40E2"/>
    <w:rsid w:val="006B4744"/>
    <w:rsid w:val="006B4B8D"/>
    <w:rsid w:val="006B4C0D"/>
    <w:rsid w:val="006B4D56"/>
    <w:rsid w:val="006B50EB"/>
    <w:rsid w:val="006B510B"/>
    <w:rsid w:val="006B52D6"/>
    <w:rsid w:val="006B545B"/>
    <w:rsid w:val="006B5524"/>
    <w:rsid w:val="006B591E"/>
    <w:rsid w:val="006B5B0C"/>
    <w:rsid w:val="006B5D05"/>
    <w:rsid w:val="006B5D4F"/>
    <w:rsid w:val="006B5E39"/>
    <w:rsid w:val="006B633D"/>
    <w:rsid w:val="006B657B"/>
    <w:rsid w:val="006B65B3"/>
    <w:rsid w:val="006B65C6"/>
    <w:rsid w:val="006B662F"/>
    <w:rsid w:val="006B6840"/>
    <w:rsid w:val="006B6E11"/>
    <w:rsid w:val="006B718E"/>
    <w:rsid w:val="006B77B4"/>
    <w:rsid w:val="006B78F7"/>
    <w:rsid w:val="006C012E"/>
    <w:rsid w:val="006C01B8"/>
    <w:rsid w:val="006C023D"/>
    <w:rsid w:val="006C0306"/>
    <w:rsid w:val="006C03F1"/>
    <w:rsid w:val="006C0BE5"/>
    <w:rsid w:val="006C0EE4"/>
    <w:rsid w:val="006C12FD"/>
    <w:rsid w:val="006C155C"/>
    <w:rsid w:val="006C16CA"/>
    <w:rsid w:val="006C17AC"/>
    <w:rsid w:val="006C18AA"/>
    <w:rsid w:val="006C1955"/>
    <w:rsid w:val="006C1A76"/>
    <w:rsid w:val="006C1E79"/>
    <w:rsid w:val="006C2243"/>
    <w:rsid w:val="006C2926"/>
    <w:rsid w:val="006C29A6"/>
    <w:rsid w:val="006C2A39"/>
    <w:rsid w:val="006C2A4A"/>
    <w:rsid w:val="006C2A9C"/>
    <w:rsid w:val="006C2CE9"/>
    <w:rsid w:val="006C32E8"/>
    <w:rsid w:val="006C333F"/>
    <w:rsid w:val="006C3715"/>
    <w:rsid w:val="006C383D"/>
    <w:rsid w:val="006C39C9"/>
    <w:rsid w:val="006C3B9C"/>
    <w:rsid w:val="006C3C8F"/>
    <w:rsid w:val="006C3D19"/>
    <w:rsid w:val="006C3E4E"/>
    <w:rsid w:val="006C47A3"/>
    <w:rsid w:val="006C4887"/>
    <w:rsid w:val="006C4B09"/>
    <w:rsid w:val="006C4B18"/>
    <w:rsid w:val="006C4BB7"/>
    <w:rsid w:val="006C4C66"/>
    <w:rsid w:val="006C5069"/>
    <w:rsid w:val="006C51D5"/>
    <w:rsid w:val="006C5266"/>
    <w:rsid w:val="006C538E"/>
    <w:rsid w:val="006C5994"/>
    <w:rsid w:val="006C5E6D"/>
    <w:rsid w:val="006C5F85"/>
    <w:rsid w:val="006C6185"/>
    <w:rsid w:val="006C6332"/>
    <w:rsid w:val="006C6501"/>
    <w:rsid w:val="006C6833"/>
    <w:rsid w:val="006C6DF6"/>
    <w:rsid w:val="006C6E6C"/>
    <w:rsid w:val="006C6EC0"/>
    <w:rsid w:val="006C6F38"/>
    <w:rsid w:val="006C6FDD"/>
    <w:rsid w:val="006C73C7"/>
    <w:rsid w:val="006C7601"/>
    <w:rsid w:val="006C769C"/>
    <w:rsid w:val="006C791D"/>
    <w:rsid w:val="006C7B7D"/>
    <w:rsid w:val="006D0077"/>
    <w:rsid w:val="006D00A4"/>
    <w:rsid w:val="006D044A"/>
    <w:rsid w:val="006D0888"/>
    <w:rsid w:val="006D0929"/>
    <w:rsid w:val="006D098C"/>
    <w:rsid w:val="006D0AA7"/>
    <w:rsid w:val="006D0C02"/>
    <w:rsid w:val="006D0E50"/>
    <w:rsid w:val="006D0F9D"/>
    <w:rsid w:val="006D1132"/>
    <w:rsid w:val="006D1157"/>
    <w:rsid w:val="006D11E9"/>
    <w:rsid w:val="006D12DC"/>
    <w:rsid w:val="006D13C6"/>
    <w:rsid w:val="006D1846"/>
    <w:rsid w:val="006D1A75"/>
    <w:rsid w:val="006D1CFF"/>
    <w:rsid w:val="006D2040"/>
    <w:rsid w:val="006D2134"/>
    <w:rsid w:val="006D22F0"/>
    <w:rsid w:val="006D262C"/>
    <w:rsid w:val="006D27F8"/>
    <w:rsid w:val="006D2915"/>
    <w:rsid w:val="006D2D4F"/>
    <w:rsid w:val="006D2DDB"/>
    <w:rsid w:val="006D2F17"/>
    <w:rsid w:val="006D355B"/>
    <w:rsid w:val="006D3722"/>
    <w:rsid w:val="006D3749"/>
    <w:rsid w:val="006D37D0"/>
    <w:rsid w:val="006D38B5"/>
    <w:rsid w:val="006D3928"/>
    <w:rsid w:val="006D39C6"/>
    <w:rsid w:val="006D3A93"/>
    <w:rsid w:val="006D3C0C"/>
    <w:rsid w:val="006D3D02"/>
    <w:rsid w:val="006D3EE8"/>
    <w:rsid w:val="006D3F2E"/>
    <w:rsid w:val="006D40FB"/>
    <w:rsid w:val="006D4191"/>
    <w:rsid w:val="006D41ED"/>
    <w:rsid w:val="006D428B"/>
    <w:rsid w:val="006D43A6"/>
    <w:rsid w:val="006D4466"/>
    <w:rsid w:val="006D4687"/>
    <w:rsid w:val="006D4694"/>
    <w:rsid w:val="006D46DD"/>
    <w:rsid w:val="006D47F6"/>
    <w:rsid w:val="006D4B89"/>
    <w:rsid w:val="006D4B8B"/>
    <w:rsid w:val="006D4C17"/>
    <w:rsid w:val="006D4F8D"/>
    <w:rsid w:val="006D55DC"/>
    <w:rsid w:val="006D5CBB"/>
    <w:rsid w:val="006D5D77"/>
    <w:rsid w:val="006D5FFE"/>
    <w:rsid w:val="006D6059"/>
    <w:rsid w:val="006D6296"/>
    <w:rsid w:val="006D62AC"/>
    <w:rsid w:val="006D633D"/>
    <w:rsid w:val="006D69F0"/>
    <w:rsid w:val="006D69F2"/>
    <w:rsid w:val="006D6A25"/>
    <w:rsid w:val="006D6A5F"/>
    <w:rsid w:val="006D6BC8"/>
    <w:rsid w:val="006D6C23"/>
    <w:rsid w:val="006D6C3B"/>
    <w:rsid w:val="006D6FC9"/>
    <w:rsid w:val="006D70B7"/>
    <w:rsid w:val="006D71ED"/>
    <w:rsid w:val="006D72B3"/>
    <w:rsid w:val="006D733A"/>
    <w:rsid w:val="006D74DE"/>
    <w:rsid w:val="006D7648"/>
    <w:rsid w:val="006D7AF1"/>
    <w:rsid w:val="006D7B27"/>
    <w:rsid w:val="006D7DAF"/>
    <w:rsid w:val="006D7F1D"/>
    <w:rsid w:val="006E0192"/>
    <w:rsid w:val="006E0228"/>
    <w:rsid w:val="006E02DC"/>
    <w:rsid w:val="006E0351"/>
    <w:rsid w:val="006E04CC"/>
    <w:rsid w:val="006E04CE"/>
    <w:rsid w:val="006E05A1"/>
    <w:rsid w:val="006E0C03"/>
    <w:rsid w:val="006E0FAC"/>
    <w:rsid w:val="006E1017"/>
    <w:rsid w:val="006E12C6"/>
    <w:rsid w:val="006E15C3"/>
    <w:rsid w:val="006E15EE"/>
    <w:rsid w:val="006E16ED"/>
    <w:rsid w:val="006E1874"/>
    <w:rsid w:val="006E1E20"/>
    <w:rsid w:val="006E204C"/>
    <w:rsid w:val="006E20E1"/>
    <w:rsid w:val="006E214B"/>
    <w:rsid w:val="006E251A"/>
    <w:rsid w:val="006E277D"/>
    <w:rsid w:val="006E2849"/>
    <w:rsid w:val="006E29A6"/>
    <w:rsid w:val="006E2B89"/>
    <w:rsid w:val="006E2C8A"/>
    <w:rsid w:val="006E310C"/>
    <w:rsid w:val="006E3122"/>
    <w:rsid w:val="006E3865"/>
    <w:rsid w:val="006E39F9"/>
    <w:rsid w:val="006E3BAE"/>
    <w:rsid w:val="006E4049"/>
    <w:rsid w:val="006E40C9"/>
    <w:rsid w:val="006E4BA7"/>
    <w:rsid w:val="006E4F51"/>
    <w:rsid w:val="006E502A"/>
    <w:rsid w:val="006E5113"/>
    <w:rsid w:val="006E5675"/>
    <w:rsid w:val="006E579E"/>
    <w:rsid w:val="006E58BA"/>
    <w:rsid w:val="006E5A94"/>
    <w:rsid w:val="006E5DA9"/>
    <w:rsid w:val="006E5E2B"/>
    <w:rsid w:val="006E5F2C"/>
    <w:rsid w:val="006E6045"/>
    <w:rsid w:val="006E618A"/>
    <w:rsid w:val="006E6422"/>
    <w:rsid w:val="006E644B"/>
    <w:rsid w:val="006E67C6"/>
    <w:rsid w:val="006E6864"/>
    <w:rsid w:val="006E69EF"/>
    <w:rsid w:val="006E6F3B"/>
    <w:rsid w:val="006E6F8C"/>
    <w:rsid w:val="006E6FA1"/>
    <w:rsid w:val="006E7109"/>
    <w:rsid w:val="006E73E6"/>
    <w:rsid w:val="006E75A2"/>
    <w:rsid w:val="006E7664"/>
    <w:rsid w:val="006E7A2F"/>
    <w:rsid w:val="006E7AA2"/>
    <w:rsid w:val="006E7C97"/>
    <w:rsid w:val="006F0081"/>
    <w:rsid w:val="006F0095"/>
    <w:rsid w:val="006F01D1"/>
    <w:rsid w:val="006F0394"/>
    <w:rsid w:val="006F0D60"/>
    <w:rsid w:val="006F156D"/>
    <w:rsid w:val="006F17F5"/>
    <w:rsid w:val="006F1B52"/>
    <w:rsid w:val="006F1BB3"/>
    <w:rsid w:val="006F1D86"/>
    <w:rsid w:val="006F1F1D"/>
    <w:rsid w:val="006F2063"/>
    <w:rsid w:val="006F2136"/>
    <w:rsid w:val="006F2232"/>
    <w:rsid w:val="006F2B97"/>
    <w:rsid w:val="006F2C7F"/>
    <w:rsid w:val="006F2D4F"/>
    <w:rsid w:val="006F2DD0"/>
    <w:rsid w:val="006F2F12"/>
    <w:rsid w:val="006F3072"/>
    <w:rsid w:val="006F3079"/>
    <w:rsid w:val="006F30FD"/>
    <w:rsid w:val="006F316B"/>
    <w:rsid w:val="006F322E"/>
    <w:rsid w:val="006F327C"/>
    <w:rsid w:val="006F3501"/>
    <w:rsid w:val="006F3778"/>
    <w:rsid w:val="006F37A4"/>
    <w:rsid w:val="006F37C9"/>
    <w:rsid w:val="006F3A03"/>
    <w:rsid w:val="006F3A2B"/>
    <w:rsid w:val="006F3DB3"/>
    <w:rsid w:val="006F421C"/>
    <w:rsid w:val="006F424F"/>
    <w:rsid w:val="006F43E8"/>
    <w:rsid w:val="006F45EF"/>
    <w:rsid w:val="006F4741"/>
    <w:rsid w:val="006F4E89"/>
    <w:rsid w:val="006F50DD"/>
    <w:rsid w:val="006F51B7"/>
    <w:rsid w:val="006F5246"/>
    <w:rsid w:val="006F5683"/>
    <w:rsid w:val="006F5703"/>
    <w:rsid w:val="006F592E"/>
    <w:rsid w:val="006F5A1C"/>
    <w:rsid w:val="006F5A2F"/>
    <w:rsid w:val="006F63ED"/>
    <w:rsid w:val="006F6441"/>
    <w:rsid w:val="006F6793"/>
    <w:rsid w:val="006F689F"/>
    <w:rsid w:val="006F6AE5"/>
    <w:rsid w:val="006F7098"/>
    <w:rsid w:val="006F71FA"/>
    <w:rsid w:val="006F721B"/>
    <w:rsid w:val="006F75D7"/>
    <w:rsid w:val="006F79C7"/>
    <w:rsid w:val="006F7C66"/>
    <w:rsid w:val="006F7D84"/>
    <w:rsid w:val="006F7E65"/>
    <w:rsid w:val="006F7EAB"/>
    <w:rsid w:val="00700509"/>
    <w:rsid w:val="007006D0"/>
    <w:rsid w:val="00700A19"/>
    <w:rsid w:val="00700B7C"/>
    <w:rsid w:val="00700C86"/>
    <w:rsid w:val="00700CDD"/>
    <w:rsid w:val="00700E74"/>
    <w:rsid w:val="007010B9"/>
    <w:rsid w:val="0070115B"/>
    <w:rsid w:val="0070118A"/>
    <w:rsid w:val="00701236"/>
    <w:rsid w:val="007014D9"/>
    <w:rsid w:val="007018C2"/>
    <w:rsid w:val="007018F8"/>
    <w:rsid w:val="00701A8B"/>
    <w:rsid w:val="00701D30"/>
    <w:rsid w:val="00701D92"/>
    <w:rsid w:val="00701E49"/>
    <w:rsid w:val="00701F58"/>
    <w:rsid w:val="00701F9F"/>
    <w:rsid w:val="00702114"/>
    <w:rsid w:val="0070213F"/>
    <w:rsid w:val="00702171"/>
    <w:rsid w:val="007021B0"/>
    <w:rsid w:val="007022A9"/>
    <w:rsid w:val="007024C9"/>
    <w:rsid w:val="0070254E"/>
    <w:rsid w:val="0070257C"/>
    <w:rsid w:val="00702622"/>
    <w:rsid w:val="00702899"/>
    <w:rsid w:val="00702D95"/>
    <w:rsid w:val="0070331B"/>
    <w:rsid w:val="00703824"/>
    <w:rsid w:val="0070382C"/>
    <w:rsid w:val="00703940"/>
    <w:rsid w:val="00703A78"/>
    <w:rsid w:val="00704240"/>
    <w:rsid w:val="007042A5"/>
    <w:rsid w:val="0070446D"/>
    <w:rsid w:val="007047B1"/>
    <w:rsid w:val="007047C0"/>
    <w:rsid w:val="007047C2"/>
    <w:rsid w:val="0070495A"/>
    <w:rsid w:val="00704A9E"/>
    <w:rsid w:val="00704AAF"/>
    <w:rsid w:val="00704AE6"/>
    <w:rsid w:val="00704B5C"/>
    <w:rsid w:val="00704D7B"/>
    <w:rsid w:val="00704DB0"/>
    <w:rsid w:val="00704EF3"/>
    <w:rsid w:val="00704FE4"/>
    <w:rsid w:val="00705360"/>
    <w:rsid w:val="0070536B"/>
    <w:rsid w:val="0070547E"/>
    <w:rsid w:val="0070554E"/>
    <w:rsid w:val="007057AE"/>
    <w:rsid w:val="00705897"/>
    <w:rsid w:val="00705B0D"/>
    <w:rsid w:val="00705EAD"/>
    <w:rsid w:val="00705ED1"/>
    <w:rsid w:val="007064B5"/>
    <w:rsid w:val="00706B03"/>
    <w:rsid w:val="00706C06"/>
    <w:rsid w:val="00706FEC"/>
    <w:rsid w:val="007070FF"/>
    <w:rsid w:val="0070781D"/>
    <w:rsid w:val="007078C9"/>
    <w:rsid w:val="00707AA3"/>
    <w:rsid w:val="0071000C"/>
    <w:rsid w:val="00710300"/>
    <w:rsid w:val="007103AC"/>
    <w:rsid w:val="00710593"/>
    <w:rsid w:val="007109B4"/>
    <w:rsid w:val="00710A69"/>
    <w:rsid w:val="00710DF3"/>
    <w:rsid w:val="0071105D"/>
    <w:rsid w:val="00711326"/>
    <w:rsid w:val="00711368"/>
    <w:rsid w:val="007116FD"/>
    <w:rsid w:val="007118B8"/>
    <w:rsid w:val="007119C9"/>
    <w:rsid w:val="007119E6"/>
    <w:rsid w:val="00711AAB"/>
    <w:rsid w:val="00711F0E"/>
    <w:rsid w:val="00711F35"/>
    <w:rsid w:val="00711FDD"/>
    <w:rsid w:val="007121A3"/>
    <w:rsid w:val="00712204"/>
    <w:rsid w:val="00712208"/>
    <w:rsid w:val="007126B7"/>
    <w:rsid w:val="007129D1"/>
    <w:rsid w:val="00712B8E"/>
    <w:rsid w:val="00712C58"/>
    <w:rsid w:val="00712D5D"/>
    <w:rsid w:val="00712F06"/>
    <w:rsid w:val="00713016"/>
    <w:rsid w:val="00713081"/>
    <w:rsid w:val="007136D1"/>
    <w:rsid w:val="00713742"/>
    <w:rsid w:val="00713C43"/>
    <w:rsid w:val="00713E68"/>
    <w:rsid w:val="00713ED6"/>
    <w:rsid w:val="00713FA1"/>
    <w:rsid w:val="00714016"/>
    <w:rsid w:val="0071486A"/>
    <w:rsid w:val="00714A3B"/>
    <w:rsid w:val="00714CFE"/>
    <w:rsid w:val="00714DC3"/>
    <w:rsid w:val="00714DF9"/>
    <w:rsid w:val="00714FB6"/>
    <w:rsid w:val="00715026"/>
    <w:rsid w:val="007150A6"/>
    <w:rsid w:val="007150EB"/>
    <w:rsid w:val="00715317"/>
    <w:rsid w:val="00715336"/>
    <w:rsid w:val="007156A1"/>
    <w:rsid w:val="00715872"/>
    <w:rsid w:val="00715AF4"/>
    <w:rsid w:val="00715BD1"/>
    <w:rsid w:val="00715CA2"/>
    <w:rsid w:val="00715D3C"/>
    <w:rsid w:val="00715F1A"/>
    <w:rsid w:val="007161B9"/>
    <w:rsid w:val="007161D1"/>
    <w:rsid w:val="0071633E"/>
    <w:rsid w:val="00716695"/>
    <w:rsid w:val="007166D4"/>
    <w:rsid w:val="00716AB0"/>
    <w:rsid w:val="00716D04"/>
    <w:rsid w:val="00716E67"/>
    <w:rsid w:val="00717185"/>
    <w:rsid w:val="0071723D"/>
    <w:rsid w:val="007175A0"/>
    <w:rsid w:val="007175FD"/>
    <w:rsid w:val="007177DE"/>
    <w:rsid w:val="00717A40"/>
    <w:rsid w:val="00717A92"/>
    <w:rsid w:val="00717D08"/>
    <w:rsid w:val="00717FAE"/>
    <w:rsid w:val="00720007"/>
    <w:rsid w:val="00720074"/>
    <w:rsid w:val="007200B6"/>
    <w:rsid w:val="0072031F"/>
    <w:rsid w:val="00720524"/>
    <w:rsid w:val="007205CA"/>
    <w:rsid w:val="007205DC"/>
    <w:rsid w:val="00720A49"/>
    <w:rsid w:val="00720D11"/>
    <w:rsid w:val="00721129"/>
    <w:rsid w:val="00721380"/>
    <w:rsid w:val="00721487"/>
    <w:rsid w:val="007216AD"/>
    <w:rsid w:val="00721787"/>
    <w:rsid w:val="007217D9"/>
    <w:rsid w:val="00721C24"/>
    <w:rsid w:val="00721F78"/>
    <w:rsid w:val="0072237C"/>
    <w:rsid w:val="00722412"/>
    <w:rsid w:val="007227A7"/>
    <w:rsid w:val="007228E5"/>
    <w:rsid w:val="00722B56"/>
    <w:rsid w:val="00722BA5"/>
    <w:rsid w:val="00722D7A"/>
    <w:rsid w:val="00723154"/>
    <w:rsid w:val="007234B6"/>
    <w:rsid w:val="007234E7"/>
    <w:rsid w:val="00723525"/>
    <w:rsid w:val="007236F1"/>
    <w:rsid w:val="00723ADC"/>
    <w:rsid w:val="00723B86"/>
    <w:rsid w:val="00723E68"/>
    <w:rsid w:val="007242BD"/>
    <w:rsid w:val="0072444A"/>
    <w:rsid w:val="007244DC"/>
    <w:rsid w:val="00724560"/>
    <w:rsid w:val="00724586"/>
    <w:rsid w:val="0072468E"/>
    <w:rsid w:val="00724691"/>
    <w:rsid w:val="00724907"/>
    <w:rsid w:val="00724A2E"/>
    <w:rsid w:val="00724A5C"/>
    <w:rsid w:val="00724AD5"/>
    <w:rsid w:val="00724D8F"/>
    <w:rsid w:val="00724E6E"/>
    <w:rsid w:val="00724EE9"/>
    <w:rsid w:val="00725023"/>
    <w:rsid w:val="0072503E"/>
    <w:rsid w:val="007250A9"/>
    <w:rsid w:val="007265D5"/>
    <w:rsid w:val="00726738"/>
    <w:rsid w:val="007267AA"/>
    <w:rsid w:val="00726A28"/>
    <w:rsid w:val="00726A6D"/>
    <w:rsid w:val="00726D64"/>
    <w:rsid w:val="00726EBD"/>
    <w:rsid w:val="00727352"/>
    <w:rsid w:val="00727865"/>
    <w:rsid w:val="00727A9B"/>
    <w:rsid w:val="007301E0"/>
    <w:rsid w:val="00730353"/>
    <w:rsid w:val="00730487"/>
    <w:rsid w:val="00730558"/>
    <w:rsid w:val="00730616"/>
    <w:rsid w:val="0073074F"/>
    <w:rsid w:val="00730774"/>
    <w:rsid w:val="00730861"/>
    <w:rsid w:val="007308EA"/>
    <w:rsid w:val="00730C94"/>
    <w:rsid w:val="00730EDA"/>
    <w:rsid w:val="0073104F"/>
    <w:rsid w:val="00731053"/>
    <w:rsid w:val="007310F1"/>
    <w:rsid w:val="007312AA"/>
    <w:rsid w:val="00731426"/>
    <w:rsid w:val="007314CA"/>
    <w:rsid w:val="00731840"/>
    <w:rsid w:val="00731960"/>
    <w:rsid w:val="00731C63"/>
    <w:rsid w:val="00732049"/>
    <w:rsid w:val="00732897"/>
    <w:rsid w:val="00732B2E"/>
    <w:rsid w:val="00732DA0"/>
    <w:rsid w:val="00733201"/>
    <w:rsid w:val="00733A8B"/>
    <w:rsid w:val="00733B00"/>
    <w:rsid w:val="00733CE6"/>
    <w:rsid w:val="00733F2E"/>
    <w:rsid w:val="0073411A"/>
    <w:rsid w:val="00734304"/>
    <w:rsid w:val="00734511"/>
    <w:rsid w:val="007349B9"/>
    <w:rsid w:val="00734BC1"/>
    <w:rsid w:val="00734DCE"/>
    <w:rsid w:val="00734F1B"/>
    <w:rsid w:val="00734F21"/>
    <w:rsid w:val="007350B8"/>
    <w:rsid w:val="0073537C"/>
    <w:rsid w:val="00735464"/>
    <w:rsid w:val="0073550F"/>
    <w:rsid w:val="007357BB"/>
    <w:rsid w:val="00735C88"/>
    <w:rsid w:val="00735D9B"/>
    <w:rsid w:val="00735DBE"/>
    <w:rsid w:val="00735EDB"/>
    <w:rsid w:val="00736042"/>
    <w:rsid w:val="00736426"/>
    <w:rsid w:val="00736496"/>
    <w:rsid w:val="0073652C"/>
    <w:rsid w:val="00736671"/>
    <w:rsid w:val="007368F2"/>
    <w:rsid w:val="00736B7A"/>
    <w:rsid w:val="00736CC9"/>
    <w:rsid w:val="00736D1B"/>
    <w:rsid w:val="00736DB1"/>
    <w:rsid w:val="00736DD2"/>
    <w:rsid w:val="00737670"/>
    <w:rsid w:val="007377C9"/>
    <w:rsid w:val="0073782F"/>
    <w:rsid w:val="0073787B"/>
    <w:rsid w:val="00737C8D"/>
    <w:rsid w:val="00737D6D"/>
    <w:rsid w:val="00740303"/>
    <w:rsid w:val="0074038F"/>
    <w:rsid w:val="00740795"/>
    <w:rsid w:val="00740BA4"/>
    <w:rsid w:val="00740C88"/>
    <w:rsid w:val="00741683"/>
    <w:rsid w:val="00741776"/>
    <w:rsid w:val="00741C1E"/>
    <w:rsid w:val="00741CAC"/>
    <w:rsid w:val="00741CD0"/>
    <w:rsid w:val="00741DC6"/>
    <w:rsid w:val="00741E03"/>
    <w:rsid w:val="00741EBB"/>
    <w:rsid w:val="00741FE1"/>
    <w:rsid w:val="00742138"/>
    <w:rsid w:val="00742402"/>
    <w:rsid w:val="007426B4"/>
    <w:rsid w:val="00742741"/>
    <w:rsid w:val="007429C2"/>
    <w:rsid w:val="007429D6"/>
    <w:rsid w:val="00742D72"/>
    <w:rsid w:val="00743116"/>
    <w:rsid w:val="00743272"/>
    <w:rsid w:val="0074327E"/>
    <w:rsid w:val="007435F9"/>
    <w:rsid w:val="00743680"/>
    <w:rsid w:val="007439BD"/>
    <w:rsid w:val="00743A5A"/>
    <w:rsid w:val="00743AAB"/>
    <w:rsid w:val="00743C06"/>
    <w:rsid w:val="00743C8D"/>
    <w:rsid w:val="00743FF6"/>
    <w:rsid w:val="007446C4"/>
    <w:rsid w:val="007447E2"/>
    <w:rsid w:val="00744859"/>
    <w:rsid w:val="00744B30"/>
    <w:rsid w:val="00744CDB"/>
    <w:rsid w:val="00744D56"/>
    <w:rsid w:val="00744DFB"/>
    <w:rsid w:val="00744E09"/>
    <w:rsid w:val="00745532"/>
    <w:rsid w:val="00745560"/>
    <w:rsid w:val="00745836"/>
    <w:rsid w:val="00745D64"/>
    <w:rsid w:val="00745E9A"/>
    <w:rsid w:val="00745E9E"/>
    <w:rsid w:val="00745F0E"/>
    <w:rsid w:val="00745FE9"/>
    <w:rsid w:val="0074613F"/>
    <w:rsid w:val="007462B0"/>
    <w:rsid w:val="007467E4"/>
    <w:rsid w:val="00746A79"/>
    <w:rsid w:val="00746E30"/>
    <w:rsid w:val="00746E90"/>
    <w:rsid w:val="00746E9E"/>
    <w:rsid w:val="007470CA"/>
    <w:rsid w:val="007471C0"/>
    <w:rsid w:val="00747A5E"/>
    <w:rsid w:val="00747A75"/>
    <w:rsid w:val="00747B48"/>
    <w:rsid w:val="00747BF0"/>
    <w:rsid w:val="00747D03"/>
    <w:rsid w:val="007504B7"/>
    <w:rsid w:val="007505F1"/>
    <w:rsid w:val="007507D7"/>
    <w:rsid w:val="0075088D"/>
    <w:rsid w:val="00750936"/>
    <w:rsid w:val="00750BD4"/>
    <w:rsid w:val="00750D17"/>
    <w:rsid w:val="00750D3B"/>
    <w:rsid w:val="0075110F"/>
    <w:rsid w:val="007516BC"/>
    <w:rsid w:val="00751755"/>
    <w:rsid w:val="0075177C"/>
    <w:rsid w:val="00751963"/>
    <w:rsid w:val="00751AA9"/>
    <w:rsid w:val="00751D4B"/>
    <w:rsid w:val="007520DD"/>
    <w:rsid w:val="00752126"/>
    <w:rsid w:val="00752245"/>
    <w:rsid w:val="0075226A"/>
    <w:rsid w:val="00752323"/>
    <w:rsid w:val="0075246C"/>
    <w:rsid w:val="00752640"/>
    <w:rsid w:val="00752941"/>
    <w:rsid w:val="0075325C"/>
    <w:rsid w:val="007537C2"/>
    <w:rsid w:val="00753803"/>
    <w:rsid w:val="00753DCB"/>
    <w:rsid w:val="00753E79"/>
    <w:rsid w:val="00753FAC"/>
    <w:rsid w:val="0075444F"/>
    <w:rsid w:val="007545AC"/>
    <w:rsid w:val="00754651"/>
    <w:rsid w:val="00754709"/>
    <w:rsid w:val="00754A59"/>
    <w:rsid w:val="00754D30"/>
    <w:rsid w:val="007552CF"/>
    <w:rsid w:val="00755507"/>
    <w:rsid w:val="007559CE"/>
    <w:rsid w:val="00755B60"/>
    <w:rsid w:val="00755DAE"/>
    <w:rsid w:val="00755E66"/>
    <w:rsid w:val="00756084"/>
    <w:rsid w:val="0075626C"/>
    <w:rsid w:val="00756380"/>
    <w:rsid w:val="007565A2"/>
    <w:rsid w:val="00756A61"/>
    <w:rsid w:val="00756AC8"/>
    <w:rsid w:val="00756B7E"/>
    <w:rsid w:val="00756DE4"/>
    <w:rsid w:val="00756F6A"/>
    <w:rsid w:val="007571A3"/>
    <w:rsid w:val="007604D6"/>
    <w:rsid w:val="007605A5"/>
    <w:rsid w:val="00760915"/>
    <w:rsid w:val="00760D7F"/>
    <w:rsid w:val="00760F24"/>
    <w:rsid w:val="007610C0"/>
    <w:rsid w:val="00761ABE"/>
    <w:rsid w:val="00761B19"/>
    <w:rsid w:val="00761CA7"/>
    <w:rsid w:val="00761DED"/>
    <w:rsid w:val="00761E4C"/>
    <w:rsid w:val="0076211B"/>
    <w:rsid w:val="007621DF"/>
    <w:rsid w:val="00762224"/>
    <w:rsid w:val="00762341"/>
    <w:rsid w:val="00762436"/>
    <w:rsid w:val="00762629"/>
    <w:rsid w:val="00762AEB"/>
    <w:rsid w:val="00762B9A"/>
    <w:rsid w:val="00762D38"/>
    <w:rsid w:val="00762EBA"/>
    <w:rsid w:val="007631CA"/>
    <w:rsid w:val="007631EC"/>
    <w:rsid w:val="0076321A"/>
    <w:rsid w:val="00763253"/>
    <w:rsid w:val="007632D5"/>
    <w:rsid w:val="00763328"/>
    <w:rsid w:val="00763365"/>
    <w:rsid w:val="0076357A"/>
    <w:rsid w:val="007636F9"/>
    <w:rsid w:val="007637D2"/>
    <w:rsid w:val="00763AAF"/>
    <w:rsid w:val="00763D7A"/>
    <w:rsid w:val="00763DAE"/>
    <w:rsid w:val="00763E24"/>
    <w:rsid w:val="00763E4F"/>
    <w:rsid w:val="00763F7B"/>
    <w:rsid w:val="007640D0"/>
    <w:rsid w:val="00764240"/>
    <w:rsid w:val="0076462A"/>
    <w:rsid w:val="00764777"/>
    <w:rsid w:val="007648BB"/>
    <w:rsid w:val="007648EC"/>
    <w:rsid w:val="007649BB"/>
    <w:rsid w:val="00764DE8"/>
    <w:rsid w:val="00764E22"/>
    <w:rsid w:val="00764EC5"/>
    <w:rsid w:val="007650E6"/>
    <w:rsid w:val="007651D9"/>
    <w:rsid w:val="00765540"/>
    <w:rsid w:val="007655E8"/>
    <w:rsid w:val="0076561F"/>
    <w:rsid w:val="0076565C"/>
    <w:rsid w:val="00765778"/>
    <w:rsid w:val="007657FC"/>
    <w:rsid w:val="00765C42"/>
    <w:rsid w:val="00765D6C"/>
    <w:rsid w:val="0076603A"/>
    <w:rsid w:val="0076615D"/>
    <w:rsid w:val="007661D0"/>
    <w:rsid w:val="0076692C"/>
    <w:rsid w:val="00766BC6"/>
    <w:rsid w:val="00766D80"/>
    <w:rsid w:val="007671E2"/>
    <w:rsid w:val="007674AA"/>
    <w:rsid w:val="00767596"/>
    <w:rsid w:val="00767971"/>
    <w:rsid w:val="00767AC5"/>
    <w:rsid w:val="00767C2A"/>
    <w:rsid w:val="00767FAF"/>
    <w:rsid w:val="007701C7"/>
    <w:rsid w:val="00770259"/>
    <w:rsid w:val="007702E9"/>
    <w:rsid w:val="00770341"/>
    <w:rsid w:val="007704A8"/>
    <w:rsid w:val="00770506"/>
    <w:rsid w:val="007706EE"/>
    <w:rsid w:val="007706F0"/>
    <w:rsid w:val="00770D64"/>
    <w:rsid w:val="00770DE4"/>
    <w:rsid w:val="00770E02"/>
    <w:rsid w:val="00770EB2"/>
    <w:rsid w:val="00770EBE"/>
    <w:rsid w:val="00770F01"/>
    <w:rsid w:val="00770FAC"/>
    <w:rsid w:val="007710F8"/>
    <w:rsid w:val="0077113D"/>
    <w:rsid w:val="00771733"/>
    <w:rsid w:val="007717E8"/>
    <w:rsid w:val="00771990"/>
    <w:rsid w:val="007719A3"/>
    <w:rsid w:val="007719A4"/>
    <w:rsid w:val="00771A82"/>
    <w:rsid w:val="00771AC5"/>
    <w:rsid w:val="00771ACA"/>
    <w:rsid w:val="00771B55"/>
    <w:rsid w:val="00772020"/>
    <w:rsid w:val="007722EE"/>
    <w:rsid w:val="00772440"/>
    <w:rsid w:val="00772753"/>
    <w:rsid w:val="007729DE"/>
    <w:rsid w:val="00773169"/>
    <w:rsid w:val="007732A6"/>
    <w:rsid w:val="00773328"/>
    <w:rsid w:val="0077337F"/>
    <w:rsid w:val="007734B1"/>
    <w:rsid w:val="007734F6"/>
    <w:rsid w:val="00773564"/>
    <w:rsid w:val="007738AD"/>
    <w:rsid w:val="00773CDF"/>
    <w:rsid w:val="00773E7B"/>
    <w:rsid w:val="007740D0"/>
    <w:rsid w:val="007741B7"/>
    <w:rsid w:val="00774237"/>
    <w:rsid w:val="007742F9"/>
    <w:rsid w:val="0077482B"/>
    <w:rsid w:val="0077498E"/>
    <w:rsid w:val="00774A7F"/>
    <w:rsid w:val="00774C67"/>
    <w:rsid w:val="00774F8F"/>
    <w:rsid w:val="007750D8"/>
    <w:rsid w:val="0077512D"/>
    <w:rsid w:val="007751BB"/>
    <w:rsid w:val="007753FD"/>
    <w:rsid w:val="00775CF4"/>
    <w:rsid w:val="00775F5C"/>
    <w:rsid w:val="00775FC2"/>
    <w:rsid w:val="00775FFC"/>
    <w:rsid w:val="00776311"/>
    <w:rsid w:val="00776332"/>
    <w:rsid w:val="007764FD"/>
    <w:rsid w:val="0077660E"/>
    <w:rsid w:val="00776821"/>
    <w:rsid w:val="00776957"/>
    <w:rsid w:val="00776A1F"/>
    <w:rsid w:val="00776A8B"/>
    <w:rsid w:val="0077703A"/>
    <w:rsid w:val="007770A3"/>
    <w:rsid w:val="007771F9"/>
    <w:rsid w:val="007774D4"/>
    <w:rsid w:val="007776B6"/>
    <w:rsid w:val="007776F7"/>
    <w:rsid w:val="007779E3"/>
    <w:rsid w:val="00777BCE"/>
    <w:rsid w:val="00777C73"/>
    <w:rsid w:val="00777F3D"/>
    <w:rsid w:val="007800F7"/>
    <w:rsid w:val="00780306"/>
    <w:rsid w:val="007803FD"/>
    <w:rsid w:val="00780494"/>
    <w:rsid w:val="00780518"/>
    <w:rsid w:val="007806FB"/>
    <w:rsid w:val="0078083B"/>
    <w:rsid w:val="00780930"/>
    <w:rsid w:val="00780B84"/>
    <w:rsid w:val="00780CED"/>
    <w:rsid w:val="00781205"/>
    <w:rsid w:val="007812CE"/>
    <w:rsid w:val="007814C2"/>
    <w:rsid w:val="00781749"/>
    <w:rsid w:val="0078182F"/>
    <w:rsid w:val="00781967"/>
    <w:rsid w:val="00781BE6"/>
    <w:rsid w:val="00782164"/>
    <w:rsid w:val="007823AE"/>
    <w:rsid w:val="007827AD"/>
    <w:rsid w:val="00782C65"/>
    <w:rsid w:val="00782EDC"/>
    <w:rsid w:val="00783012"/>
    <w:rsid w:val="00783286"/>
    <w:rsid w:val="0078355D"/>
    <w:rsid w:val="0078377E"/>
    <w:rsid w:val="007837F2"/>
    <w:rsid w:val="007839A3"/>
    <w:rsid w:val="00783A19"/>
    <w:rsid w:val="00783BE5"/>
    <w:rsid w:val="00783E94"/>
    <w:rsid w:val="00784784"/>
    <w:rsid w:val="00784A11"/>
    <w:rsid w:val="00784AE4"/>
    <w:rsid w:val="00784C95"/>
    <w:rsid w:val="00784D5B"/>
    <w:rsid w:val="00784FBA"/>
    <w:rsid w:val="0078526A"/>
    <w:rsid w:val="00785547"/>
    <w:rsid w:val="007855C2"/>
    <w:rsid w:val="007857BF"/>
    <w:rsid w:val="007857CC"/>
    <w:rsid w:val="00785B6E"/>
    <w:rsid w:val="00785DE0"/>
    <w:rsid w:val="00786131"/>
    <w:rsid w:val="0078621E"/>
    <w:rsid w:val="0078651C"/>
    <w:rsid w:val="00786576"/>
    <w:rsid w:val="007867B9"/>
    <w:rsid w:val="0078687F"/>
    <w:rsid w:val="00786999"/>
    <w:rsid w:val="00786CA2"/>
    <w:rsid w:val="00786DF4"/>
    <w:rsid w:val="00787117"/>
    <w:rsid w:val="007871CF"/>
    <w:rsid w:val="00787503"/>
    <w:rsid w:val="007876F3"/>
    <w:rsid w:val="007877FD"/>
    <w:rsid w:val="00787826"/>
    <w:rsid w:val="007879C9"/>
    <w:rsid w:val="00787AC8"/>
    <w:rsid w:val="00790000"/>
    <w:rsid w:val="00790042"/>
    <w:rsid w:val="00790542"/>
    <w:rsid w:val="007905FB"/>
    <w:rsid w:val="00790724"/>
    <w:rsid w:val="007909CA"/>
    <w:rsid w:val="00790AF2"/>
    <w:rsid w:val="00790BFA"/>
    <w:rsid w:val="00790F1B"/>
    <w:rsid w:val="0079129D"/>
    <w:rsid w:val="0079193D"/>
    <w:rsid w:val="00791A57"/>
    <w:rsid w:val="00791B00"/>
    <w:rsid w:val="00791CC1"/>
    <w:rsid w:val="007920C1"/>
    <w:rsid w:val="007920F2"/>
    <w:rsid w:val="00792171"/>
    <w:rsid w:val="0079231C"/>
    <w:rsid w:val="00792383"/>
    <w:rsid w:val="00792548"/>
    <w:rsid w:val="00792583"/>
    <w:rsid w:val="0079261F"/>
    <w:rsid w:val="007927FB"/>
    <w:rsid w:val="007931D0"/>
    <w:rsid w:val="0079324B"/>
    <w:rsid w:val="00793322"/>
    <w:rsid w:val="0079343B"/>
    <w:rsid w:val="007934B1"/>
    <w:rsid w:val="00793564"/>
    <w:rsid w:val="0079358F"/>
    <w:rsid w:val="00793AE3"/>
    <w:rsid w:val="00793E3B"/>
    <w:rsid w:val="00793F1D"/>
    <w:rsid w:val="00793FD7"/>
    <w:rsid w:val="007942E5"/>
    <w:rsid w:val="00794306"/>
    <w:rsid w:val="00794360"/>
    <w:rsid w:val="007945A9"/>
    <w:rsid w:val="00794867"/>
    <w:rsid w:val="007948D1"/>
    <w:rsid w:val="00794922"/>
    <w:rsid w:val="007952A4"/>
    <w:rsid w:val="007955CB"/>
    <w:rsid w:val="007955D4"/>
    <w:rsid w:val="0079565D"/>
    <w:rsid w:val="007957A0"/>
    <w:rsid w:val="00795968"/>
    <w:rsid w:val="00795AD6"/>
    <w:rsid w:val="00795E76"/>
    <w:rsid w:val="00796243"/>
    <w:rsid w:val="007966A9"/>
    <w:rsid w:val="00796917"/>
    <w:rsid w:val="007969FD"/>
    <w:rsid w:val="007970AE"/>
    <w:rsid w:val="00797343"/>
    <w:rsid w:val="00797453"/>
    <w:rsid w:val="007974E4"/>
    <w:rsid w:val="007977BE"/>
    <w:rsid w:val="007978FA"/>
    <w:rsid w:val="00797991"/>
    <w:rsid w:val="00797B7F"/>
    <w:rsid w:val="00797F9F"/>
    <w:rsid w:val="00797FD8"/>
    <w:rsid w:val="007A0105"/>
    <w:rsid w:val="007A01FE"/>
    <w:rsid w:val="007A0315"/>
    <w:rsid w:val="007A04CF"/>
    <w:rsid w:val="007A0B72"/>
    <w:rsid w:val="007A0CB9"/>
    <w:rsid w:val="007A0D3F"/>
    <w:rsid w:val="007A1100"/>
    <w:rsid w:val="007A112E"/>
    <w:rsid w:val="007A123D"/>
    <w:rsid w:val="007A1277"/>
    <w:rsid w:val="007A1348"/>
    <w:rsid w:val="007A135F"/>
    <w:rsid w:val="007A138F"/>
    <w:rsid w:val="007A15F9"/>
    <w:rsid w:val="007A18B5"/>
    <w:rsid w:val="007A1904"/>
    <w:rsid w:val="007A1C02"/>
    <w:rsid w:val="007A1C26"/>
    <w:rsid w:val="007A1D7A"/>
    <w:rsid w:val="007A1E9B"/>
    <w:rsid w:val="007A1ECA"/>
    <w:rsid w:val="007A215E"/>
    <w:rsid w:val="007A22AD"/>
    <w:rsid w:val="007A23F0"/>
    <w:rsid w:val="007A25F7"/>
    <w:rsid w:val="007A2AEB"/>
    <w:rsid w:val="007A2FF8"/>
    <w:rsid w:val="007A3217"/>
    <w:rsid w:val="007A3297"/>
    <w:rsid w:val="007A37D6"/>
    <w:rsid w:val="007A392C"/>
    <w:rsid w:val="007A3BD4"/>
    <w:rsid w:val="007A3FB5"/>
    <w:rsid w:val="007A4012"/>
    <w:rsid w:val="007A4158"/>
    <w:rsid w:val="007A4669"/>
    <w:rsid w:val="007A4775"/>
    <w:rsid w:val="007A4C2F"/>
    <w:rsid w:val="007A4D29"/>
    <w:rsid w:val="007A51A8"/>
    <w:rsid w:val="007A5863"/>
    <w:rsid w:val="007A5B23"/>
    <w:rsid w:val="007A5BB1"/>
    <w:rsid w:val="007A5BF8"/>
    <w:rsid w:val="007A5C7E"/>
    <w:rsid w:val="007A614C"/>
    <w:rsid w:val="007A62AA"/>
    <w:rsid w:val="007A63D5"/>
    <w:rsid w:val="007A65F3"/>
    <w:rsid w:val="007A675E"/>
    <w:rsid w:val="007A69DA"/>
    <w:rsid w:val="007A6E04"/>
    <w:rsid w:val="007A70DA"/>
    <w:rsid w:val="007A714B"/>
    <w:rsid w:val="007A716A"/>
    <w:rsid w:val="007A7365"/>
    <w:rsid w:val="007A7516"/>
    <w:rsid w:val="007A77A2"/>
    <w:rsid w:val="007A7A83"/>
    <w:rsid w:val="007A7C95"/>
    <w:rsid w:val="007A7ED8"/>
    <w:rsid w:val="007A7F99"/>
    <w:rsid w:val="007B00F5"/>
    <w:rsid w:val="007B0180"/>
    <w:rsid w:val="007B0351"/>
    <w:rsid w:val="007B06DC"/>
    <w:rsid w:val="007B082A"/>
    <w:rsid w:val="007B0982"/>
    <w:rsid w:val="007B0D98"/>
    <w:rsid w:val="007B114F"/>
    <w:rsid w:val="007B12B8"/>
    <w:rsid w:val="007B1350"/>
    <w:rsid w:val="007B1596"/>
    <w:rsid w:val="007B15C0"/>
    <w:rsid w:val="007B179F"/>
    <w:rsid w:val="007B194E"/>
    <w:rsid w:val="007B19D9"/>
    <w:rsid w:val="007B1BF7"/>
    <w:rsid w:val="007B203C"/>
    <w:rsid w:val="007B2230"/>
    <w:rsid w:val="007B28A5"/>
    <w:rsid w:val="007B2AE2"/>
    <w:rsid w:val="007B2B86"/>
    <w:rsid w:val="007B2EFD"/>
    <w:rsid w:val="007B33AB"/>
    <w:rsid w:val="007B35C0"/>
    <w:rsid w:val="007B36AE"/>
    <w:rsid w:val="007B3839"/>
    <w:rsid w:val="007B3869"/>
    <w:rsid w:val="007B3948"/>
    <w:rsid w:val="007B3960"/>
    <w:rsid w:val="007B3CE1"/>
    <w:rsid w:val="007B3D0B"/>
    <w:rsid w:val="007B4032"/>
    <w:rsid w:val="007B4136"/>
    <w:rsid w:val="007B43E4"/>
    <w:rsid w:val="007B453E"/>
    <w:rsid w:val="007B473B"/>
    <w:rsid w:val="007B4830"/>
    <w:rsid w:val="007B485E"/>
    <w:rsid w:val="007B487A"/>
    <w:rsid w:val="007B4D00"/>
    <w:rsid w:val="007B4D0A"/>
    <w:rsid w:val="007B4F84"/>
    <w:rsid w:val="007B514C"/>
    <w:rsid w:val="007B5490"/>
    <w:rsid w:val="007B5C44"/>
    <w:rsid w:val="007B5CF2"/>
    <w:rsid w:val="007B5D25"/>
    <w:rsid w:val="007B6094"/>
    <w:rsid w:val="007B60ED"/>
    <w:rsid w:val="007B6347"/>
    <w:rsid w:val="007B6436"/>
    <w:rsid w:val="007B6728"/>
    <w:rsid w:val="007B679A"/>
    <w:rsid w:val="007B6911"/>
    <w:rsid w:val="007B6B57"/>
    <w:rsid w:val="007B6FFE"/>
    <w:rsid w:val="007B7123"/>
    <w:rsid w:val="007B7213"/>
    <w:rsid w:val="007B7270"/>
    <w:rsid w:val="007B7568"/>
    <w:rsid w:val="007B7584"/>
    <w:rsid w:val="007B779D"/>
    <w:rsid w:val="007B7A06"/>
    <w:rsid w:val="007B7F19"/>
    <w:rsid w:val="007B7F94"/>
    <w:rsid w:val="007B7FE2"/>
    <w:rsid w:val="007C010A"/>
    <w:rsid w:val="007C03DB"/>
    <w:rsid w:val="007C0498"/>
    <w:rsid w:val="007C0625"/>
    <w:rsid w:val="007C0870"/>
    <w:rsid w:val="007C0910"/>
    <w:rsid w:val="007C0C65"/>
    <w:rsid w:val="007C0F86"/>
    <w:rsid w:val="007C10EC"/>
    <w:rsid w:val="007C1275"/>
    <w:rsid w:val="007C12C8"/>
    <w:rsid w:val="007C19A3"/>
    <w:rsid w:val="007C1A15"/>
    <w:rsid w:val="007C1D28"/>
    <w:rsid w:val="007C2149"/>
    <w:rsid w:val="007C22F9"/>
    <w:rsid w:val="007C24C3"/>
    <w:rsid w:val="007C24FD"/>
    <w:rsid w:val="007C258F"/>
    <w:rsid w:val="007C29BD"/>
    <w:rsid w:val="007C2F08"/>
    <w:rsid w:val="007C3154"/>
    <w:rsid w:val="007C331D"/>
    <w:rsid w:val="007C33A7"/>
    <w:rsid w:val="007C37DC"/>
    <w:rsid w:val="007C3802"/>
    <w:rsid w:val="007C3A62"/>
    <w:rsid w:val="007C3A72"/>
    <w:rsid w:val="007C3B17"/>
    <w:rsid w:val="007C3EA1"/>
    <w:rsid w:val="007C40E9"/>
    <w:rsid w:val="007C4102"/>
    <w:rsid w:val="007C41D1"/>
    <w:rsid w:val="007C45FB"/>
    <w:rsid w:val="007C46D3"/>
    <w:rsid w:val="007C485C"/>
    <w:rsid w:val="007C4C14"/>
    <w:rsid w:val="007C5019"/>
    <w:rsid w:val="007C5277"/>
    <w:rsid w:val="007C558B"/>
    <w:rsid w:val="007C5EBD"/>
    <w:rsid w:val="007C60F4"/>
    <w:rsid w:val="007C61A0"/>
    <w:rsid w:val="007C61C2"/>
    <w:rsid w:val="007C6342"/>
    <w:rsid w:val="007C6799"/>
    <w:rsid w:val="007C67B7"/>
    <w:rsid w:val="007C68A4"/>
    <w:rsid w:val="007C68A6"/>
    <w:rsid w:val="007C69F5"/>
    <w:rsid w:val="007C6B3A"/>
    <w:rsid w:val="007C6E21"/>
    <w:rsid w:val="007C7154"/>
    <w:rsid w:val="007C723A"/>
    <w:rsid w:val="007C7265"/>
    <w:rsid w:val="007C7ACF"/>
    <w:rsid w:val="007C7AD6"/>
    <w:rsid w:val="007C7B51"/>
    <w:rsid w:val="007C7D22"/>
    <w:rsid w:val="007C7DF7"/>
    <w:rsid w:val="007CF606"/>
    <w:rsid w:val="007D0170"/>
    <w:rsid w:val="007D01AC"/>
    <w:rsid w:val="007D029E"/>
    <w:rsid w:val="007D033D"/>
    <w:rsid w:val="007D0534"/>
    <w:rsid w:val="007D06F6"/>
    <w:rsid w:val="007D089F"/>
    <w:rsid w:val="007D0F91"/>
    <w:rsid w:val="007D1170"/>
    <w:rsid w:val="007D121D"/>
    <w:rsid w:val="007D1277"/>
    <w:rsid w:val="007D12E8"/>
    <w:rsid w:val="007D13B8"/>
    <w:rsid w:val="007D1762"/>
    <w:rsid w:val="007D17AD"/>
    <w:rsid w:val="007D1A3F"/>
    <w:rsid w:val="007D1AB9"/>
    <w:rsid w:val="007D1E61"/>
    <w:rsid w:val="007D1E67"/>
    <w:rsid w:val="007D1F3E"/>
    <w:rsid w:val="007D20EA"/>
    <w:rsid w:val="007D2101"/>
    <w:rsid w:val="007D214F"/>
    <w:rsid w:val="007D218A"/>
    <w:rsid w:val="007D2344"/>
    <w:rsid w:val="007D238C"/>
    <w:rsid w:val="007D2665"/>
    <w:rsid w:val="007D27F4"/>
    <w:rsid w:val="007D292C"/>
    <w:rsid w:val="007D2A43"/>
    <w:rsid w:val="007D2D9A"/>
    <w:rsid w:val="007D2F52"/>
    <w:rsid w:val="007D301C"/>
    <w:rsid w:val="007D32F6"/>
    <w:rsid w:val="007D33D2"/>
    <w:rsid w:val="007D36D7"/>
    <w:rsid w:val="007D3748"/>
    <w:rsid w:val="007D3A24"/>
    <w:rsid w:val="007D3B86"/>
    <w:rsid w:val="007D3C20"/>
    <w:rsid w:val="007D3F58"/>
    <w:rsid w:val="007D400C"/>
    <w:rsid w:val="007D4134"/>
    <w:rsid w:val="007D4252"/>
    <w:rsid w:val="007D43E3"/>
    <w:rsid w:val="007D48EC"/>
    <w:rsid w:val="007D4A2E"/>
    <w:rsid w:val="007D4AEC"/>
    <w:rsid w:val="007D4C5B"/>
    <w:rsid w:val="007D4CBE"/>
    <w:rsid w:val="007D5148"/>
    <w:rsid w:val="007D51B9"/>
    <w:rsid w:val="007D5493"/>
    <w:rsid w:val="007D55E2"/>
    <w:rsid w:val="007D5662"/>
    <w:rsid w:val="007D56C8"/>
    <w:rsid w:val="007D56D8"/>
    <w:rsid w:val="007D592E"/>
    <w:rsid w:val="007D5C60"/>
    <w:rsid w:val="007D5D34"/>
    <w:rsid w:val="007D6357"/>
    <w:rsid w:val="007D64F0"/>
    <w:rsid w:val="007D6638"/>
    <w:rsid w:val="007D667E"/>
    <w:rsid w:val="007D6766"/>
    <w:rsid w:val="007D678B"/>
    <w:rsid w:val="007D68ED"/>
    <w:rsid w:val="007D6A1A"/>
    <w:rsid w:val="007D6B59"/>
    <w:rsid w:val="007D6BA8"/>
    <w:rsid w:val="007D6BBC"/>
    <w:rsid w:val="007D6ECF"/>
    <w:rsid w:val="007D6F1D"/>
    <w:rsid w:val="007D773D"/>
    <w:rsid w:val="007D77BC"/>
    <w:rsid w:val="007D7B07"/>
    <w:rsid w:val="007D7BCB"/>
    <w:rsid w:val="007D7C1B"/>
    <w:rsid w:val="007D7C83"/>
    <w:rsid w:val="007E01C9"/>
    <w:rsid w:val="007E0218"/>
    <w:rsid w:val="007E063B"/>
    <w:rsid w:val="007E0833"/>
    <w:rsid w:val="007E084D"/>
    <w:rsid w:val="007E0BC4"/>
    <w:rsid w:val="007E0D05"/>
    <w:rsid w:val="007E0D88"/>
    <w:rsid w:val="007E0E18"/>
    <w:rsid w:val="007E0FF7"/>
    <w:rsid w:val="007E10A0"/>
    <w:rsid w:val="007E15BC"/>
    <w:rsid w:val="007E16A4"/>
    <w:rsid w:val="007E17B0"/>
    <w:rsid w:val="007E1AF7"/>
    <w:rsid w:val="007E1B54"/>
    <w:rsid w:val="007E1C2F"/>
    <w:rsid w:val="007E2962"/>
    <w:rsid w:val="007E2B3F"/>
    <w:rsid w:val="007E300C"/>
    <w:rsid w:val="007E341F"/>
    <w:rsid w:val="007E3A63"/>
    <w:rsid w:val="007E3AE6"/>
    <w:rsid w:val="007E3B12"/>
    <w:rsid w:val="007E3B7C"/>
    <w:rsid w:val="007E3CB1"/>
    <w:rsid w:val="007E41F3"/>
    <w:rsid w:val="007E4260"/>
    <w:rsid w:val="007E428C"/>
    <w:rsid w:val="007E42A5"/>
    <w:rsid w:val="007E4351"/>
    <w:rsid w:val="007E4489"/>
    <w:rsid w:val="007E44EF"/>
    <w:rsid w:val="007E459B"/>
    <w:rsid w:val="007E479D"/>
    <w:rsid w:val="007E4D49"/>
    <w:rsid w:val="007E4D68"/>
    <w:rsid w:val="007E4D86"/>
    <w:rsid w:val="007E4E18"/>
    <w:rsid w:val="007E527F"/>
    <w:rsid w:val="007E531A"/>
    <w:rsid w:val="007E537D"/>
    <w:rsid w:val="007E5509"/>
    <w:rsid w:val="007E551D"/>
    <w:rsid w:val="007E56C6"/>
    <w:rsid w:val="007E580D"/>
    <w:rsid w:val="007E5C04"/>
    <w:rsid w:val="007E5C4C"/>
    <w:rsid w:val="007E5DBF"/>
    <w:rsid w:val="007E5F6C"/>
    <w:rsid w:val="007E613B"/>
    <w:rsid w:val="007E62FA"/>
    <w:rsid w:val="007E632F"/>
    <w:rsid w:val="007E6694"/>
    <w:rsid w:val="007E6944"/>
    <w:rsid w:val="007E6A85"/>
    <w:rsid w:val="007E6E59"/>
    <w:rsid w:val="007E6E98"/>
    <w:rsid w:val="007E6F51"/>
    <w:rsid w:val="007E6F60"/>
    <w:rsid w:val="007E7099"/>
    <w:rsid w:val="007E72B8"/>
    <w:rsid w:val="007E7326"/>
    <w:rsid w:val="007E7357"/>
    <w:rsid w:val="007E73C0"/>
    <w:rsid w:val="007E7438"/>
    <w:rsid w:val="007E744A"/>
    <w:rsid w:val="007E76F7"/>
    <w:rsid w:val="007E7D69"/>
    <w:rsid w:val="007E7D86"/>
    <w:rsid w:val="007E7DA2"/>
    <w:rsid w:val="007E7DDB"/>
    <w:rsid w:val="007E7F12"/>
    <w:rsid w:val="007F02F3"/>
    <w:rsid w:val="007F039A"/>
    <w:rsid w:val="007F0893"/>
    <w:rsid w:val="007F0DD2"/>
    <w:rsid w:val="007F0F93"/>
    <w:rsid w:val="007F103B"/>
    <w:rsid w:val="007F1128"/>
    <w:rsid w:val="007F11A9"/>
    <w:rsid w:val="007F13A0"/>
    <w:rsid w:val="007F145F"/>
    <w:rsid w:val="007F1669"/>
    <w:rsid w:val="007F1CF8"/>
    <w:rsid w:val="007F1D52"/>
    <w:rsid w:val="007F235B"/>
    <w:rsid w:val="007F2902"/>
    <w:rsid w:val="007F2AFC"/>
    <w:rsid w:val="007F2E84"/>
    <w:rsid w:val="007F2E99"/>
    <w:rsid w:val="007F2EED"/>
    <w:rsid w:val="007F2FC4"/>
    <w:rsid w:val="007F3010"/>
    <w:rsid w:val="007F3066"/>
    <w:rsid w:val="007F31A4"/>
    <w:rsid w:val="007F32C6"/>
    <w:rsid w:val="007F3305"/>
    <w:rsid w:val="007F3419"/>
    <w:rsid w:val="007F3505"/>
    <w:rsid w:val="007F3703"/>
    <w:rsid w:val="007F370C"/>
    <w:rsid w:val="007F3864"/>
    <w:rsid w:val="007F3B89"/>
    <w:rsid w:val="007F3BED"/>
    <w:rsid w:val="007F3C38"/>
    <w:rsid w:val="007F3C3C"/>
    <w:rsid w:val="007F444A"/>
    <w:rsid w:val="007F4608"/>
    <w:rsid w:val="007F4721"/>
    <w:rsid w:val="007F4788"/>
    <w:rsid w:val="007F48E0"/>
    <w:rsid w:val="007F4BF5"/>
    <w:rsid w:val="007F4C12"/>
    <w:rsid w:val="007F4E28"/>
    <w:rsid w:val="007F4F1D"/>
    <w:rsid w:val="007F5222"/>
    <w:rsid w:val="007F536E"/>
    <w:rsid w:val="007F546E"/>
    <w:rsid w:val="007F5702"/>
    <w:rsid w:val="007F5841"/>
    <w:rsid w:val="007F593E"/>
    <w:rsid w:val="007F598E"/>
    <w:rsid w:val="007F5D28"/>
    <w:rsid w:val="007F5DCD"/>
    <w:rsid w:val="007F5FF7"/>
    <w:rsid w:val="007F6083"/>
    <w:rsid w:val="007F62F9"/>
    <w:rsid w:val="007F6496"/>
    <w:rsid w:val="007F6561"/>
    <w:rsid w:val="007F6771"/>
    <w:rsid w:val="007F6B3E"/>
    <w:rsid w:val="007F6BB6"/>
    <w:rsid w:val="007F6E3C"/>
    <w:rsid w:val="007F6EF8"/>
    <w:rsid w:val="007F7082"/>
    <w:rsid w:val="007F719B"/>
    <w:rsid w:val="007F71D0"/>
    <w:rsid w:val="007F7385"/>
    <w:rsid w:val="007F7391"/>
    <w:rsid w:val="007F76C0"/>
    <w:rsid w:val="007F7987"/>
    <w:rsid w:val="007F7B5B"/>
    <w:rsid w:val="007F7E65"/>
    <w:rsid w:val="00800026"/>
    <w:rsid w:val="008003AE"/>
    <w:rsid w:val="00800A6C"/>
    <w:rsid w:val="008012A9"/>
    <w:rsid w:val="00801683"/>
    <w:rsid w:val="008018FC"/>
    <w:rsid w:val="00801B62"/>
    <w:rsid w:val="00801D84"/>
    <w:rsid w:val="00801EEA"/>
    <w:rsid w:val="00801F3C"/>
    <w:rsid w:val="00801FE8"/>
    <w:rsid w:val="00802132"/>
    <w:rsid w:val="00802134"/>
    <w:rsid w:val="008022DB"/>
    <w:rsid w:val="0080235C"/>
    <w:rsid w:val="00802594"/>
    <w:rsid w:val="008025A4"/>
    <w:rsid w:val="00802631"/>
    <w:rsid w:val="00802EF6"/>
    <w:rsid w:val="00802F22"/>
    <w:rsid w:val="00803098"/>
    <w:rsid w:val="00803114"/>
    <w:rsid w:val="008032DF"/>
    <w:rsid w:val="0080332B"/>
    <w:rsid w:val="008033B9"/>
    <w:rsid w:val="0080359A"/>
    <w:rsid w:val="008036B1"/>
    <w:rsid w:val="008037E8"/>
    <w:rsid w:val="008039B1"/>
    <w:rsid w:val="00803A8F"/>
    <w:rsid w:val="00803B1E"/>
    <w:rsid w:val="00803C37"/>
    <w:rsid w:val="00803F3B"/>
    <w:rsid w:val="00804602"/>
    <w:rsid w:val="008046E7"/>
    <w:rsid w:val="00804A6D"/>
    <w:rsid w:val="0080502A"/>
    <w:rsid w:val="00805488"/>
    <w:rsid w:val="00805ED4"/>
    <w:rsid w:val="00805F59"/>
    <w:rsid w:val="008060CA"/>
    <w:rsid w:val="008061B5"/>
    <w:rsid w:val="0080634D"/>
    <w:rsid w:val="008063EA"/>
    <w:rsid w:val="0080665E"/>
    <w:rsid w:val="008066E9"/>
    <w:rsid w:val="0080693F"/>
    <w:rsid w:val="00806AF6"/>
    <w:rsid w:val="00806EF2"/>
    <w:rsid w:val="00807022"/>
    <w:rsid w:val="008072B6"/>
    <w:rsid w:val="008072D5"/>
    <w:rsid w:val="008074A2"/>
    <w:rsid w:val="008076D1"/>
    <w:rsid w:val="0080794E"/>
    <w:rsid w:val="00807A66"/>
    <w:rsid w:val="00807C10"/>
    <w:rsid w:val="00807FA1"/>
    <w:rsid w:val="008100B9"/>
    <w:rsid w:val="00810377"/>
    <w:rsid w:val="00810382"/>
    <w:rsid w:val="008107C6"/>
    <w:rsid w:val="008108AD"/>
    <w:rsid w:val="008109D3"/>
    <w:rsid w:val="00810BDF"/>
    <w:rsid w:val="0081108F"/>
    <w:rsid w:val="008114BA"/>
    <w:rsid w:val="0081155D"/>
    <w:rsid w:val="00811AD4"/>
    <w:rsid w:val="00811D4D"/>
    <w:rsid w:val="00812139"/>
    <w:rsid w:val="008122FD"/>
    <w:rsid w:val="00812368"/>
    <w:rsid w:val="0081260E"/>
    <w:rsid w:val="0081262C"/>
    <w:rsid w:val="008126F1"/>
    <w:rsid w:val="008127DB"/>
    <w:rsid w:val="0081280B"/>
    <w:rsid w:val="0081283B"/>
    <w:rsid w:val="00812977"/>
    <w:rsid w:val="00812B5A"/>
    <w:rsid w:val="00812CC9"/>
    <w:rsid w:val="00812E58"/>
    <w:rsid w:val="00813186"/>
    <w:rsid w:val="00813254"/>
    <w:rsid w:val="008138B2"/>
    <w:rsid w:val="008139C1"/>
    <w:rsid w:val="00813AAB"/>
    <w:rsid w:val="00813F32"/>
    <w:rsid w:val="00813FCC"/>
    <w:rsid w:val="00814036"/>
    <w:rsid w:val="0081408A"/>
    <w:rsid w:val="00814128"/>
    <w:rsid w:val="00814274"/>
    <w:rsid w:val="0081444B"/>
    <w:rsid w:val="00814535"/>
    <w:rsid w:val="00814731"/>
    <w:rsid w:val="00814867"/>
    <w:rsid w:val="00814995"/>
    <w:rsid w:val="008149D5"/>
    <w:rsid w:val="00814AB4"/>
    <w:rsid w:val="00814FBA"/>
    <w:rsid w:val="00814FE8"/>
    <w:rsid w:val="008150B9"/>
    <w:rsid w:val="008150D6"/>
    <w:rsid w:val="00815295"/>
    <w:rsid w:val="0081534D"/>
    <w:rsid w:val="008154CB"/>
    <w:rsid w:val="008157AA"/>
    <w:rsid w:val="00815AA7"/>
    <w:rsid w:val="00816373"/>
    <w:rsid w:val="008163D2"/>
    <w:rsid w:val="0081657A"/>
    <w:rsid w:val="008165BD"/>
    <w:rsid w:val="008168C3"/>
    <w:rsid w:val="00816B5D"/>
    <w:rsid w:val="00816C50"/>
    <w:rsid w:val="00816D32"/>
    <w:rsid w:val="00816D4D"/>
    <w:rsid w:val="00816DC7"/>
    <w:rsid w:val="0081713B"/>
    <w:rsid w:val="008171FE"/>
    <w:rsid w:val="008172A2"/>
    <w:rsid w:val="008172DE"/>
    <w:rsid w:val="00817310"/>
    <w:rsid w:val="00817354"/>
    <w:rsid w:val="00817761"/>
    <w:rsid w:val="008178BA"/>
    <w:rsid w:val="00817D91"/>
    <w:rsid w:val="00817DB2"/>
    <w:rsid w:val="00817FCD"/>
    <w:rsid w:val="008201A1"/>
    <w:rsid w:val="0082032C"/>
    <w:rsid w:val="00820767"/>
    <w:rsid w:val="008207CE"/>
    <w:rsid w:val="0082096F"/>
    <w:rsid w:val="00820D68"/>
    <w:rsid w:val="00821032"/>
    <w:rsid w:val="0082112B"/>
    <w:rsid w:val="008211E9"/>
    <w:rsid w:val="00821202"/>
    <w:rsid w:val="00821808"/>
    <w:rsid w:val="008218FC"/>
    <w:rsid w:val="00821B5F"/>
    <w:rsid w:val="00821D68"/>
    <w:rsid w:val="00822210"/>
    <w:rsid w:val="00822624"/>
    <w:rsid w:val="00822676"/>
    <w:rsid w:val="00822B45"/>
    <w:rsid w:val="00822BE0"/>
    <w:rsid w:val="00822C19"/>
    <w:rsid w:val="00822E17"/>
    <w:rsid w:val="0082306F"/>
    <w:rsid w:val="0082313F"/>
    <w:rsid w:val="0082321B"/>
    <w:rsid w:val="008232C3"/>
    <w:rsid w:val="008234BD"/>
    <w:rsid w:val="00823927"/>
    <w:rsid w:val="008239C8"/>
    <w:rsid w:val="00823DA1"/>
    <w:rsid w:val="00823DF5"/>
    <w:rsid w:val="00823E95"/>
    <w:rsid w:val="00824064"/>
    <w:rsid w:val="0082430F"/>
    <w:rsid w:val="008245BF"/>
    <w:rsid w:val="0082466D"/>
    <w:rsid w:val="008246C5"/>
    <w:rsid w:val="00824A8B"/>
    <w:rsid w:val="00824BFE"/>
    <w:rsid w:val="00824D84"/>
    <w:rsid w:val="00824E57"/>
    <w:rsid w:val="00824F73"/>
    <w:rsid w:val="00825D9C"/>
    <w:rsid w:val="00825F04"/>
    <w:rsid w:val="0082635D"/>
    <w:rsid w:val="008265CD"/>
    <w:rsid w:val="008265E9"/>
    <w:rsid w:val="00826763"/>
    <w:rsid w:val="008268DA"/>
    <w:rsid w:val="00826A64"/>
    <w:rsid w:val="00826B21"/>
    <w:rsid w:val="00826F1D"/>
    <w:rsid w:val="00826F7D"/>
    <w:rsid w:val="008270FB"/>
    <w:rsid w:val="00827293"/>
    <w:rsid w:val="008272C8"/>
    <w:rsid w:val="00827430"/>
    <w:rsid w:val="008274A3"/>
    <w:rsid w:val="0082790F"/>
    <w:rsid w:val="00827FC3"/>
    <w:rsid w:val="00830233"/>
    <w:rsid w:val="0083059E"/>
    <w:rsid w:val="00830632"/>
    <w:rsid w:val="008306C4"/>
    <w:rsid w:val="0083074F"/>
    <w:rsid w:val="008307DF"/>
    <w:rsid w:val="008311F5"/>
    <w:rsid w:val="00831219"/>
    <w:rsid w:val="0083124B"/>
    <w:rsid w:val="00831814"/>
    <w:rsid w:val="008318CC"/>
    <w:rsid w:val="0083198F"/>
    <w:rsid w:val="00831B47"/>
    <w:rsid w:val="00831C34"/>
    <w:rsid w:val="00831F6E"/>
    <w:rsid w:val="008323F1"/>
    <w:rsid w:val="0083285E"/>
    <w:rsid w:val="00832988"/>
    <w:rsid w:val="00832A8C"/>
    <w:rsid w:val="00832AE6"/>
    <w:rsid w:val="00832B8C"/>
    <w:rsid w:val="00832BA9"/>
    <w:rsid w:val="00832DDA"/>
    <w:rsid w:val="00832E27"/>
    <w:rsid w:val="00832F55"/>
    <w:rsid w:val="0083306C"/>
    <w:rsid w:val="0083333C"/>
    <w:rsid w:val="00833961"/>
    <w:rsid w:val="00833AB0"/>
    <w:rsid w:val="00833B16"/>
    <w:rsid w:val="00833B30"/>
    <w:rsid w:val="00833BCF"/>
    <w:rsid w:val="00833BD0"/>
    <w:rsid w:val="00833E95"/>
    <w:rsid w:val="00833F8D"/>
    <w:rsid w:val="008340B3"/>
    <w:rsid w:val="008343E9"/>
    <w:rsid w:val="008345AE"/>
    <w:rsid w:val="00834615"/>
    <w:rsid w:val="00834620"/>
    <w:rsid w:val="00834782"/>
    <w:rsid w:val="008349B7"/>
    <w:rsid w:val="00834BFD"/>
    <w:rsid w:val="00835018"/>
    <w:rsid w:val="008353BB"/>
    <w:rsid w:val="0083561B"/>
    <w:rsid w:val="00835708"/>
    <w:rsid w:val="0083582A"/>
    <w:rsid w:val="00835A76"/>
    <w:rsid w:val="00835B54"/>
    <w:rsid w:val="00835C9F"/>
    <w:rsid w:val="00835CCB"/>
    <w:rsid w:val="00835E25"/>
    <w:rsid w:val="00836153"/>
    <w:rsid w:val="00836699"/>
    <w:rsid w:val="00836C3C"/>
    <w:rsid w:val="00836E21"/>
    <w:rsid w:val="00836F14"/>
    <w:rsid w:val="0083706B"/>
    <w:rsid w:val="00837091"/>
    <w:rsid w:val="00837458"/>
    <w:rsid w:val="0083747C"/>
    <w:rsid w:val="008377B2"/>
    <w:rsid w:val="008378A7"/>
    <w:rsid w:val="00837906"/>
    <w:rsid w:val="00837EB4"/>
    <w:rsid w:val="008402CE"/>
    <w:rsid w:val="00840B14"/>
    <w:rsid w:val="00840E75"/>
    <w:rsid w:val="00840F12"/>
    <w:rsid w:val="00841111"/>
    <w:rsid w:val="0084142F"/>
    <w:rsid w:val="00841799"/>
    <w:rsid w:val="008418C1"/>
    <w:rsid w:val="0084193C"/>
    <w:rsid w:val="00841ABB"/>
    <w:rsid w:val="00841D3E"/>
    <w:rsid w:val="0084212F"/>
    <w:rsid w:val="008422EE"/>
    <w:rsid w:val="00842393"/>
    <w:rsid w:val="0084262B"/>
    <w:rsid w:val="00842637"/>
    <w:rsid w:val="0084270B"/>
    <w:rsid w:val="00842790"/>
    <w:rsid w:val="00842AB6"/>
    <w:rsid w:val="00842BB9"/>
    <w:rsid w:val="00842BD5"/>
    <w:rsid w:val="00842DAB"/>
    <w:rsid w:val="00842E8B"/>
    <w:rsid w:val="00842F0B"/>
    <w:rsid w:val="008430F1"/>
    <w:rsid w:val="008436FD"/>
    <w:rsid w:val="00843A37"/>
    <w:rsid w:val="00843AB4"/>
    <w:rsid w:val="00843DEB"/>
    <w:rsid w:val="00843E0E"/>
    <w:rsid w:val="00843EB1"/>
    <w:rsid w:val="008441E5"/>
    <w:rsid w:val="008441FF"/>
    <w:rsid w:val="00844200"/>
    <w:rsid w:val="008445A6"/>
    <w:rsid w:val="00844743"/>
    <w:rsid w:val="00844785"/>
    <w:rsid w:val="00844850"/>
    <w:rsid w:val="00844A6C"/>
    <w:rsid w:val="00844D03"/>
    <w:rsid w:val="00844DBE"/>
    <w:rsid w:val="00844F31"/>
    <w:rsid w:val="00844F4A"/>
    <w:rsid w:val="00845105"/>
    <w:rsid w:val="008454F5"/>
    <w:rsid w:val="00845532"/>
    <w:rsid w:val="00845799"/>
    <w:rsid w:val="00845820"/>
    <w:rsid w:val="008458F2"/>
    <w:rsid w:val="00845AAC"/>
    <w:rsid w:val="00845C89"/>
    <w:rsid w:val="00845FED"/>
    <w:rsid w:val="00846111"/>
    <w:rsid w:val="008468DC"/>
    <w:rsid w:val="00846D37"/>
    <w:rsid w:val="00847052"/>
    <w:rsid w:val="0084706C"/>
    <w:rsid w:val="0084737B"/>
    <w:rsid w:val="008474B6"/>
    <w:rsid w:val="008474EB"/>
    <w:rsid w:val="0084788E"/>
    <w:rsid w:val="008478D4"/>
    <w:rsid w:val="00847B37"/>
    <w:rsid w:val="00847CC4"/>
    <w:rsid w:val="00847D61"/>
    <w:rsid w:val="00847EDF"/>
    <w:rsid w:val="00847F93"/>
    <w:rsid w:val="00847F9E"/>
    <w:rsid w:val="0085020B"/>
    <w:rsid w:val="008502B1"/>
    <w:rsid w:val="0085033E"/>
    <w:rsid w:val="00850443"/>
    <w:rsid w:val="008504E9"/>
    <w:rsid w:val="00850528"/>
    <w:rsid w:val="0085063B"/>
    <w:rsid w:val="008507CC"/>
    <w:rsid w:val="00850B12"/>
    <w:rsid w:val="00850BDC"/>
    <w:rsid w:val="0085106D"/>
    <w:rsid w:val="00851122"/>
    <w:rsid w:val="008514C8"/>
    <w:rsid w:val="00851574"/>
    <w:rsid w:val="008517DC"/>
    <w:rsid w:val="00851924"/>
    <w:rsid w:val="0085198D"/>
    <w:rsid w:val="008519CB"/>
    <w:rsid w:val="00851E81"/>
    <w:rsid w:val="00851FAD"/>
    <w:rsid w:val="0085206B"/>
    <w:rsid w:val="00852147"/>
    <w:rsid w:val="00852220"/>
    <w:rsid w:val="008524A8"/>
    <w:rsid w:val="00852536"/>
    <w:rsid w:val="00852562"/>
    <w:rsid w:val="008525ED"/>
    <w:rsid w:val="00852B40"/>
    <w:rsid w:val="00852BCE"/>
    <w:rsid w:val="00852C60"/>
    <w:rsid w:val="00852DBF"/>
    <w:rsid w:val="00853385"/>
    <w:rsid w:val="008533DA"/>
    <w:rsid w:val="008535DF"/>
    <w:rsid w:val="008536A0"/>
    <w:rsid w:val="0085377D"/>
    <w:rsid w:val="00853895"/>
    <w:rsid w:val="00853BF0"/>
    <w:rsid w:val="00853DBF"/>
    <w:rsid w:val="00853E74"/>
    <w:rsid w:val="00853F2F"/>
    <w:rsid w:val="00854081"/>
    <w:rsid w:val="008544EA"/>
    <w:rsid w:val="008545A3"/>
    <w:rsid w:val="00854A89"/>
    <w:rsid w:val="00854B2A"/>
    <w:rsid w:val="00854C6F"/>
    <w:rsid w:val="0085508F"/>
    <w:rsid w:val="008551B4"/>
    <w:rsid w:val="0085521A"/>
    <w:rsid w:val="008553E5"/>
    <w:rsid w:val="0085580B"/>
    <w:rsid w:val="00855882"/>
    <w:rsid w:val="00855A58"/>
    <w:rsid w:val="00855B52"/>
    <w:rsid w:val="00855B76"/>
    <w:rsid w:val="00855EE6"/>
    <w:rsid w:val="008561F4"/>
    <w:rsid w:val="008567EC"/>
    <w:rsid w:val="0085696B"/>
    <w:rsid w:val="00856B32"/>
    <w:rsid w:val="00856DF3"/>
    <w:rsid w:val="00856FE9"/>
    <w:rsid w:val="00857265"/>
    <w:rsid w:val="008572BD"/>
    <w:rsid w:val="0085792E"/>
    <w:rsid w:val="00857E35"/>
    <w:rsid w:val="00860414"/>
    <w:rsid w:val="008605CA"/>
    <w:rsid w:val="00860BB2"/>
    <w:rsid w:val="00860F2C"/>
    <w:rsid w:val="00861851"/>
    <w:rsid w:val="008618F1"/>
    <w:rsid w:val="00861A0B"/>
    <w:rsid w:val="00861E24"/>
    <w:rsid w:val="00861EEF"/>
    <w:rsid w:val="00861FAB"/>
    <w:rsid w:val="00862AFB"/>
    <w:rsid w:val="00862BD9"/>
    <w:rsid w:val="00862C55"/>
    <w:rsid w:val="00862C5C"/>
    <w:rsid w:val="00862D22"/>
    <w:rsid w:val="00862D80"/>
    <w:rsid w:val="00862E44"/>
    <w:rsid w:val="00863255"/>
    <w:rsid w:val="00863368"/>
    <w:rsid w:val="008634AD"/>
    <w:rsid w:val="00863533"/>
    <w:rsid w:val="008636D3"/>
    <w:rsid w:val="00863937"/>
    <w:rsid w:val="0086394B"/>
    <w:rsid w:val="00863CD4"/>
    <w:rsid w:val="00863D5D"/>
    <w:rsid w:val="008642A0"/>
    <w:rsid w:val="0086447D"/>
    <w:rsid w:val="00864A3B"/>
    <w:rsid w:val="008652E2"/>
    <w:rsid w:val="00865352"/>
    <w:rsid w:val="0086558C"/>
    <w:rsid w:val="00865A68"/>
    <w:rsid w:val="00865BA1"/>
    <w:rsid w:val="00866016"/>
    <w:rsid w:val="00866514"/>
    <w:rsid w:val="0086656C"/>
    <w:rsid w:val="00867016"/>
    <w:rsid w:val="00867211"/>
    <w:rsid w:val="008676A4"/>
    <w:rsid w:val="008676B4"/>
    <w:rsid w:val="00867715"/>
    <w:rsid w:val="00867973"/>
    <w:rsid w:val="00867D04"/>
    <w:rsid w:val="00867F3E"/>
    <w:rsid w:val="0087001D"/>
    <w:rsid w:val="0087022F"/>
    <w:rsid w:val="0087032D"/>
    <w:rsid w:val="00870589"/>
    <w:rsid w:val="0087096D"/>
    <w:rsid w:val="00870C07"/>
    <w:rsid w:val="00870E85"/>
    <w:rsid w:val="00870FF1"/>
    <w:rsid w:val="00870FF9"/>
    <w:rsid w:val="00871B5D"/>
    <w:rsid w:val="00871FC1"/>
    <w:rsid w:val="008724EF"/>
    <w:rsid w:val="0087269E"/>
    <w:rsid w:val="008728F0"/>
    <w:rsid w:val="0087297F"/>
    <w:rsid w:val="008729B4"/>
    <w:rsid w:val="00872A87"/>
    <w:rsid w:val="00872C48"/>
    <w:rsid w:val="00872D9E"/>
    <w:rsid w:val="00872EEA"/>
    <w:rsid w:val="00873010"/>
    <w:rsid w:val="00873053"/>
    <w:rsid w:val="008730CC"/>
    <w:rsid w:val="00873126"/>
    <w:rsid w:val="008732D1"/>
    <w:rsid w:val="00873960"/>
    <w:rsid w:val="008739A6"/>
    <w:rsid w:val="00873A4C"/>
    <w:rsid w:val="00873B0B"/>
    <w:rsid w:val="00873B45"/>
    <w:rsid w:val="00873FF7"/>
    <w:rsid w:val="008742AB"/>
    <w:rsid w:val="0087434B"/>
    <w:rsid w:val="0087455A"/>
    <w:rsid w:val="00874873"/>
    <w:rsid w:val="00874882"/>
    <w:rsid w:val="008748F0"/>
    <w:rsid w:val="008749B2"/>
    <w:rsid w:val="008749B5"/>
    <w:rsid w:val="00874B5C"/>
    <w:rsid w:val="00874C87"/>
    <w:rsid w:val="00874E0C"/>
    <w:rsid w:val="00875227"/>
    <w:rsid w:val="008752D5"/>
    <w:rsid w:val="00875439"/>
    <w:rsid w:val="00875549"/>
    <w:rsid w:val="008756CB"/>
    <w:rsid w:val="0087572C"/>
    <w:rsid w:val="00875898"/>
    <w:rsid w:val="008758B7"/>
    <w:rsid w:val="008758C2"/>
    <w:rsid w:val="008758C4"/>
    <w:rsid w:val="00875A57"/>
    <w:rsid w:val="00875C73"/>
    <w:rsid w:val="00875DDF"/>
    <w:rsid w:val="00876141"/>
    <w:rsid w:val="00876459"/>
    <w:rsid w:val="00876515"/>
    <w:rsid w:val="0087696B"/>
    <w:rsid w:val="00876BDC"/>
    <w:rsid w:val="00876C14"/>
    <w:rsid w:val="00876DD5"/>
    <w:rsid w:val="008771C3"/>
    <w:rsid w:val="008771DC"/>
    <w:rsid w:val="0087741F"/>
    <w:rsid w:val="0087758F"/>
    <w:rsid w:val="00877722"/>
    <w:rsid w:val="00877C2F"/>
    <w:rsid w:val="00880016"/>
    <w:rsid w:val="0088015A"/>
    <w:rsid w:val="00880433"/>
    <w:rsid w:val="00880565"/>
    <w:rsid w:val="00880632"/>
    <w:rsid w:val="00880842"/>
    <w:rsid w:val="00880B71"/>
    <w:rsid w:val="00880BFD"/>
    <w:rsid w:val="00880ECA"/>
    <w:rsid w:val="00881100"/>
    <w:rsid w:val="00881375"/>
    <w:rsid w:val="00881463"/>
    <w:rsid w:val="008818B6"/>
    <w:rsid w:val="008818F7"/>
    <w:rsid w:val="00881B4B"/>
    <w:rsid w:val="00881C1B"/>
    <w:rsid w:val="00881D22"/>
    <w:rsid w:val="00881D60"/>
    <w:rsid w:val="00881EE0"/>
    <w:rsid w:val="0088211A"/>
    <w:rsid w:val="00882231"/>
    <w:rsid w:val="00882287"/>
    <w:rsid w:val="00882778"/>
    <w:rsid w:val="00882829"/>
    <w:rsid w:val="00882847"/>
    <w:rsid w:val="00882857"/>
    <w:rsid w:val="0088294E"/>
    <w:rsid w:val="00882A84"/>
    <w:rsid w:val="00882A96"/>
    <w:rsid w:val="00882B34"/>
    <w:rsid w:val="00882CBE"/>
    <w:rsid w:val="00882D81"/>
    <w:rsid w:val="00882EBA"/>
    <w:rsid w:val="00882FC0"/>
    <w:rsid w:val="00883009"/>
    <w:rsid w:val="008830EB"/>
    <w:rsid w:val="00883B5D"/>
    <w:rsid w:val="00883CB3"/>
    <w:rsid w:val="00883F7F"/>
    <w:rsid w:val="00883FE2"/>
    <w:rsid w:val="00884134"/>
    <w:rsid w:val="00884971"/>
    <w:rsid w:val="00884A7D"/>
    <w:rsid w:val="00884AEE"/>
    <w:rsid w:val="00884E0C"/>
    <w:rsid w:val="00884FEA"/>
    <w:rsid w:val="00885459"/>
    <w:rsid w:val="008855D4"/>
    <w:rsid w:val="008858E5"/>
    <w:rsid w:val="00885F89"/>
    <w:rsid w:val="0088634E"/>
    <w:rsid w:val="008863B4"/>
    <w:rsid w:val="008863F4"/>
    <w:rsid w:val="008865B6"/>
    <w:rsid w:val="00886699"/>
    <w:rsid w:val="00886A57"/>
    <w:rsid w:val="00886ACA"/>
    <w:rsid w:val="00886AE3"/>
    <w:rsid w:val="00886F83"/>
    <w:rsid w:val="00886F8C"/>
    <w:rsid w:val="00887110"/>
    <w:rsid w:val="00887301"/>
    <w:rsid w:val="008873D4"/>
    <w:rsid w:val="008875E1"/>
    <w:rsid w:val="00887A1F"/>
    <w:rsid w:val="00887CD0"/>
    <w:rsid w:val="00887CE7"/>
    <w:rsid w:val="00887F32"/>
    <w:rsid w:val="008901D1"/>
    <w:rsid w:val="00890397"/>
    <w:rsid w:val="008903CC"/>
    <w:rsid w:val="008904DF"/>
    <w:rsid w:val="00890698"/>
    <w:rsid w:val="00890857"/>
    <w:rsid w:val="00890989"/>
    <w:rsid w:val="00890A86"/>
    <w:rsid w:val="00890D69"/>
    <w:rsid w:val="0089103D"/>
    <w:rsid w:val="008910B5"/>
    <w:rsid w:val="00891576"/>
    <w:rsid w:val="0089183C"/>
    <w:rsid w:val="00891949"/>
    <w:rsid w:val="00891B0C"/>
    <w:rsid w:val="00892216"/>
    <w:rsid w:val="0089247E"/>
    <w:rsid w:val="008925CF"/>
    <w:rsid w:val="0089265A"/>
    <w:rsid w:val="008926C1"/>
    <w:rsid w:val="008926E0"/>
    <w:rsid w:val="00892940"/>
    <w:rsid w:val="00892C87"/>
    <w:rsid w:val="00892D4F"/>
    <w:rsid w:val="00892DD0"/>
    <w:rsid w:val="00892F9A"/>
    <w:rsid w:val="0089342A"/>
    <w:rsid w:val="0089378A"/>
    <w:rsid w:val="00893A80"/>
    <w:rsid w:val="00893B00"/>
    <w:rsid w:val="00893CE6"/>
    <w:rsid w:val="00893D8A"/>
    <w:rsid w:val="00893DC9"/>
    <w:rsid w:val="008944E2"/>
    <w:rsid w:val="00894547"/>
    <w:rsid w:val="008945C9"/>
    <w:rsid w:val="00894770"/>
    <w:rsid w:val="00894821"/>
    <w:rsid w:val="00894832"/>
    <w:rsid w:val="00894865"/>
    <w:rsid w:val="00894C18"/>
    <w:rsid w:val="00894CE0"/>
    <w:rsid w:val="00894D44"/>
    <w:rsid w:val="00894F21"/>
    <w:rsid w:val="008950B9"/>
    <w:rsid w:val="0089533A"/>
    <w:rsid w:val="0089536D"/>
    <w:rsid w:val="0089538F"/>
    <w:rsid w:val="0089579D"/>
    <w:rsid w:val="00895A18"/>
    <w:rsid w:val="00895D7A"/>
    <w:rsid w:val="00895EC7"/>
    <w:rsid w:val="008961A3"/>
    <w:rsid w:val="008961E3"/>
    <w:rsid w:val="00896499"/>
    <w:rsid w:val="0089675B"/>
    <w:rsid w:val="008968E9"/>
    <w:rsid w:val="0089699D"/>
    <w:rsid w:val="00896E2D"/>
    <w:rsid w:val="00897031"/>
    <w:rsid w:val="00897224"/>
    <w:rsid w:val="008974BA"/>
    <w:rsid w:val="008974F2"/>
    <w:rsid w:val="00897567"/>
    <w:rsid w:val="008A0249"/>
    <w:rsid w:val="008A02D4"/>
    <w:rsid w:val="008A06F7"/>
    <w:rsid w:val="008A0937"/>
    <w:rsid w:val="008A0C99"/>
    <w:rsid w:val="008A0D65"/>
    <w:rsid w:val="008A0F6E"/>
    <w:rsid w:val="008A1623"/>
    <w:rsid w:val="008A1B40"/>
    <w:rsid w:val="008A1C32"/>
    <w:rsid w:val="008A1D8D"/>
    <w:rsid w:val="008A221B"/>
    <w:rsid w:val="008A22F5"/>
    <w:rsid w:val="008A234A"/>
    <w:rsid w:val="008A2511"/>
    <w:rsid w:val="008A2B25"/>
    <w:rsid w:val="008A2B54"/>
    <w:rsid w:val="008A2CD7"/>
    <w:rsid w:val="008A2CDF"/>
    <w:rsid w:val="008A2EE9"/>
    <w:rsid w:val="008A3267"/>
    <w:rsid w:val="008A33EB"/>
    <w:rsid w:val="008A34A4"/>
    <w:rsid w:val="008A35B2"/>
    <w:rsid w:val="008A3627"/>
    <w:rsid w:val="008A3900"/>
    <w:rsid w:val="008A396B"/>
    <w:rsid w:val="008A3E52"/>
    <w:rsid w:val="008A403C"/>
    <w:rsid w:val="008A40F9"/>
    <w:rsid w:val="008A42DB"/>
    <w:rsid w:val="008A4774"/>
    <w:rsid w:val="008A4A71"/>
    <w:rsid w:val="008A4D2A"/>
    <w:rsid w:val="008A4E3C"/>
    <w:rsid w:val="008A4FE2"/>
    <w:rsid w:val="008A5435"/>
    <w:rsid w:val="008A55C5"/>
    <w:rsid w:val="008A56B3"/>
    <w:rsid w:val="008A5B0F"/>
    <w:rsid w:val="008A5C31"/>
    <w:rsid w:val="008A5C8C"/>
    <w:rsid w:val="008A60DE"/>
    <w:rsid w:val="008A61BC"/>
    <w:rsid w:val="008A622D"/>
    <w:rsid w:val="008A6378"/>
    <w:rsid w:val="008A649E"/>
    <w:rsid w:val="008A6501"/>
    <w:rsid w:val="008A65A0"/>
    <w:rsid w:val="008A6691"/>
    <w:rsid w:val="008A6776"/>
    <w:rsid w:val="008A6A11"/>
    <w:rsid w:val="008A6D75"/>
    <w:rsid w:val="008A6F77"/>
    <w:rsid w:val="008A733E"/>
    <w:rsid w:val="008A7773"/>
    <w:rsid w:val="008A77FF"/>
    <w:rsid w:val="008A7896"/>
    <w:rsid w:val="008A7B76"/>
    <w:rsid w:val="008A7DFE"/>
    <w:rsid w:val="008A7E1C"/>
    <w:rsid w:val="008B03F0"/>
    <w:rsid w:val="008B0478"/>
    <w:rsid w:val="008B0566"/>
    <w:rsid w:val="008B065C"/>
    <w:rsid w:val="008B067E"/>
    <w:rsid w:val="008B0B77"/>
    <w:rsid w:val="008B11D2"/>
    <w:rsid w:val="008B1368"/>
    <w:rsid w:val="008B16CC"/>
    <w:rsid w:val="008B1985"/>
    <w:rsid w:val="008B1C99"/>
    <w:rsid w:val="008B1E12"/>
    <w:rsid w:val="008B1EDB"/>
    <w:rsid w:val="008B2747"/>
    <w:rsid w:val="008B29C5"/>
    <w:rsid w:val="008B2AA6"/>
    <w:rsid w:val="008B2AB4"/>
    <w:rsid w:val="008B2D01"/>
    <w:rsid w:val="008B2DBF"/>
    <w:rsid w:val="008B2F81"/>
    <w:rsid w:val="008B33CA"/>
    <w:rsid w:val="008B3492"/>
    <w:rsid w:val="008B3527"/>
    <w:rsid w:val="008B3641"/>
    <w:rsid w:val="008B37E9"/>
    <w:rsid w:val="008B37F2"/>
    <w:rsid w:val="008B3E1A"/>
    <w:rsid w:val="008B4473"/>
    <w:rsid w:val="008B4475"/>
    <w:rsid w:val="008B44D5"/>
    <w:rsid w:val="008B4531"/>
    <w:rsid w:val="008B4A0C"/>
    <w:rsid w:val="008B4B45"/>
    <w:rsid w:val="008B4C20"/>
    <w:rsid w:val="008B4D85"/>
    <w:rsid w:val="008B4E48"/>
    <w:rsid w:val="008B4EEB"/>
    <w:rsid w:val="008B4F1A"/>
    <w:rsid w:val="008B4F5B"/>
    <w:rsid w:val="008B5271"/>
    <w:rsid w:val="008B52CB"/>
    <w:rsid w:val="008B53CB"/>
    <w:rsid w:val="008B54BF"/>
    <w:rsid w:val="008B54DC"/>
    <w:rsid w:val="008B5B09"/>
    <w:rsid w:val="008B5B10"/>
    <w:rsid w:val="008B5BC3"/>
    <w:rsid w:val="008B5F8B"/>
    <w:rsid w:val="008B634B"/>
    <w:rsid w:val="008B6400"/>
    <w:rsid w:val="008B64D6"/>
    <w:rsid w:val="008B6708"/>
    <w:rsid w:val="008B67FC"/>
    <w:rsid w:val="008B681C"/>
    <w:rsid w:val="008B6879"/>
    <w:rsid w:val="008B6A17"/>
    <w:rsid w:val="008B6B0A"/>
    <w:rsid w:val="008B6C15"/>
    <w:rsid w:val="008B6F98"/>
    <w:rsid w:val="008B7110"/>
    <w:rsid w:val="008B7641"/>
    <w:rsid w:val="008B797C"/>
    <w:rsid w:val="008B797E"/>
    <w:rsid w:val="008B7A7F"/>
    <w:rsid w:val="008B7E84"/>
    <w:rsid w:val="008C047F"/>
    <w:rsid w:val="008C0846"/>
    <w:rsid w:val="008C08EC"/>
    <w:rsid w:val="008C0BE2"/>
    <w:rsid w:val="008C0D0C"/>
    <w:rsid w:val="008C0F6B"/>
    <w:rsid w:val="008C1032"/>
    <w:rsid w:val="008C1220"/>
    <w:rsid w:val="008C12F9"/>
    <w:rsid w:val="008C1354"/>
    <w:rsid w:val="008C142E"/>
    <w:rsid w:val="008C16F9"/>
    <w:rsid w:val="008C18C1"/>
    <w:rsid w:val="008C1C00"/>
    <w:rsid w:val="008C1EB7"/>
    <w:rsid w:val="008C1F30"/>
    <w:rsid w:val="008C2207"/>
    <w:rsid w:val="008C22D0"/>
    <w:rsid w:val="008C22FF"/>
    <w:rsid w:val="008C275B"/>
    <w:rsid w:val="008C2FC2"/>
    <w:rsid w:val="008C2FE1"/>
    <w:rsid w:val="008C30DF"/>
    <w:rsid w:val="008C3226"/>
    <w:rsid w:val="008C3291"/>
    <w:rsid w:val="008C341F"/>
    <w:rsid w:val="008C3591"/>
    <w:rsid w:val="008C3EA4"/>
    <w:rsid w:val="008C426F"/>
    <w:rsid w:val="008C4872"/>
    <w:rsid w:val="008C4E1E"/>
    <w:rsid w:val="008C4F56"/>
    <w:rsid w:val="008C4F76"/>
    <w:rsid w:val="008C505F"/>
    <w:rsid w:val="008C50F7"/>
    <w:rsid w:val="008C52A3"/>
    <w:rsid w:val="008C5373"/>
    <w:rsid w:val="008C56B9"/>
    <w:rsid w:val="008C5811"/>
    <w:rsid w:val="008C58A8"/>
    <w:rsid w:val="008C58D8"/>
    <w:rsid w:val="008C5D09"/>
    <w:rsid w:val="008C5FF4"/>
    <w:rsid w:val="008C60B3"/>
    <w:rsid w:val="008C60F5"/>
    <w:rsid w:val="008C6111"/>
    <w:rsid w:val="008C63A1"/>
    <w:rsid w:val="008C6590"/>
    <w:rsid w:val="008C66B6"/>
    <w:rsid w:val="008C69F2"/>
    <w:rsid w:val="008C6F42"/>
    <w:rsid w:val="008C7179"/>
    <w:rsid w:val="008C767B"/>
    <w:rsid w:val="008C7854"/>
    <w:rsid w:val="008C7959"/>
    <w:rsid w:val="008C7B97"/>
    <w:rsid w:val="008C7D60"/>
    <w:rsid w:val="008C7F83"/>
    <w:rsid w:val="008D01D5"/>
    <w:rsid w:val="008D0241"/>
    <w:rsid w:val="008D02A2"/>
    <w:rsid w:val="008D0391"/>
    <w:rsid w:val="008D087F"/>
    <w:rsid w:val="008D089A"/>
    <w:rsid w:val="008D0A74"/>
    <w:rsid w:val="008D0AA7"/>
    <w:rsid w:val="008D0BFA"/>
    <w:rsid w:val="008D0C22"/>
    <w:rsid w:val="008D0FD2"/>
    <w:rsid w:val="008D15EE"/>
    <w:rsid w:val="008D16D2"/>
    <w:rsid w:val="008D16D6"/>
    <w:rsid w:val="008D189D"/>
    <w:rsid w:val="008D1ADA"/>
    <w:rsid w:val="008D1CFF"/>
    <w:rsid w:val="008D1DDD"/>
    <w:rsid w:val="008D1DEA"/>
    <w:rsid w:val="008D248B"/>
    <w:rsid w:val="008D2580"/>
    <w:rsid w:val="008D26E3"/>
    <w:rsid w:val="008D2C41"/>
    <w:rsid w:val="008D3397"/>
    <w:rsid w:val="008D33C4"/>
    <w:rsid w:val="008D3504"/>
    <w:rsid w:val="008D3517"/>
    <w:rsid w:val="008D353E"/>
    <w:rsid w:val="008D3712"/>
    <w:rsid w:val="008D389F"/>
    <w:rsid w:val="008D3973"/>
    <w:rsid w:val="008D3ADE"/>
    <w:rsid w:val="008D454B"/>
    <w:rsid w:val="008D4714"/>
    <w:rsid w:val="008D4AD3"/>
    <w:rsid w:val="008D4B93"/>
    <w:rsid w:val="008D4C2E"/>
    <w:rsid w:val="008D526A"/>
    <w:rsid w:val="008D5331"/>
    <w:rsid w:val="008D55CE"/>
    <w:rsid w:val="008D565F"/>
    <w:rsid w:val="008D57D6"/>
    <w:rsid w:val="008D5970"/>
    <w:rsid w:val="008D59BB"/>
    <w:rsid w:val="008D5B53"/>
    <w:rsid w:val="008D5C13"/>
    <w:rsid w:val="008D5D93"/>
    <w:rsid w:val="008D60E2"/>
    <w:rsid w:val="008D6198"/>
    <w:rsid w:val="008D62AF"/>
    <w:rsid w:val="008D636F"/>
    <w:rsid w:val="008D63A1"/>
    <w:rsid w:val="008D6765"/>
    <w:rsid w:val="008D68A4"/>
    <w:rsid w:val="008D68E5"/>
    <w:rsid w:val="008D69EA"/>
    <w:rsid w:val="008D6AAB"/>
    <w:rsid w:val="008D6D41"/>
    <w:rsid w:val="008D6E4D"/>
    <w:rsid w:val="008D6E8A"/>
    <w:rsid w:val="008D6F2D"/>
    <w:rsid w:val="008D70AE"/>
    <w:rsid w:val="008D7139"/>
    <w:rsid w:val="008D7270"/>
    <w:rsid w:val="008D72C1"/>
    <w:rsid w:val="008D773C"/>
    <w:rsid w:val="008D7749"/>
    <w:rsid w:val="008D778F"/>
    <w:rsid w:val="008D7877"/>
    <w:rsid w:val="008D7A6A"/>
    <w:rsid w:val="008D7EF7"/>
    <w:rsid w:val="008D7FC8"/>
    <w:rsid w:val="008E0093"/>
    <w:rsid w:val="008E045A"/>
    <w:rsid w:val="008E06D6"/>
    <w:rsid w:val="008E076A"/>
    <w:rsid w:val="008E0B42"/>
    <w:rsid w:val="008E0C4E"/>
    <w:rsid w:val="008E0F1E"/>
    <w:rsid w:val="008E0FAC"/>
    <w:rsid w:val="008E1196"/>
    <w:rsid w:val="008E1721"/>
    <w:rsid w:val="008E1746"/>
    <w:rsid w:val="008E1880"/>
    <w:rsid w:val="008E1B3D"/>
    <w:rsid w:val="008E1F4E"/>
    <w:rsid w:val="008E20DC"/>
    <w:rsid w:val="008E223C"/>
    <w:rsid w:val="008E268F"/>
    <w:rsid w:val="008E27EF"/>
    <w:rsid w:val="008E2B25"/>
    <w:rsid w:val="008E32C6"/>
    <w:rsid w:val="008E3445"/>
    <w:rsid w:val="008E36AD"/>
    <w:rsid w:val="008E390D"/>
    <w:rsid w:val="008E3C68"/>
    <w:rsid w:val="008E44F0"/>
    <w:rsid w:val="008E473A"/>
    <w:rsid w:val="008E49C5"/>
    <w:rsid w:val="008E4C6A"/>
    <w:rsid w:val="008E4EE8"/>
    <w:rsid w:val="008E4FE3"/>
    <w:rsid w:val="008E52A7"/>
    <w:rsid w:val="008E532F"/>
    <w:rsid w:val="008E5640"/>
    <w:rsid w:val="008E58E0"/>
    <w:rsid w:val="008E5960"/>
    <w:rsid w:val="008E5AEB"/>
    <w:rsid w:val="008E5F4A"/>
    <w:rsid w:val="008E5F80"/>
    <w:rsid w:val="008E64EB"/>
    <w:rsid w:val="008E6713"/>
    <w:rsid w:val="008E683C"/>
    <w:rsid w:val="008E68B5"/>
    <w:rsid w:val="008E68E6"/>
    <w:rsid w:val="008E709B"/>
    <w:rsid w:val="008E72A9"/>
    <w:rsid w:val="008E7359"/>
    <w:rsid w:val="008E73A0"/>
    <w:rsid w:val="008E74EA"/>
    <w:rsid w:val="008E76C4"/>
    <w:rsid w:val="008E7855"/>
    <w:rsid w:val="008E7A39"/>
    <w:rsid w:val="008E7AF7"/>
    <w:rsid w:val="008E7DB7"/>
    <w:rsid w:val="008E7F63"/>
    <w:rsid w:val="008F0153"/>
    <w:rsid w:val="008F047C"/>
    <w:rsid w:val="008F04E8"/>
    <w:rsid w:val="008F06A1"/>
    <w:rsid w:val="008F07EA"/>
    <w:rsid w:val="008F10DD"/>
    <w:rsid w:val="008F1260"/>
    <w:rsid w:val="008F167F"/>
    <w:rsid w:val="008F17B0"/>
    <w:rsid w:val="008F17B3"/>
    <w:rsid w:val="008F193A"/>
    <w:rsid w:val="008F20DB"/>
    <w:rsid w:val="008F213D"/>
    <w:rsid w:val="008F2344"/>
    <w:rsid w:val="008F29C6"/>
    <w:rsid w:val="008F2A99"/>
    <w:rsid w:val="008F2D11"/>
    <w:rsid w:val="008F2D79"/>
    <w:rsid w:val="008F2E19"/>
    <w:rsid w:val="008F2E22"/>
    <w:rsid w:val="008F3079"/>
    <w:rsid w:val="008F30DC"/>
    <w:rsid w:val="008F32BC"/>
    <w:rsid w:val="008F3343"/>
    <w:rsid w:val="008F34F3"/>
    <w:rsid w:val="008F358F"/>
    <w:rsid w:val="008F3F2C"/>
    <w:rsid w:val="008F3FCF"/>
    <w:rsid w:val="008F407B"/>
    <w:rsid w:val="008F43C0"/>
    <w:rsid w:val="008F45B8"/>
    <w:rsid w:val="008F46A7"/>
    <w:rsid w:val="008F4A3F"/>
    <w:rsid w:val="008F4F8D"/>
    <w:rsid w:val="008F5507"/>
    <w:rsid w:val="008F55FC"/>
    <w:rsid w:val="008F5B07"/>
    <w:rsid w:val="008F5CF0"/>
    <w:rsid w:val="008F5DF7"/>
    <w:rsid w:val="008F5E0D"/>
    <w:rsid w:val="008F5ED6"/>
    <w:rsid w:val="008F66A5"/>
    <w:rsid w:val="008F677E"/>
    <w:rsid w:val="008F69A8"/>
    <w:rsid w:val="008F6F0E"/>
    <w:rsid w:val="008F6F5D"/>
    <w:rsid w:val="008F72EB"/>
    <w:rsid w:val="008F7347"/>
    <w:rsid w:val="008F748D"/>
    <w:rsid w:val="008F761F"/>
    <w:rsid w:val="008F76B4"/>
    <w:rsid w:val="008F77A1"/>
    <w:rsid w:val="008F7C90"/>
    <w:rsid w:val="008F7CAD"/>
    <w:rsid w:val="009002B2"/>
    <w:rsid w:val="009003DD"/>
    <w:rsid w:val="00900479"/>
    <w:rsid w:val="009007F7"/>
    <w:rsid w:val="0090087A"/>
    <w:rsid w:val="009009E2"/>
    <w:rsid w:val="009009EA"/>
    <w:rsid w:val="00900B85"/>
    <w:rsid w:val="00900D2C"/>
    <w:rsid w:val="00900E7E"/>
    <w:rsid w:val="00900F9E"/>
    <w:rsid w:val="00901183"/>
    <w:rsid w:val="009011C4"/>
    <w:rsid w:val="00901228"/>
    <w:rsid w:val="009015B2"/>
    <w:rsid w:val="00901654"/>
    <w:rsid w:val="0090175E"/>
    <w:rsid w:val="00901822"/>
    <w:rsid w:val="0090192C"/>
    <w:rsid w:val="00901B34"/>
    <w:rsid w:val="00901C4C"/>
    <w:rsid w:val="00901D39"/>
    <w:rsid w:val="00902018"/>
    <w:rsid w:val="009022A1"/>
    <w:rsid w:val="009023AC"/>
    <w:rsid w:val="009023C8"/>
    <w:rsid w:val="009023D4"/>
    <w:rsid w:val="0090250F"/>
    <w:rsid w:val="00902524"/>
    <w:rsid w:val="009027C8"/>
    <w:rsid w:val="00902A07"/>
    <w:rsid w:val="00903507"/>
    <w:rsid w:val="0090355E"/>
    <w:rsid w:val="0090366A"/>
    <w:rsid w:val="009036CF"/>
    <w:rsid w:val="00903761"/>
    <w:rsid w:val="009038C9"/>
    <w:rsid w:val="00903A62"/>
    <w:rsid w:val="00903B92"/>
    <w:rsid w:val="009040A8"/>
    <w:rsid w:val="0090414C"/>
    <w:rsid w:val="00904259"/>
    <w:rsid w:val="00904271"/>
    <w:rsid w:val="009042AC"/>
    <w:rsid w:val="009042F3"/>
    <w:rsid w:val="00904382"/>
    <w:rsid w:val="0090463F"/>
    <w:rsid w:val="00904719"/>
    <w:rsid w:val="009047AF"/>
    <w:rsid w:val="009047FD"/>
    <w:rsid w:val="009048AD"/>
    <w:rsid w:val="009049E5"/>
    <w:rsid w:val="00904AD0"/>
    <w:rsid w:val="00904B0E"/>
    <w:rsid w:val="00904CFF"/>
    <w:rsid w:val="00904F4F"/>
    <w:rsid w:val="00905278"/>
    <w:rsid w:val="00905492"/>
    <w:rsid w:val="009055DD"/>
    <w:rsid w:val="00905C44"/>
    <w:rsid w:val="00905DB4"/>
    <w:rsid w:val="00906266"/>
    <w:rsid w:val="00906376"/>
    <w:rsid w:val="009063A3"/>
    <w:rsid w:val="009063AA"/>
    <w:rsid w:val="0090678C"/>
    <w:rsid w:val="00906D2F"/>
    <w:rsid w:val="00906D40"/>
    <w:rsid w:val="00906F30"/>
    <w:rsid w:val="00907043"/>
    <w:rsid w:val="0090720D"/>
    <w:rsid w:val="00907273"/>
    <w:rsid w:val="009072C3"/>
    <w:rsid w:val="009075F3"/>
    <w:rsid w:val="00907895"/>
    <w:rsid w:val="00907919"/>
    <w:rsid w:val="009079A6"/>
    <w:rsid w:val="00907F10"/>
    <w:rsid w:val="00907F9D"/>
    <w:rsid w:val="009100F8"/>
    <w:rsid w:val="009102F5"/>
    <w:rsid w:val="009104F0"/>
    <w:rsid w:val="009105D4"/>
    <w:rsid w:val="009105D8"/>
    <w:rsid w:val="00910731"/>
    <w:rsid w:val="0091089C"/>
    <w:rsid w:val="0091094F"/>
    <w:rsid w:val="00910A41"/>
    <w:rsid w:val="00910BE0"/>
    <w:rsid w:val="009112AF"/>
    <w:rsid w:val="009112B4"/>
    <w:rsid w:val="00911302"/>
    <w:rsid w:val="0091132A"/>
    <w:rsid w:val="009115BD"/>
    <w:rsid w:val="009118A8"/>
    <w:rsid w:val="0091190B"/>
    <w:rsid w:val="00911AB3"/>
    <w:rsid w:val="00911B1D"/>
    <w:rsid w:val="00911BA2"/>
    <w:rsid w:val="00911D8A"/>
    <w:rsid w:val="00911DF6"/>
    <w:rsid w:val="0091255F"/>
    <w:rsid w:val="00912A35"/>
    <w:rsid w:val="00912A45"/>
    <w:rsid w:val="00912B7D"/>
    <w:rsid w:val="00913057"/>
    <w:rsid w:val="00913372"/>
    <w:rsid w:val="0091370B"/>
    <w:rsid w:val="0091378F"/>
    <w:rsid w:val="00913819"/>
    <w:rsid w:val="00913965"/>
    <w:rsid w:val="00913B57"/>
    <w:rsid w:val="00913C22"/>
    <w:rsid w:val="00913D1F"/>
    <w:rsid w:val="00913DC0"/>
    <w:rsid w:val="00913EA1"/>
    <w:rsid w:val="00914466"/>
    <w:rsid w:val="0091446B"/>
    <w:rsid w:val="009145B8"/>
    <w:rsid w:val="009146A5"/>
    <w:rsid w:val="009146DF"/>
    <w:rsid w:val="00914C18"/>
    <w:rsid w:val="00915629"/>
    <w:rsid w:val="00915650"/>
    <w:rsid w:val="00915779"/>
    <w:rsid w:val="0091587B"/>
    <w:rsid w:val="00915BBC"/>
    <w:rsid w:val="00915BE2"/>
    <w:rsid w:val="00915C86"/>
    <w:rsid w:val="0091606D"/>
    <w:rsid w:val="009160DC"/>
    <w:rsid w:val="00916176"/>
    <w:rsid w:val="0091623D"/>
    <w:rsid w:val="00916307"/>
    <w:rsid w:val="00916570"/>
    <w:rsid w:val="0091665B"/>
    <w:rsid w:val="00916879"/>
    <w:rsid w:val="009169D8"/>
    <w:rsid w:val="00916B77"/>
    <w:rsid w:val="00916BDB"/>
    <w:rsid w:val="00916DB8"/>
    <w:rsid w:val="00917448"/>
    <w:rsid w:val="009176B1"/>
    <w:rsid w:val="00917C5D"/>
    <w:rsid w:val="00917D95"/>
    <w:rsid w:val="00917EF4"/>
    <w:rsid w:val="009200D9"/>
    <w:rsid w:val="0092011A"/>
    <w:rsid w:val="00920389"/>
    <w:rsid w:val="0092042D"/>
    <w:rsid w:val="0092047C"/>
    <w:rsid w:val="00920813"/>
    <w:rsid w:val="00920885"/>
    <w:rsid w:val="009208BB"/>
    <w:rsid w:val="00920AD4"/>
    <w:rsid w:val="00920DBE"/>
    <w:rsid w:val="009211AC"/>
    <w:rsid w:val="009213D4"/>
    <w:rsid w:val="0092150F"/>
    <w:rsid w:val="00921840"/>
    <w:rsid w:val="00921920"/>
    <w:rsid w:val="00921B26"/>
    <w:rsid w:val="00921D07"/>
    <w:rsid w:val="00921E32"/>
    <w:rsid w:val="00921F5C"/>
    <w:rsid w:val="00921FE5"/>
    <w:rsid w:val="009222A8"/>
    <w:rsid w:val="0092234E"/>
    <w:rsid w:val="009224B4"/>
    <w:rsid w:val="009229B4"/>
    <w:rsid w:val="009229BA"/>
    <w:rsid w:val="00922AF1"/>
    <w:rsid w:val="00922C9E"/>
    <w:rsid w:val="00922CE8"/>
    <w:rsid w:val="00922F0A"/>
    <w:rsid w:val="009230EB"/>
    <w:rsid w:val="00923238"/>
    <w:rsid w:val="0092328D"/>
    <w:rsid w:val="00923372"/>
    <w:rsid w:val="009234E2"/>
    <w:rsid w:val="009237A1"/>
    <w:rsid w:val="00923AD4"/>
    <w:rsid w:val="00923B7A"/>
    <w:rsid w:val="00923DD2"/>
    <w:rsid w:val="0092430C"/>
    <w:rsid w:val="0092431B"/>
    <w:rsid w:val="00924B4C"/>
    <w:rsid w:val="00924B59"/>
    <w:rsid w:val="00924C4C"/>
    <w:rsid w:val="0092502C"/>
    <w:rsid w:val="00925160"/>
    <w:rsid w:val="00925181"/>
    <w:rsid w:val="00925316"/>
    <w:rsid w:val="00925424"/>
    <w:rsid w:val="0092587A"/>
    <w:rsid w:val="00925B56"/>
    <w:rsid w:val="00925DBA"/>
    <w:rsid w:val="0092614E"/>
    <w:rsid w:val="00926481"/>
    <w:rsid w:val="009268B9"/>
    <w:rsid w:val="00926975"/>
    <w:rsid w:val="00926BB7"/>
    <w:rsid w:val="00926CA3"/>
    <w:rsid w:val="00926CB2"/>
    <w:rsid w:val="00926CCE"/>
    <w:rsid w:val="00927075"/>
    <w:rsid w:val="009271A5"/>
    <w:rsid w:val="00927437"/>
    <w:rsid w:val="00927561"/>
    <w:rsid w:val="009276C5"/>
    <w:rsid w:val="009276F7"/>
    <w:rsid w:val="009278B0"/>
    <w:rsid w:val="00927C61"/>
    <w:rsid w:val="0093029E"/>
    <w:rsid w:val="00930409"/>
    <w:rsid w:val="009304A5"/>
    <w:rsid w:val="009306D5"/>
    <w:rsid w:val="0093077D"/>
    <w:rsid w:val="009309BF"/>
    <w:rsid w:val="00930A48"/>
    <w:rsid w:val="00930B7D"/>
    <w:rsid w:val="00930D03"/>
    <w:rsid w:val="00930D39"/>
    <w:rsid w:val="00931259"/>
    <w:rsid w:val="009312AF"/>
    <w:rsid w:val="0093141B"/>
    <w:rsid w:val="00931670"/>
    <w:rsid w:val="00931818"/>
    <w:rsid w:val="009318C8"/>
    <w:rsid w:val="009318D5"/>
    <w:rsid w:val="00931959"/>
    <w:rsid w:val="00931A46"/>
    <w:rsid w:val="00931BEF"/>
    <w:rsid w:val="00931C71"/>
    <w:rsid w:val="00931F83"/>
    <w:rsid w:val="00932186"/>
    <w:rsid w:val="00932493"/>
    <w:rsid w:val="00932695"/>
    <w:rsid w:val="009327C7"/>
    <w:rsid w:val="00932D24"/>
    <w:rsid w:val="0093301D"/>
    <w:rsid w:val="009330CB"/>
    <w:rsid w:val="0093331C"/>
    <w:rsid w:val="0093359A"/>
    <w:rsid w:val="00933911"/>
    <w:rsid w:val="00933EA5"/>
    <w:rsid w:val="00933EA8"/>
    <w:rsid w:val="009342B0"/>
    <w:rsid w:val="009344D0"/>
    <w:rsid w:val="00934725"/>
    <w:rsid w:val="00934921"/>
    <w:rsid w:val="00934992"/>
    <w:rsid w:val="00934D72"/>
    <w:rsid w:val="00934F1E"/>
    <w:rsid w:val="009352AF"/>
    <w:rsid w:val="00935362"/>
    <w:rsid w:val="009354B0"/>
    <w:rsid w:val="00935956"/>
    <w:rsid w:val="009359A3"/>
    <w:rsid w:val="009359BE"/>
    <w:rsid w:val="00935FC1"/>
    <w:rsid w:val="009364A6"/>
    <w:rsid w:val="00936A1D"/>
    <w:rsid w:val="00936C94"/>
    <w:rsid w:val="00936EAC"/>
    <w:rsid w:val="00936FDC"/>
    <w:rsid w:val="00937645"/>
    <w:rsid w:val="0093777B"/>
    <w:rsid w:val="009377B0"/>
    <w:rsid w:val="0093783B"/>
    <w:rsid w:val="009378F1"/>
    <w:rsid w:val="00937904"/>
    <w:rsid w:val="00937A40"/>
    <w:rsid w:val="00937CB9"/>
    <w:rsid w:val="00937D9A"/>
    <w:rsid w:val="00937E17"/>
    <w:rsid w:val="00937E51"/>
    <w:rsid w:val="00937E7D"/>
    <w:rsid w:val="00937ECD"/>
    <w:rsid w:val="00937FB6"/>
    <w:rsid w:val="00940392"/>
    <w:rsid w:val="00940781"/>
    <w:rsid w:val="0094084B"/>
    <w:rsid w:val="00940A50"/>
    <w:rsid w:val="00940BF6"/>
    <w:rsid w:val="00940C35"/>
    <w:rsid w:val="00940DE9"/>
    <w:rsid w:val="00940E11"/>
    <w:rsid w:val="00940E50"/>
    <w:rsid w:val="00940EB1"/>
    <w:rsid w:val="00941007"/>
    <w:rsid w:val="00941179"/>
    <w:rsid w:val="00941250"/>
    <w:rsid w:val="00941292"/>
    <w:rsid w:val="00941296"/>
    <w:rsid w:val="009414AC"/>
    <w:rsid w:val="00941A81"/>
    <w:rsid w:val="00941AA3"/>
    <w:rsid w:val="00941C2F"/>
    <w:rsid w:val="00941D30"/>
    <w:rsid w:val="0094218E"/>
    <w:rsid w:val="0094298D"/>
    <w:rsid w:val="00942AC2"/>
    <w:rsid w:val="00942C31"/>
    <w:rsid w:val="00942C50"/>
    <w:rsid w:val="00942CBD"/>
    <w:rsid w:val="00942DB2"/>
    <w:rsid w:val="00942DC4"/>
    <w:rsid w:val="00942E2E"/>
    <w:rsid w:val="009430F6"/>
    <w:rsid w:val="00943153"/>
    <w:rsid w:val="0094331C"/>
    <w:rsid w:val="009434F1"/>
    <w:rsid w:val="009435A1"/>
    <w:rsid w:val="009437A3"/>
    <w:rsid w:val="00943A6A"/>
    <w:rsid w:val="00943ABF"/>
    <w:rsid w:val="00943E48"/>
    <w:rsid w:val="00944101"/>
    <w:rsid w:val="00944599"/>
    <w:rsid w:val="009445E0"/>
    <w:rsid w:val="00944650"/>
    <w:rsid w:val="00944DBC"/>
    <w:rsid w:val="00944F25"/>
    <w:rsid w:val="00944F83"/>
    <w:rsid w:val="00945019"/>
    <w:rsid w:val="009454D8"/>
    <w:rsid w:val="0094557C"/>
    <w:rsid w:val="009457F8"/>
    <w:rsid w:val="00945867"/>
    <w:rsid w:val="00945DF1"/>
    <w:rsid w:val="00945EDB"/>
    <w:rsid w:val="009460A1"/>
    <w:rsid w:val="00946202"/>
    <w:rsid w:val="0094644C"/>
    <w:rsid w:val="0094649D"/>
    <w:rsid w:val="009466B2"/>
    <w:rsid w:val="00946B22"/>
    <w:rsid w:val="0094744F"/>
    <w:rsid w:val="009474A5"/>
    <w:rsid w:val="009476E1"/>
    <w:rsid w:val="00947812"/>
    <w:rsid w:val="00947986"/>
    <w:rsid w:val="00947BF0"/>
    <w:rsid w:val="00947C03"/>
    <w:rsid w:val="00947C4E"/>
    <w:rsid w:val="00947DA5"/>
    <w:rsid w:val="00950071"/>
    <w:rsid w:val="009501BF"/>
    <w:rsid w:val="009502C3"/>
    <w:rsid w:val="00950440"/>
    <w:rsid w:val="0095063D"/>
    <w:rsid w:val="0095067B"/>
    <w:rsid w:val="009509F6"/>
    <w:rsid w:val="00950BAA"/>
    <w:rsid w:val="00950E28"/>
    <w:rsid w:val="00950E34"/>
    <w:rsid w:val="0095108C"/>
    <w:rsid w:val="00951583"/>
    <w:rsid w:val="0095177A"/>
    <w:rsid w:val="009517F3"/>
    <w:rsid w:val="0095199B"/>
    <w:rsid w:val="009519CB"/>
    <w:rsid w:val="00951A84"/>
    <w:rsid w:val="00951A93"/>
    <w:rsid w:val="00951B64"/>
    <w:rsid w:val="00951D4A"/>
    <w:rsid w:val="00951DB1"/>
    <w:rsid w:val="00951E0D"/>
    <w:rsid w:val="00951E50"/>
    <w:rsid w:val="0095210C"/>
    <w:rsid w:val="009521AB"/>
    <w:rsid w:val="00952395"/>
    <w:rsid w:val="009523BE"/>
    <w:rsid w:val="0095261C"/>
    <w:rsid w:val="009526A7"/>
    <w:rsid w:val="00952856"/>
    <w:rsid w:val="00952971"/>
    <w:rsid w:val="009529C8"/>
    <w:rsid w:val="009529D7"/>
    <w:rsid w:val="00952ACE"/>
    <w:rsid w:val="00952BB4"/>
    <w:rsid w:val="00952BF9"/>
    <w:rsid w:val="00952F03"/>
    <w:rsid w:val="00953194"/>
    <w:rsid w:val="009534F8"/>
    <w:rsid w:val="00953CD5"/>
    <w:rsid w:val="00953DA1"/>
    <w:rsid w:val="009540D8"/>
    <w:rsid w:val="00954447"/>
    <w:rsid w:val="00954560"/>
    <w:rsid w:val="00954994"/>
    <w:rsid w:val="00954BEC"/>
    <w:rsid w:val="00954C2C"/>
    <w:rsid w:val="00954E7A"/>
    <w:rsid w:val="00954EA6"/>
    <w:rsid w:val="00954EFA"/>
    <w:rsid w:val="00955030"/>
    <w:rsid w:val="009550AE"/>
    <w:rsid w:val="009550CA"/>
    <w:rsid w:val="009552C9"/>
    <w:rsid w:val="00955489"/>
    <w:rsid w:val="0095561E"/>
    <w:rsid w:val="0095565A"/>
    <w:rsid w:val="009557A4"/>
    <w:rsid w:val="009558A8"/>
    <w:rsid w:val="00955953"/>
    <w:rsid w:val="009559DD"/>
    <w:rsid w:val="00955AA5"/>
    <w:rsid w:val="00955C84"/>
    <w:rsid w:val="00955DC1"/>
    <w:rsid w:val="00955F85"/>
    <w:rsid w:val="0095605D"/>
    <w:rsid w:val="0095606D"/>
    <w:rsid w:val="0095650B"/>
    <w:rsid w:val="00956530"/>
    <w:rsid w:val="0095701A"/>
    <w:rsid w:val="00957040"/>
    <w:rsid w:val="0095713D"/>
    <w:rsid w:val="009572D3"/>
    <w:rsid w:val="00957330"/>
    <w:rsid w:val="00957343"/>
    <w:rsid w:val="0095739F"/>
    <w:rsid w:val="00957576"/>
    <w:rsid w:val="009576DE"/>
    <w:rsid w:val="009578B0"/>
    <w:rsid w:val="00957DA7"/>
    <w:rsid w:val="00960041"/>
    <w:rsid w:val="0096021D"/>
    <w:rsid w:val="00960244"/>
    <w:rsid w:val="009603B6"/>
    <w:rsid w:val="00960549"/>
    <w:rsid w:val="00960CF6"/>
    <w:rsid w:val="00960D14"/>
    <w:rsid w:val="00960D98"/>
    <w:rsid w:val="00960E78"/>
    <w:rsid w:val="00960ED6"/>
    <w:rsid w:val="0096117F"/>
    <w:rsid w:val="0096129E"/>
    <w:rsid w:val="00961323"/>
    <w:rsid w:val="0096137C"/>
    <w:rsid w:val="00961467"/>
    <w:rsid w:val="009614B3"/>
    <w:rsid w:val="009616F3"/>
    <w:rsid w:val="009617CB"/>
    <w:rsid w:val="0096183C"/>
    <w:rsid w:val="00961949"/>
    <w:rsid w:val="00961AD6"/>
    <w:rsid w:val="00961E57"/>
    <w:rsid w:val="00961F8C"/>
    <w:rsid w:val="009622AD"/>
    <w:rsid w:val="00962813"/>
    <w:rsid w:val="00962827"/>
    <w:rsid w:val="0096289F"/>
    <w:rsid w:val="00962FEB"/>
    <w:rsid w:val="00963121"/>
    <w:rsid w:val="00963152"/>
    <w:rsid w:val="009632AD"/>
    <w:rsid w:val="009633C7"/>
    <w:rsid w:val="00963400"/>
    <w:rsid w:val="00963428"/>
    <w:rsid w:val="00963E7B"/>
    <w:rsid w:val="00963F2A"/>
    <w:rsid w:val="00964313"/>
    <w:rsid w:val="00964504"/>
    <w:rsid w:val="00964916"/>
    <w:rsid w:val="00964BA8"/>
    <w:rsid w:val="00964C2C"/>
    <w:rsid w:val="00964E89"/>
    <w:rsid w:val="00964FC3"/>
    <w:rsid w:val="009650CA"/>
    <w:rsid w:val="00965229"/>
    <w:rsid w:val="00965249"/>
    <w:rsid w:val="0096527E"/>
    <w:rsid w:val="0096529A"/>
    <w:rsid w:val="00965355"/>
    <w:rsid w:val="009654F9"/>
    <w:rsid w:val="009658DA"/>
    <w:rsid w:val="00965C06"/>
    <w:rsid w:val="00965C1B"/>
    <w:rsid w:val="00965D0F"/>
    <w:rsid w:val="00965D2A"/>
    <w:rsid w:val="00965D63"/>
    <w:rsid w:val="00965E13"/>
    <w:rsid w:val="00965E67"/>
    <w:rsid w:val="00965F2C"/>
    <w:rsid w:val="009660D9"/>
    <w:rsid w:val="009660DF"/>
    <w:rsid w:val="00966303"/>
    <w:rsid w:val="009663D5"/>
    <w:rsid w:val="009668F9"/>
    <w:rsid w:val="00966A39"/>
    <w:rsid w:val="00966CEB"/>
    <w:rsid w:val="00966D0A"/>
    <w:rsid w:val="00966D86"/>
    <w:rsid w:val="00966FBE"/>
    <w:rsid w:val="0096712A"/>
    <w:rsid w:val="009672CD"/>
    <w:rsid w:val="00967392"/>
    <w:rsid w:val="009674BD"/>
    <w:rsid w:val="00967875"/>
    <w:rsid w:val="0096787A"/>
    <w:rsid w:val="00967B71"/>
    <w:rsid w:val="00967BB4"/>
    <w:rsid w:val="00967C46"/>
    <w:rsid w:val="00967DD4"/>
    <w:rsid w:val="00967E37"/>
    <w:rsid w:val="00967EDE"/>
    <w:rsid w:val="00967F90"/>
    <w:rsid w:val="00967FA4"/>
    <w:rsid w:val="00967FD4"/>
    <w:rsid w:val="00970034"/>
    <w:rsid w:val="00970065"/>
    <w:rsid w:val="009700D3"/>
    <w:rsid w:val="009704A2"/>
    <w:rsid w:val="009706A7"/>
    <w:rsid w:val="009706B1"/>
    <w:rsid w:val="00970BC7"/>
    <w:rsid w:val="00971048"/>
    <w:rsid w:val="009711E6"/>
    <w:rsid w:val="0097146F"/>
    <w:rsid w:val="0097194F"/>
    <w:rsid w:val="00971A2C"/>
    <w:rsid w:val="00971BF0"/>
    <w:rsid w:val="00971E13"/>
    <w:rsid w:val="00972475"/>
    <w:rsid w:val="009725BE"/>
    <w:rsid w:val="00972844"/>
    <w:rsid w:val="009729C1"/>
    <w:rsid w:val="00972AFC"/>
    <w:rsid w:val="00972B09"/>
    <w:rsid w:val="00972B0D"/>
    <w:rsid w:val="00972E2F"/>
    <w:rsid w:val="009731D6"/>
    <w:rsid w:val="009733AE"/>
    <w:rsid w:val="00973439"/>
    <w:rsid w:val="009738CA"/>
    <w:rsid w:val="00973962"/>
    <w:rsid w:val="00973D7F"/>
    <w:rsid w:val="00973EF7"/>
    <w:rsid w:val="0097404B"/>
    <w:rsid w:val="00974353"/>
    <w:rsid w:val="009743B8"/>
    <w:rsid w:val="0097466D"/>
    <w:rsid w:val="009746AE"/>
    <w:rsid w:val="00974908"/>
    <w:rsid w:val="0097490A"/>
    <w:rsid w:val="009749DD"/>
    <w:rsid w:val="00974B04"/>
    <w:rsid w:val="00974B06"/>
    <w:rsid w:val="00974F3D"/>
    <w:rsid w:val="00974F91"/>
    <w:rsid w:val="00975338"/>
    <w:rsid w:val="0097544C"/>
    <w:rsid w:val="0097550D"/>
    <w:rsid w:val="00975A3E"/>
    <w:rsid w:val="00975A54"/>
    <w:rsid w:val="00975AB8"/>
    <w:rsid w:val="00975D94"/>
    <w:rsid w:val="00975DC5"/>
    <w:rsid w:val="00975E45"/>
    <w:rsid w:val="009760FD"/>
    <w:rsid w:val="009764CC"/>
    <w:rsid w:val="00976552"/>
    <w:rsid w:val="00976923"/>
    <w:rsid w:val="00976A6E"/>
    <w:rsid w:val="00976CB6"/>
    <w:rsid w:val="00976EEF"/>
    <w:rsid w:val="0097702B"/>
    <w:rsid w:val="00977099"/>
    <w:rsid w:val="009771F3"/>
    <w:rsid w:val="009775F2"/>
    <w:rsid w:val="009777E8"/>
    <w:rsid w:val="00977938"/>
    <w:rsid w:val="009779AE"/>
    <w:rsid w:val="009779CA"/>
    <w:rsid w:val="00977C1C"/>
    <w:rsid w:val="00977FF1"/>
    <w:rsid w:val="00980023"/>
    <w:rsid w:val="00980269"/>
    <w:rsid w:val="009804BD"/>
    <w:rsid w:val="009809CE"/>
    <w:rsid w:val="00980AF2"/>
    <w:rsid w:val="00980D56"/>
    <w:rsid w:val="00980DE0"/>
    <w:rsid w:val="00980F51"/>
    <w:rsid w:val="009813EC"/>
    <w:rsid w:val="009816FF"/>
    <w:rsid w:val="00981726"/>
    <w:rsid w:val="009818CB"/>
    <w:rsid w:val="009818D6"/>
    <w:rsid w:val="009819C5"/>
    <w:rsid w:val="009819E4"/>
    <w:rsid w:val="00981BEB"/>
    <w:rsid w:val="00981F3A"/>
    <w:rsid w:val="00981F65"/>
    <w:rsid w:val="0098201F"/>
    <w:rsid w:val="00982048"/>
    <w:rsid w:val="0098229E"/>
    <w:rsid w:val="00982435"/>
    <w:rsid w:val="00982677"/>
    <w:rsid w:val="00982783"/>
    <w:rsid w:val="00982857"/>
    <w:rsid w:val="0098293C"/>
    <w:rsid w:val="00982ABF"/>
    <w:rsid w:val="00982B56"/>
    <w:rsid w:val="00982C21"/>
    <w:rsid w:val="00982EBE"/>
    <w:rsid w:val="00982F1F"/>
    <w:rsid w:val="0098327C"/>
    <w:rsid w:val="00983387"/>
    <w:rsid w:val="0098356D"/>
    <w:rsid w:val="009836CA"/>
    <w:rsid w:val="00983882"/>
    <w:rsid w:val="00983AFA"/>
    <w:rsid w:val="00983D84"/>
    <w:rsid w:val="009841B3"/>
    <w:rsid w:val="00984265"/>
    <w:rsid w:val="0098442A"/>
    <w:rsid w:val="00984459"/>
    <w:rsid w:val="009845D0"/>
    <w:rsid w:val="009849EC"/>
    <w:rsid w:val="00984AC8"/>
    <w:rsid w:val="00984CCF"/>
    <w:rsid w:val="00984D5F"/>
    <w:rsid w:val="00984EEB"/>
    <w:rsid w:val="00985047"/>
    <w:rsid w:val="00985457"/>
    <w:rsid w:val="00985526"/>
    <w:rsid w:val="009856B8"/>
    <w:rsid w:val="00985A31"/>
    <w:rsid w:val="00985C9A"/>
    <w:rsid w:val="00985D5C"/>
    <w:rsid w:val="00985D5D"/>
    <w:rsid w:val="00985E51"/>
    <w:rsid w:val="00985F6F"/>
    <w:rsid w:val="00986104"/>
    <w:rsid w:val="00986650"/>
    <w:rsid w:val="0098687E"/>
    <w:rsid w:val="00986A1B"/>
    <w:rsid w:val="00986A5F"/>
    <w:rsid w:val="00986A91"/>
    <w:rsid w:val="00986C67"/>
    <w:rsid w:val="00986DE7"/>
    <w:rsid w:val="00986F5F"/>
    <w:rsid w:val="00986F9E"/>
    <w:rsid w:val="00987025"/>
    <w:rsid w:val="009871AA"/>
    <w:rsid w:val="009871DB"/>
    <w:rsid w:val="0098729D"/>
    <w:rsid w:val="00987819"/>
    <w:rsid w:val="0098790D"/>
    <w:rsid w:val="00987995"/>
    <w:rsid w:val="009879BD"/>
    <w:rsid w:val="00987C8A"/>
    <w:rsid w:val="00987DD1"/>
    <w:rsid w:val="0099001D"/>
    <w:rsid w:val="00990129"/>
    <w:rsid w:val="0099014F"/>
    <w:rsid w:val="0099022E"/>
    <w:rsid w:val="00990258"/>
    <w:rsid w:val="00990581"/>
    <w:rsid w:val="00990780"/>
    <w:rsid w:val="009907F8"/>
    <w:rsid w:val="0099087D"/>
    <w:rsid w:val="00990B92"/>
    <w:rsid w:val="00990C22"/>
    <w:rsid w:val="00990FD5"/>
    <w:rsid w:val="0099125D"/>
    <w:rsid w:val="00991659"/>
    <w:rsid w:val="009916D9"/>
    <w:rsid w:val="009917D5"/>
    <w:rsid w:val="00991836"/>
    <w:rsid w:val="0099187F"/>
    <w:rsid w:val="009918B8"/>
    <w:rsid w:val="00991CBB"/>
    <w:rsid w:val="00991F87"/>
    <w:rsid w:val="00992190"/>
    <w:rsid w:val="00992432"/>
    <w:rsid w:val="0099249F"/>
    <w:rsid w:val="009925EF"/>
    <w:rsid w:val="00992CA4"/>
    <w:rsid w:val="00992E9E"/>
    <w:rsid w:val="00993127"/>
    <w:rsid w:val="00993534"/>
    <w:rsid w:val="00993698"/>
    <w:rsid w:val="009936A0"/>
    <w:rsid w:val="009936DE"/>
    <w:rsid w:val="00993794"/>
    <w:rsid w:val="00993878"/>
    <w:rsid w:val="00993926"/>
    <w:rsid w:val="00993E83"/>
    <w:rsid w:val="00994025"/>
    <w:rsid w:val="009940FE"/>
    <w:rsid w:val="00994233"/>
    <w:rsid w:val="009945E1"/>
    <w:rsid w:val="0099469A"/>
    <w:rsid w:val="00994770"/>
    <w:rsid w:val="0099484E"/>
    <w:rsid w:val="00994A52"/>
    <w:rsid w:val="00994BD9"/>
    <w:rsid w:val="00994C46"/>
    <w:rsid w:val="009950BD"/>
    <w:rsid w:val="00995210"/>
    <w:rsid w:val="00995999"/>
    <w:rsid w:val="00995AF2"/>
    <w:rsid w:val="00995CBE"/>
    <w:rsid w:val="00995D7C"/>
    <w:rsid w:val="00995D86"/>
    <w:rsid w:val="00995DB0"/>
    <w:rsid w:val="00996225"/>
    <w:rsid w:val="0099630E"/>
    <w:rsid w:val="0099671E"/>
    <w:rsid w:val="00996EB2"/>
    <w:rsid w:val="00996F58"/>
    <w:rsid w:val="00996F5F"/>
    <w:rsid w:val="009971F0"/>
    <w:rsid w:val="009972A3"/>
    <w:rsid w:val="00997519"/>
    <w:rsid w:val="00997539"/>
    <w:rsid w:val="009978D1"/>
    <w:rsid w:val="00997972"/>
    <w:rsid w:val="00997C12"/>
    <w:rsid w:val="00997C5C"/>
    <w:rsid w:val="00997D6F"/>
    <w:rsid w:val="009A000F"/>
    <w:rsid w:val="009A0095"/>
    <w:rsid w:val="009A0108"/>
    <w:rsid w:val="009A012F"/>
    <w:rsid w:val="009A01C8"/>
    <w:rsid w:val="009A01FE"/>
    <w:rsid w:val="009A0268"/>
    <w:rsid w:val="009A02D2"/>
    <w:rsid w:val="009A0419"/>
    <w:rsid w:val="009A0438"/>
    <w:rsid w:val="009A08E9"/>
    <w:rsid w:val="009A094C"/>
    <w:rsid w:val="009A0E7A"/>
    <w:rsid w:val="009A1249"/>
    <w:rsid w:val="009A15E4"/>
    <w:rsid w:val="009A18CC"/>
    <w:rsid w:val="009A19D5"/>
    <w:rsid w:val="009A1D22"/>
    <w:rsid w:val="009A2128"/>
    <w:rsid w:val="009A23AA"/>
    <w:rsid w:val="009A23F0"/>
    <w:rsid w:val="009A2750"/>
    <w:rsid w:val="009A292A"/>
    <w:rsid w:val="009A2BEE"/>
    <w:rsid w:val="009A2C61"/>
    <w:rsid w:val="009A2CB3"/>
    <w:rsid w:val="009A2F96"/>
    <w:rsid w:val="009A307C"/>
    <w:rsid w:val="009A320F"/>
    <w:rsid w:val="009A3405"/>
    <w:rsid w:val="009A35C7"/>
    <w:rsid w:val="009A3699"/>
    <w:rsid w:val="009A395D"/>
    <w:rsid w:val="009A3AAF"/>
    <w:rsid w:val="009A404B"/>
    <w:rsid w:val="009A408B"/>
    <w:rsid w:val="009A420B"/>
    <w:rsid w:val="009A436C"/>
    <w:rsid w:val="009A4660"/>
    <w:rsid w:val="009A46A7"/>
    <w:rsid w:val="009A4934"/>
    <w:rsid w:val="009A4A04"/>
    <w:rsid w:val="009A4AC2"/>
    <w:rsid w:val="009A4B20"/>
    <w:rsid w:val="009A4D72"/>
    <w:rsid w:val="009A4DAB"/>
    <w:rsid w:val="009A519F"/>
    <w:rsid w:val="009A53A5"/>
    <w:rsid w:val="009A53A7"/>
    <w:rsid w:val="009A55DD"/>
    <w:rsid w:val="009A5660"/>
    <w:rsid w:val="009A5B39"/>
    <w:rsid w:val="009A629C"/>
    <w:rsid w:val="009A64C5"/>
    <w:rsid w:val="009A6542"/>
    <w:rsid w:val="009A663C"/>
    <w:rsid w:val="009A6727"/>
    <w:rsid w:val="009A6A6E"/>
    <w:rsid w:val="009A717C"/>
    <w:rsid w:val="009A7285"/>
    <w:rsid w:val="009A73A9"/>
    <w:rsid w:val="009A77C9"/>
    <w:rsid w:val="009A790B"/>
    <w:rsid w:val="009A7A17"/>
    <w:rsid w:val="009A7AE7"/>
    <w:rsid w:val="009A7CBF"/>
    <w:rsid w:val="009A7DD6"/>
    <w:rsid w:val="009A7E47"/>
    <w:rsid w:val="009A7F4C"/>
    <w:rsid w:val="009A7F78"/>
    <w:rsid w:val="009A7F7A"/>
    <w:rsid w:val="009B0026"/>
    <w:rsid w:val="009B02E8"/>
    <w:rsid w:val="009B05A2"/>
    <w:rsid w:val="009B087C"/>
    <w:rsid w:val="009B0A89"/>
    <w:rsid w:val="009B0C1E"/>
    <w:rsid w:val="009B0C52"/>
    <w:rsid w:val="009B0EF9"/>
    <w:rsid w:val="009B0F42"/>
    <w:rsid w:val="009B1087"/>
    <w:rsid w:val="009B147B"/>
    <w:rsid w:val="009B16AC"/>
    <w:rsid w:val="009B1D54"/>
    <w:rsid w:val="009B1E0A"/>
    <w:rsid w:val="009B2AD3"/>
    <w:rsid w:val="009B2E12"/>
    <w:rsid w:val="009B3184"/>
    <w:rsid w:val="009B325A"/>
    <w:rsid w:val="009B325B"/>
    <w:rsid w:val="009B3286"/>
    <w:rsid w:val="009B34C1"/>
    <w:rsid w:val="009B367C"/>
    <w:rsid w:val="009B3C0C"/>
    <w:rsid w:val="009B3EC4"/>
    <w:rsid w:val="009B3FAC"/>
    <w:rsid w:val="009B3FDE"/>
    <w:rsid w:val="009B4059"/>
    <w:rsid w:val="009B4398"/>
    <w:rsid w:val="009B4516"/>
    <w:rsid w:val="009B4619"/>
    <w:rsid w:val="009B462A"/>
    <w:rsid w:val="009B476A"/>
    <w:rsid w:val="009B4A22"/>
    <w:rsid w:val="009B4ABA"/>
    <w:rsid w:val="009B52A9"/>
    <w:rsid w:val="009B53E1"/>
    <w:rsid w:val="009B54E4"/>
    <w:rsid w:val="009B5729"/>
    <w:rsid w:val="009B5769"/>
    <w:rsid w:val="009B590F"/>
    <w:rsid w:val="009B5E83"/>
    <w:rsid w:val="009B5F66"/>
    <w:rsid w:val="009B66D5"/>
    <w:rsid w:val="009B67CA"/>
    <w:rsid w:val="009B68F0"/>
    <w:rsid w:val="009B6B96"/>
    <w:rsid w:val="009B6C19"/>
    <w:rsid w:val="009B6C66"/>
    <w:rsid w:val="009B6DC2"/>
    <w:rsid w:val="009B70C5"/>
    <w:rsid w:val="009B7309"/>
    <w:rsid w:val="009B733C"/>
    <w:rsid w:val="009B749D"/>
    <w:rsid w:val="009B74CB"/>
    <w:rsid w:val="009B79A6"/>
    <w:rsid w:val="009B7DDB"/>
    <w:rsid w:val="009B7E77"/>
    <w:rsid w:val="009C0093"/>
    <w:rsid w:val="009C00DC"/>
    <w:rsid w:val="009C011C"/>
    <w:rsid w:val="009C01EE"/>
    <w:rsid w:val="009C04FD"/>
    <w:rsid w:val="009C0863"/>
    <w:rsid w:val="009C0CC0"/>
    <w:rsid w:val="009C0E18"/>
    <w:rsid w:val="009C0EC9"/>
    <w:rsid w:val="009C1625"/>
    <w:rsid w:val="009C1651"/>
    <w:rsid w:val="009C16CD"/>
    <w:rsid w:val="009C1F0A"/>
    <w:rsid w:val="009C20A5"/>
    <w:rsid w:val="009C2593"/>
    <w:rsid w:val="009C29A8"/>
    <w:rsid w:val="009C2B56"/>
    <w:rsid w:val="009C3012"/>
    <w:rsid w:val="009C30C7"/>
    <w:rsid w:val="009C3197"/>
    <w:rsid w:val="009C360D"/>
    <w:rsid w:val="009C38EA"/>
    <w:rsid w:val="009C398D"/>
    <w:rsid w:val="009C3B1B"/>
    <w:rsid w:val="009C3C7C"/>
    <w:rsid w:val="009C3C86"/>
    <w:rsid w:val="009C3E60"/>
    <w:rsid w:val="009C42E1"/>
    <w:rsid w:val="009C46D0"/>
    <w:rsid w:val="009C47F2"/>
    <w:rsid w:val="009C4DAE"/>
    <w:rsid w:val="009C4E13"/>
    <w:rsid w:val="009C517A"/>
    <w:rsid w:val="009C5199"/>
    <w:rsid w:val="009C559A"/>
    <w:rsid w:val="009C5629"/>
    <w:rsid w:val="009C5866"/>
    <w:rsid w:val="009C5A14"/>
    <w:rsid w:val="009C5AE9"/>
    <w:rsid w:val="009C5CA1"/>
    <w:rsid w:val="009C62ED"/>
    <w:rsid w:val="009C669C"/>
    <w:rsid w:val="009C6879"/>
    <w:rsid w:val="009C68E9"/>
    <w:rsid w:val="009C6A08"/>
    <w:rsid w:val="009C6A3D"/>
    <w:rsid w:val="009C6DC1"/>
    <w:rsid w:val="009C6EB6"/>
    <w:rsid w:val="009C6F1C"/>
    <w:rsid w:val="009C750E"/>
    <w:rsid w:val="009C76A2"/>
    <w:rsid w:val="009C76BA"/>
    <w:rsid w:val="009C7895"/>
    <w:rsid w:val="009C7AF9"/>
    <w:rsid w:val="009C7B3B"/>
    <w:rsid w:val="009C7B7C"/>
    <w:rsid w:val="009C7C91"/>
    <w:rsid w:val="009C7EF8"/>
    <w:rsid w:val="009C7F14"/>
    <w:rsid w:val="009C7F7D"/>
    <w:rsid w:val="009D01CE"/>
    <w:rsid w:val="009D01EE"/>
    <w:rsid w:val="009D0373"/>
    <w:rsid w:val="009D03A4"/>
    <w:rsid w:val="009D0432"/>
    <w:rsid w:val="009D049D"/>
    <w:rsid w:val="009D04B3"/>
    <w:rsid w:val="009D052E"/>
    <w:rsid w:val="009D079D"/>
    <w:rsid w:val="009D0915"/>
    <w:rsid w:val="009D0F24"/>
    <w:rsid w:val="009D10D9"/>
    <w:rsid w:val="009D14DB"/>
    <w:rsid w:val="009D17B3"/>
    <w:rsid w:val="009D1B25"/>
    <w:rsid w:val="009D1B5D"/>
    <w:rsid w:val="009D1F06"/>
    <w:rsid w:val="009D1F75"/>
    <w:rsid w:val="009D234E"/>
    <w:rsid w:val="009D236F"/>
    <w:rsid w:val="009D2417"/>
    <w:rsid w:val="009D244C"/>
    <w:rsid w:val="009D2461"/>
    <w:rsid w:val="009D25D1"/>
    <w:rsid w:val="009D264F"/>
    <w:rsid w:val="009D27E8"/>
    <w:rsid w:val="009D2821"/>
    <w:rsid w:val="009D291F"/>
    <w:rsid w:val="009D29CC"/>
    <w:rsid w:val="009D2A22"/>
    <w:rsid w:val="009D2B18"/>
    <w:rsid w:val="009D2D5A"/>
    <w:rsid w:val="009D2D65"/>
    <w:rsid w:val="009D2E69"/>
    <w:rsid w:val="009D302F"/>
    <w:rsid w:val="009D3082"/>
    <w:rsid w:val="009D32C1"/>
    <w:rsid w:val="009D35E3"/>
    <w:rsid w:val="009D3A65"/>
    <w:rsid w:val="009D3A9D"/>
    <w:rsid w:val="009D3EB4"/>
    <w:rsid w:val="009D3ECE"/>
    <w:rsid w:val="009D40C9"/>
    <w:rsid w:val="009D43D6"/>
    <w:rsid w:val="009D44DD"/>
    <w:rsid w:val="009D469C"/>
    <w:rsid w:val="009D4760"/>
    <w:rsid w:val="009D480D"/>
    <w:rsid w:val="009D4848"/>
    <w:rsid w:val="009D4895"/>
    <w:rsid w:val="009D48FB"/>
    <w:rsid w:val="009D4EF5"/>
    <w:rsid w:val="009D4F26"/>
    <w:rsid w:val="009D4F91"/>
    <w:rsid w:val="009D5416"/>
    <w:rsid w:val="009D54EC"/>
    <w:rsid w:val="009D54EF"/>
    <w:rsid w:val="009D56BF"/>
    <w:rsid w:val="009D5844"/>
    <w:rsid w:val="009D5A41"/>
    <w:rsid w:val="009D5D8F"/>
    <w:rsid w:val="009D5DFA"/>
    <w:rsid w:val="009D5E35"/>
    <w:rsid w:val="009D5F31"/>
    <w:rsid w:val="009D61F0"/>
    <w:rsid w:val="009D647C"/>
    <w:rsid w:val="009D67DF"/>
    <w:rsid w:val="009D6CD3"/>
    <w:rsid w:val="009D6D09"/>
    <w:rsid w:val="009D6F3D"/>
    <w:rsid w:val="009D70BD"/>
    <w:rsid w:val="009D7875"/>
    <w:rsid w:val="009D78C0"/>
    <w:rsid w:val="009D7908"/>
    <w:rsid w:val="009D7984"/>
    <w:rsid w:val="009D7A80"/>
    <w:rsid w:val="009D7BCB"/>
    <w:rsid w:val="009D7C77"/>
    <w:rsid w:val="009D7DB5"/>
    <w:rsid w:val="009D7EF0"/>
    <w:rsid w:val="009E00AC"/>
    <w:rsid w:val="009E00E3"/>
    <w:rsid w:val="009E011B"/>
    <w:rsid w:val="009E0519"/>
    <w:rsid w:val="009E0907"/>
    <w:rsid w:val="009E092A"/>
    <w:rsid w:val="009E09DD"/>
    <w:rsid w:val="009E0A96"/>
    <w:rsid w:val="009E0C3C"/>
    <w:rsid w:val="009E0DBA"/>
    <w:rsid w:val="009E11DF"/>
    <w:rsid w:val="009E1207"/>
    <w:rsid w:val="009E12BB"/>
    <w:rsid w:val="009E1339"/>
    <w:rsid w:val="009E13E1"/>
    <w:rsid w:val="009E148A"/>
    <w:rsid w:val="009E18AB"/>
    <w:rsid w:val="009E1E85"/>
    <w:rsid w:val="009E1F3F"/>
    <w:rsid w:val="009E1FE6"/>
    <w:rsid w:val="009E22E2"/>
    <w:rsid w:val="009E2344"/>
    <w:rsid w:val="009E235C"/>
    <w:rsid w:val="009E26EE"/>
    <w:rsid w:val="009E27B2"/>
    <w:rsid w:val="009E2967"/>
    <w:rsid w:val="009E2A11"/>
    <w:rsid w:val="009E2FA3"/>
    <w:rsid w:val="009E31FF"/>
    <w:rsid w:val="009E364F"/>
    <w:rsid w:val="009E3755"/>
    <w:rsid w:val="009E3A88"/>
    <w:rsid w:val="009E3CD2"/>
    <w:rsid w:val="009E3E12"/>
    <w:rsid w:val="009E3E7D"/>
    <w:rsid w:val="009E3FA3"/>
    <w:rsid w:val="009E40E6"/>
    <w:rsid w:val="009E40EB"/>
    <w:rsid w:val="009E4172"/>
    <w:rsid w:val="009E41EF"/>
    <w:rsid w:val="009E475B"/>
    <w:rsid w:val="009E47BA"/>
    <w:rsid w:val="009E4B98"/>
    <w:rsid w:val="009E50BF"/>
    <w:rsid w:val="009E5402"/>
    <w:rsid w:val="009E548A"/>
    <w:rsid w:val="009E55BB"/>
    <w:rsid w:val="009E570E"/>
    <w:rsid w:val="009E5729"/>
    <w:rsid w:val="009E5945"/>
    <w:rsid w:val="009E59C3"/>
    <w:rsid w:val="009E59FC"/>
    <w:rsid w:val="009E64A3"/>
    <w:rsid w:val="009E64B4"/>
    <w:rsid w:val="009E6629"/>
    <w:rsid w:val="009E696F"/>
    <w:rsid w:val="009E6AA7"/>
    <w:rsid w:val="009E6B3D"/>
    <w:rsid w:val="009E6F00"/>
    <w:rsid w:val="009E717B"/>
    <w:rsid w:val="009E7260"/>
    <w:rsid w:val="009E748A"/>
    <w:rsid w:val="009E7732"/>
    <w:rsid w:val="009E7782"/>
    <w:rsid w:val="009E79DC"/>
    <w:rsid w:val="009E7A59"/>
    <w:rsid w:val="009E7D40"/>
    <w:rsid w:val="009E7DFD"/>
    <w:rsid w:val="009F00BB"/>
    <w:rsid w:val="009F08A5"/>
    <w:rsid w:val="009F0AA6"/>
    <w:rsid w:val="009F0F5A"/>
    <w:rsid w:val="009F0FB1"/>
    <w:rsid w:val="009F1105"/>
    <w:rsid w:val="009F13AB"/>
    <w:rsid w:val="009F1657"/>
    <w:rsid w:val="009F18A2"/>
    <w:rsid w:val="009F18EE"/>
    <w:rsid w:val="009F1D26"/>
    <w:rsid w:val="009F1D74"/>
    <w:rsid w:val="009F1FE9"/>
    <w:rsid w:val="009F22C0"/>
    <w:rsid w:val="009F259B"/>
    <w:rsid w:val="009F25B6"/>
    <w:rsid w:val="009F25D6"/>
    <w:rsid w:val="009F26C9"/>
    <w:rsid w:val="009F2805"/>
    <w:rsid w:val="009F2897"/>
    <w:rsid w:val="009F2BFF"/>
    <w:rsid w:val="009F2C53"/>
    <w:rsid w:val="009F2D06"/>
    <w:rsid w:val="009F2E10"/>
    <w:rsid w:val="009F2ED4"/>
    <w:rsid w:val="009F326D"/>
    <w:rsid w:val="009F36DE"/>
    <w:rsid w:val="009F36E1"/>
    <w:rsid w:val="009F3DD1"/>
    <w:rsid w:val="009F3EC4"/>
    <w:rsid w:val="009F3F01"/>
    <w:rsid w:val="009F41F1"/>
    <w:rsid w:val="009F45F0"/>
    <w:rsid w:val="009F48F8"/>
    <w:rsid w:val="009F49A8"/>
    <w:rsid w:val="009F4CA8"/>
    <w:rsid w:val="009F5386"/>
    <w:rsid w:val="009F5763"/>
    <w:rsid w:val="009F58BD"/>
    <w:rsid w:val="009F5AA7"/>
    <w:rsid w:val="009F5AE6"/>
    <w:rsid w:val="009F5B43"/>
    <w:rsid w:val="009F5CB1"/>
    <w:rsid w:val="009F5E84"/>
    <w:rsid w:val="009F65C4"/>
    <w:rsid w:val="009F65FD"/>
    <w:rsid w:val="009F673C"/>
    <w:rsid w:val="009F69F2"/>
    <w:rsid w:val="009F6B5A"/>
    <w:rsid w:val="009F6BA5"/>
    <w:rsid w:val="009F6BE9"/>
    <w:rsid w:val="009F6F17"/>
    <w:rsid w:val="009F6FB9"/>
    <w:rsid w:val="009F712B"/>
    <w:rsid w:val="009F720B"/>
    <w:rsid w:val="009F7283"/>
    <w:rsid w:val="009F76B3"/>
    <w:rsid w:val="009F795B"/>
    <w:rsid w:val="009F7AA2"/>
    <w:rsid w:val="009F7C39"/>
    <w:rsid w:val="009F7C40"/>
    <w:rsid w:val="009F7CB6"/>
    <w:rsid w:val="009F7D4D"/>
    <w:rsid w:val="009F7DA7"/>
    <w:rsid w:val="009F7DB0"/>
    <w:rsid w:val="009F7DD1"/>
    <w:rsid w:val="009F7FB4"/>
    <w:rsid w:val="00A001CD"/>
    <w:rsid w:val="00A00285"/>
    <w:rsid w:val="00A002E4"/>
    <w:rsid w:val="00A003CC"/>
    <w:rsid w:val="00A00A6E"/>
    <w:rsid w:val="00A00ABA"/>
    <w:rsid w:val="00A00B67"/>
    <w:rsid w:val="00A00CEC"/>
    <w:rsid w:val="00A00F3C"/>
    <w:rsid w:val="00A01364"/>
    <w:rsid w:val="00A0150B"/>
    <w:rsid w:val="00A01831"/>
    <w:rsid w:val="00A01982"/>
    <w:rsid w:val="00A019F3"/>
    <w:rsid w:val="00A01A8F"/>
    <w:rsid w:val="00A01BEB"/>
    <w:rsid w:val="00A01F74"/>
    <w:rsid w:val="00A023EF"/>
    <w:rsid w:val="00A02465"/>
    <w:rsid w:val="00A024E6"/>
    <w:rsid w:val="00A02500"/>
    <w:rsid w:val="00A02568"/>
    <w:rsid w:val="00A0261B"/>
    <w:rsid w:val="00A02A42"/>
    <w:rsid w:val="00A02A43"/>
    <w:rsid w:val="00A02B64"/>
    <w:rsid w:val="00A02BA0"/>
    <w:rsid w:val="00A02DA8"/>
    <w:rsid w:val="00A02E97"/>
    <w:rsid w:val="00A0330A"/>
    <w:rsid w:val="00A0357E"/>
    <w:rsid w:val="00A037F3"/>
    <w:rsid w:val="00A038A8"/>
    <w:rsid w:val="00A0390F"/>
    <w:rsid w:val="00A03DA2"/>
    <w:rsid w:val="00A03EC6"/>
    <w:rsid w:val="00A03F19"/>
    <w:rsid w:val="00A03F8A"/>
    <w:rsid w:val="00A03FAC"/>
    <w:rsid w:val="00A0403D"/>
    <w:rsid w:val="00A04461"/>
    <w:rsid w:val="00A0446D"/>
    <w:rsid w:val="00A044FD"/>
    <w:rsid w:val="00A045BA"/>
    <w:rsid w:val="00A04C01"/>
    <w:rsid w:val="00A04C79"/>
    <w:rsid w:val="00A04D25"/>
    <w:rsid w:val="00A04D39"/>
    <w:rsid w:val="00A04EF3"/>
    <w:rsid w:val="00A05066"/>
    <w:rsid w:val="00A0509C"/>
    <w:rsid w:val="00A050C1"/>
    <w:rsid w:val="00A050EF"/>
    <w:rsid w:val="00A0519E"/>
    <w:rsid w:val="00A0530D"/>
    <w:rsid w:val="00A0554C"/>
    <w:rsid w:val="00A055FB"/>
    <w:rsid w:val="00A05C67"/>
    <w:rsid w:val="00A05ECC"/>
    <w:rsid w:val="00A05EDB"/>
    <w:rsid w:val="00A06219"/>
    <w:rsid w:val="00A0624C"/>
    <w:rsid w:val="00A068DD"/>
    <w:rsid w:val="00A06BCE"/>
    <w:rsid w:val="00A06E94"/>
    <w:rsid w:val="00A07023"/>
    <w:rsid w:val="00A0724F"/>
    <w:rsid w:val="00A075BD"/>
    <w:rsid w:val="00A0779B"/>
    <w:rsid w:val="00A0792F"/>
    <w:rsid w:val="00A07B3E"/>
    <w:rsid w:val="00A07BCF"/>
    <w:rsid w:val="00A10171"/>
    <w:rsid w:val="00A10423"/>
    <w:rsid w:val="00A10450"/>
    <w:rsid w:val="00A104ED"/>
    <w:rsid w:val="00A1074F"/>
    <w:rsid w:val="00A10819"/>
    <w:rsid w:val="00A1088E"/>
    <w:rsid w:val="00A108FA"/>
    <w:rsid w:val="00A10965"/>
    <w:rsid w:val="00A10C16"/>
    <w:rsid w:val="00A10C72"/>
    <w:rsid w:val="00A10ED8"/>
    <w:rsid w:val="00A10F60"/>
    <w:rsid w:val="00A10FC2"/>
    <w:rsid w:val="00A11156"/>
    <w:rsid w:val="00A1119B"/>
    <w:rsid w:val="00A1157E"/>
    <w:rsid w:val="00A11634"/>
    <w:rsid w:val="00A11C1E"/>
    <w:rsid w:val="00A11C68"/>
    <w:rsid w:val="00A11D5C"/>
    <w:rsid w:val="00A11D8D"/>
    <w:rsid w:val="00A120AE"/>
    <w:rsid w:val="00A1247B"/>
    <w:rsid w:val="00A127B8"/>
    <w:rsid w:val="00A12865"/>
    <w:rsid w:val="00A12BDD"/>
    <w:rsid w:val="00A12D4E"/>
    <w:rsid w:val="00A12FB2"/>
    <w:rsid w:val="00A13361"/>
    <w:rsid w:val="00A1347E"/>
    <w:rsid w:val="00A13684"/>
    <w:rsid w:val="00A1392C"/>
    <w:rsid w:val="00A13AD4"/>
    <w:rsid w:val="00A13B2F"/>
    <w:rsid w:val="00A13B9C"/>
    <w:rsid w:val="00A13C49"/>
    <w:rsid w:val="00A13E20"/>
    <w:rsid w:val="00A1405C"/>
    <w:rsid w:val="00A14B8A"/>
    <w:rsid w:val="00A14CB9"/>
    <w:rsid w:val="00A14CE2"/>
    <w:rsid w:val="00A14D02"/>
    <w:rsid w:val="00A14E28"/>
    <w:rsid w:val="00A15061"/>
    <w:rsid w:val="00A151C5"/>
    <w:rsid w:val="00A1520B"/>
    <w:rsid w:val="00A152DB"/>
    <w:rsid w:val="00A15670"/>
    <w:rsid w:val="00A15673"/>
    <w:rsid w:val="00A157F2"/>
    <w:rsid w:val="00A15B23"/>
    <w:rsid w:val="00A160C9"/>
    <w:rsid w:val="00A1617D"/>
    <w:rsid w:val="00A161A3"/>
    <w:rsid w:val="00A162D4"/>
    <w:rsid w:val="00A163D8"/>
    <w:rsid w:val="00A16505"/>
    <w:rsid w:val="00A1670D"/>
    <w:rsid w:val="00A1689C"/>
    <w:rsid w:val="00A168BD"/>
    <w:rsid w:val="00A16BEB"/>
    <w:rsid w:val="00A16C36"/>
    <w:rsid w:val="00A16CFF"/>
    <w:rsid w:val="00A16EC4"/>
    <w:rsid w:val="00A17309"/>
    <w:rsid w:val="00A17349"/>
    <w:rsid w:val="00A1737C"/>
    <w:rsid w:val="00A1774B"/>
    <w:rsid w:val="00A17B1E"/>
    <w:rsid w:val="00A2018F"/>
    <w:rsid w:val="00A20335"/>
    <w:rsid w:val="00A2062E"/>
    <w:rsid w:val="00A2065D"/>
    <w:rsid w:val="00A206B5"/>
    <w:rsid w:val="00A20C10"/>
    <w:rsid w:val="00A20E92"/>
    <w:rsid w:val="00A20F26"/>
    <w:rsid w:val="00A20F27"/>
    <w:rsid w:val="00A213FA"/>
    <w:rsid w:val="00A21EC4"/>
    <w:rsid w:val="00A21EE4"/>
    <w:rsid w:val="00A21F8C"/>
    <w:rsid w:val="00A21FC1"/>
    <w:rsid w:val="00A222FE"/>
    <w:rsid w:val="00A22474"/>
    <w:rsid w:val="00A22575"/>
    <w:rsid w:val="00A22659"/>
    <w:rsid w:val="00A22865"/>
    <w:rsid w:val="00A228E8"/>
    <w:rsid w:val="00A22DB6"/>
    <w:rsid w:val="00A22E54"/>
    <w:rsid w:val="00A22FFC"/>
    <w:rsid w:val="00A231CE"/>
    <w:rsid w:val="00A236B2"/>
    <w:rsid w:val="00A237BD"/>
    <w:rsid w:val="00A23855"/>
    <w:rsid w:val="00A239A7"/>
    <w:rsid w:val="00A23DE0"/>
    <w:rsid w:val="00A240DA"/>
    <w:rsid w:val="00A24453"/>
    <w:rsid w:val="00A24521"/>
    <w:rsid w:val="00A2470C"/>
    <w:rsid w:val="00A24BD7"/>
    <w:rsid w:val="00A24C39"/>
    <w:rsid w:val="00A24F3F"/>
    <w:rsid w:val="00A250B6"/>
    <w:rsid w:val="00A25167"/>
    <w:rsid w:val="00A25371"/>
    <w:rsid w:val="00A2590A"/>
    <w:rsid w:val="00A25924"/>
    <w:rsid w:val="00A25937"/>
    <w:rsid w:val="00A2597D"/>
    <w:rsid w:val="00A25C1E"/>
    <w:rsid w:val="00A25E6E"/>
    <w:rsid w:val="00A26026"/>
    <w:rsid w:val="00A2611E"/>
    <w:rsid w:val="00A2614C"/>
    <w:rsid w:val="00A262FD"/>
    <w:rsid w:val="00A26871"/>
    <w:rsid w:val="00A268E5"/>
    <w:rsid w:val="00A269C9"/>
    <w:rsid w:val="00A26C31"/>
    <w:rsid w:val="00A26C43"/>
    <w:rsid w:val="00A26DFF"/>
    <w:rsid w:val="00A26EF4"/>
    <w:rsid w:val="00A26F06"/>
    <w:rsid w:val="00A27089"/>
    <w:rsid w:val="00A2721D"/>
    <w:rsid w:val="00A27354"/>
    <w:rsid w:val="00A273B1"/>
    <w:rsid w:val="00A27436"/>
    <w:rsid w:val="00A2751D"/>
    <w:rsid w:val="00A276DE"/>
    <w:rsid w:val="00A277CC"/>
    <w:rsid w:val="00A27862"/>
    <w:rsid w:val="00A2789C"/>
    <w:rsid w:val="00A27A63"/>
    <w:rsid w:val="00A27D32"/>
    <w:rsid w:val="00A27E36"/>
    <w:rsid w:val="00A27F18"/>
    <w:rsid w:val="00A301E2"/>
    <w:rsid w:val="00A30243"/>
    <w:rsid w:val="00A3038B"/>
    <w:rsid w:val="00A304CC"/>
    <w:rsid w:val="00A30529"/>
    <w:rsid w:val="00A30600"/>
    <w:rsid w:val="00A308A5"/>
    <w:rsid w:val="00A3137B"/>
    <w:rsid w:val="00A3154E"/>
    <w:rsid w:val="00A317AB"/>
    <w:rsid w:val="00A31A79"/>
    <w:rsid w:val="00A31A9D"/>
    <w:rsid w:val="00A3211F"/>
    <w:rsid w:val="00A32138"/>
    <w:rsid w:val="00A321CC"/>
    <w:rsid w:val="00A325B8"/>
    <w:rsid w:val="00A33061"/>
    <w:rsid w:val="00A330BB"/>
    <w:rsid w:val="00A33147"/>
    <w:rsid w:val="00A335E7"/>
    <w:rsid w:val="00A3399F"/>
    <w:rsid w:val="00A33C55"/>
    <w:rsid w:val="00A33D96"/>
    <w:rsid w:val="00A3411D"/>
    <w:rsid w:val="00A342A3"/>
    <w:rsid w:val="00A34507"/>
    <w:rsid w:val="00A3472F"/>
    <w:rsid w:val="00A34740"/>
    <w:rsid w:val="00A3476E"/>
    <w:rsid w:val="00A347BE"/>
    <w:rsid w:val="00A3489E"/>
    <w:rsid w:val="00A34B6D"/>
    <w:rsid w:val="00A34D41"/>
    <w:rsid w:val="00A34E3B"/>
    <w:rsid w:val="00A35167"/>
    <w:rsid w:val="00A357AE"/>
    <w:rsid w:val="00A35BE6"/>
    <w:rsid w:val="00A35CDA"/>
    <w:rsid w:val="00A35E21"/>
    <w:rsid w:val="00A36421"/>
    <w:rsid w:val="00A36685"/>
    <w:rsid w:val="00A3671C"/>
    <w:rsid w:val="00A36C52"/>
    <w:rsid w:val="00A36CF1"/>
    <w:rsid w:val="00A37556"/>
    <w:rsid w:val="00A3760C"/>
    <w:rsid w:val="00A377E7"/>
    <w:rsid w:val="00A378D0"/>
    <w:rsid w:val="00A37A4F"/>
    <w:rsid w:val="00A37B25"/>
    <w:rsid w:val="00A37CD5"/>
    <w:rsid w:val="00A37EAC"/>
    <w:rsid w:val="00A37FB2"/>
    <w:rsid w:val="00A405A0"/>
    <w:rsid w:val="00A406E7"/>
    <w:rsid w:val="00A4088B"/>
    <w:rsid w:val="00A40D90"/>
    <w:rsid w:val="00A40E79"/>
    <w:rsid w:val="00A4109E"/>
    <w:rsid w:val="00A41281"/>
    <w:rsid w:val="00A41331"/>
    <w:rsid w:val="00A414B0"/>
    <w:rsid w:val="00A4150D"/>
    <w:rsid w:val="00A4183C"/>
    <w:rsid w:val="00A41AD1"/>
    <w:rsid w:val="00A41AEE"/>
    <w:rsid w:val="00A41D4F"/>
    <w:rsid w:val="00A41EB0"/>
    <w:rsid w:val="00A42024"/>
    <w:rsid w:val="00A4208D"/>
    <w:rsid w:val="00A42127"/>
    <w:rsid w:val="00A421A3"/>
    <w:rsid w:val="00A422C2"/>
    <w:rsid w:val="00A42354"/>
    <w:rsid w:val="00A4245F"/>
    <w:rsid w:val="00A424C3"/>
    <w:rsid w:val="00A424E7"/>
    <w:rsid w:val="00A4252D"/>
    <w:rsid w:val="00A42E96"/>
    <w:rsid w:val="00A433FE"/>
    <w:rsid w:val="00A43407"/>
    <w:rsid w:val="00A43879"/>
    <w:rsid w:val="00A43918"/>
    <w:rsid w:val="00A43D5D"/>
    <w:rsid w:val="00A440DD"/>
    <w:rsid w:val="00A4420C"/>
    <w:rsid w:val="00A443AE"/>
    <w:rsid w:val="00A44681"/>
    <w:rsid w:val="00A447FC"/>
    <w:rsid w:val="00A448EC"/>
    <w:rsid w:val="00A44CE9"/>
    <w:rsid w:val="00A44F17"/>
    <w:rsid w:val="00A451C0"/>
    <w:rsid w:val="00A4529D"/>
    <w:rsid w:val="00A452B8"/>
    <w:rsid w:val="00A452C6"/>
    <w:rsid w:val="00A455C3"/>
    <w:rsid w:val="00A45A8B"/>
    <w:rsid w:val="00A45C1D"/>
    <w:rsid w:val="00A4604E"/>
    <w:rsid w:val="00A46065"/>
    <w:rsid w:val="00A4616C"/>
    <w:rsid w:val="00A46A33"/>
    <w:rsid w:val="00A46D0A"/>
    <w:rsid w:val="00A46DAC"/>
    <w:rsid w:val="00A46E48"/>
    <w:rsid w:val="00A470D9"/>
    <w:rsid w:val="00A473D7"/>
    <w:rsid w:val="00A4761A"/>
    <w:rsid w:val="00A47942"/>
    <w:rsid w:val="00A47C5D"/>
    <w:rsid w:val="00A47D54"/>
    <w:rsid w:val="00A47DB4"/>
    <w:rsid w:val="00A47EE5"/>
    <w:rsid w:val="00A5010A"/>
    <w:rsid w:val="00A5041C"/>
    <w:rsid w:val="00A506B1"/>
    <w:rsid w:val="00A507F6"/>
    <w:rsid w:val="00A509A8"/>
    <w:rsid w:val="00A50C3A"/>
    <w:rsid w:val="00A50C61"/>
    <w:rsid w:val="00A51012"/>
    <w:rsid w:val="00A5115D"/>
    <w:rsid w:val="00A511C0"/>
    <w:rsid w:val="00A511F6"/>
    <w:rsid w:val="00A5121A"/>
    <w:rsid w:val="00A512CB"/>
    <w:rsid w:val="00A51402"/>
    <w:rsid w:val="00A5146C"/>
    <w:rsid w:val="00A51522"/>
    <w:rsid w:val="00A51578"/>
    <w:rsid w:val="00A516F1"/>
    <w:rsid w:val="00A518B7"/>
    <w:rsid w:val="00A5199E"/>
    <w:rsid w:val="00A51C1A"/>
    <w:rsid w:val="00A51C9A"/>
    <w:rsid w:val="00A52375"/>
    <w:rsid w:val="00A523AC"/>
    <w:rsid w:val="00A523B4"/>
    <w:rsid w:val="00A5258E"/>
    <w:rsid w:val="00A52599"/>
    <w:rsid w:val="00A52622"/>
    <w:rsid w:val="00A52B8C"/>
    <w:rsid w:val="00A52C48"/>
    <w:rsid w:val="00A52CA8"/>
    <w:rsid w:val="00A52E02"/>
    <w:rsid w:val="00A5300A"/>
    <w:rsid w:val="00A5311B"/>
    <w:rsid w:val="00A535DB"/>
    <w:rsid w:val="00A53B3D"/>
    <w:rsid w:val="00A53C3B"/>
    <w:rsid w:val="00A53DB5"/>
    <w:rsid w:val="00A53DD0"/>
    <w:rsid w:val="00A53F04"/>
    <w:rsid w:val="00A544CE"/>
    <w:rsid w:val="00A544D5"/>
    <w:rsid w:val="00A55187"/>
    <w:rsid w:val="00A555C9"/>
    <w:rsid w:val="00A555F2"/>
    <w:rsid w:val="00A5578A"/>
    <w:rsid w:val="00A55844"/>
    <w:rsid w:val="00A5598E"/>
    <w:rsid w:val="00A559CE"/>
    <w:rsid w:val="00A55ACC"/>
    <w:rsid w:val="00A55B28"/>
    <w:rsid w:val="00A55C8A"/>
    <w:rsid w:val="00A55F3C"/>
    <w:rsid w:val="00A5605F"/>
    <w:rsid w:val="00A56190"/>
    <w:rsid w:val="00A56520"/>
    <w:rsid w:val="00A565D5"/>
    <w:rsid w:val="00A566DC"/>
    <w:rsid w:val="00A566DE"/>
    <w:rsid w:val="00A5692A"/>
    <w:rsid w:val="00A56A1B"/>
    <w:rsid w:val="00A56BD1"/>
    <w:rsid w:val="00A56DFC"/>
    <w:rsid w:val="00A5700F"/>
    <w:rsid w:val="00A5711F"/>
    <w:rsid w:val="00A578C7"/>
    <w:rsid w:val="00A578F5"/>
    <w:rsid w:val="00A57A07"/>
    <w:rsid w:val="00A57D74"/>
    <w:rsid w:val="00A60078"/>
    <w:rsid w:val="00A60ADD"/>
    <w:rsid w:val="00A60C27"/>
    <w:rsid w:val="00A60C8A"/>
    <w:rsid w:val="00A60E2E"/>
    <w:rsid w:val="00A60E4F"/>
    <w:rsid w:val="00A61087"/>
    <w:rsid w:val="00A61918"/>
    <w:rsid w:val="00A61972"/>
    <w:rsid w:val="00A619BA"/>
    <w:rsid w:val="00A619C8"/>
    <w:rsid w:val="00A61CBA"/>
    <w:rsid w:val="00A61D09"/>
    <w:rsid w:val="00A61EC9"/>
    <w:rsid w:val="00A62161"/>
    <w:rsid w:val="00A62326"/>
    <w:rsid w:val="00A62437"/>
    <w:rsid w:val="00A63065"/>
    <w:rsid w:val="00A63156"/>
    <w:rsid w:val="00A63939"/>
    <w:rsid w:val="00A639F2"/>
    <w:rsid w:val="00A63A14"/>
    <w:rsid w:val="00A63D07"/>
    <w:rsid w:val="00A64241"/>
    <w:rsid w:val="00A6469D"/>
    <w:rsid w:val="00A64845"/>
    <w:rsid w:val="00A64A73"/>
    <w:rsid w:val="00A64E9B"/>
    <w:rsid w:val="00A64F35"/>
    <w:rsid w:val="00A65179"/>
    <w:rsid w:val="00A6520F"/>
    <w:rsid w:val="00A652B9"/>
    <w:rsid w:val="00A6530A"/>
    <w:rsid w:val="00A65399"/>
    <w:rsid w:val="00A65423"/>
    <w:rsid w:val="00A65442"/>
    <w:rsid w:val="00A65614"/>
    <w:rsid w:val="00A6574F"/>
    <w:rsid w:val="00A65A92"/>
    <w:rsid w:val="00A65C0E"/>
    <w:rsid w:val="00A65C2C"/>
    <w:rsid w:val="00A65C35"/>
    <w:rsid w:val="00A65D78"/>
    <w:rsid w:val="00A65EE9"/>
    <w:rsid w:val="00A65FA0"/>
    <w:rsid w:val="00A65FD9"/>
    <w:rsid w:val="00A667B1"/>
    <w:rsid w:val="00A66860"/>
    <w:rsid w:val="00A668B9"/>
    <w:rsid w:val="00A66B2A"/>
    <w:rsid w:val="00A66D37"/>
    <w:rsid w:val="00A66F41"/>
    <w:rsid w:val="00A66FD0"/>
    <w:rsid w:val="00A670B6"/>
    <w:rsid w:val="00A67251"/>
    <w:rsid w:val="00A67308"/>
    <w:rsid w:val="00A67690"/>
    <w:rsid w:val="00A6792E"/>
    <w:rsid w:val="00A67ABD"/>
    <w:rsid w:val="00A67AC6"/>
    <w:rsid w:val="00A67B57"/>
    <w:rsid w:val="00A67E00"/>
    <w:rsid w:val="00A67E59"/>
    <w:rsid w:val="00A7014E"/>
    <w:rsid w:val="00A70526"/>
    <w:rsid w:val="00A7056A"/>
    <w:rsid w:val="00A7060B"/>
    <w:rsid w:val="00A706EA"/>
    <w:rsid w:val="00A708D0"/>
    <w:rsid w:val="00A70D66"/>
    <w:rsid w:val="00A70DF7"/>
    <w:rsid w:val="00A70FDB"/>
    <w:rsid w:val="00A7113F"/>
    <w:rsid w:val="00A71288"/>
    <w:rsid w:val="00A7145F"/>
    <w:rsid w:val="00A714E3"/>
    <w:rsid w:val="00A718F9"/>
    <w:rsid w:val="00A71A86"/>
    <w:rsid w:val="00A71B1F"/>
    <w:rsid w:val="00A71C03"/>
    <w:rsid w:val="00A71EC3"/>
    <w:rsid w:val="00A7236C"/>
    <w:rsid w:val="00A724F3"/>
    <w:rsid w:val="00A726C3"/>
    <w:rsid w:val="00A72902"/>
    <w:rsid w:val="00A730BB"/>
    <w:rsid w:val="00A73227"/>
    <w:rsid w:val="00A7333D"/>
    <w:rsid w:val="00A7350E"/>
    <w:rsid w:val="00A737C3"/>
    <w:rsid w:val="00A73AE9"/>
    <w:rsid w:val="00A73B82"/>
    <w:rsid w:val="00A73ECE"/>
    <w:rsid w:val="00A73F2A"/>
    <w:rsid w:val="00A7440A"/>
    <w:rsid w:val="00A7476B"/>
    <w:rsid w:val="00A748D7"/>
    <w:rsid w:val="00A74904"/>
    <w:rsid w:val="00A74941"/>
    <w:rsid w:val="00A74E88"/>
    <w:rsid w:val="00A7532D"/>
    <w:rsid w:val="00A75374"/>
    <w:rsid w:val="00A754E9"/>
    <w:rsid w:val="00A7553E"/>
    <w:rsid w:val="00A7555E"/>
    <w:rsid w:val="00A755E4"/>
    <w:rsid w:val="00A75DAB"/>
    <w:rsid w:val="00A76064"/>
    <w:rsid w:val="00A769EF"/>
    <w:rsid w:val="00A76B5A"/>
    <w:rsid w:val="00A76C64"/>
    <w:rsid w:val="00A76F62"/>
    <w:rsid w:val="00A76F89"/>
    <w:rsid w:val="00A76F93"/>
    <w:rsid w:val="00A779F6"/>
    <w:rsid w:val="00A77B37"/>
    <w:rsid w:val="00A77B64"/>
    <w:rsid w:val="00A77B74"/>
    <w:rsid w:val="00A77CA8"/>
    <w:rsid w:val="00A77CFD"/>
    <w:rsid w:val="00A77DBA"/>
    <w:rsid w:val="00A800F9"/>
    <w:rsid w:val="00A80204"/>
    <w:rsid w:val="00A8030E"/>
    <w:rsid w:val="00A80402"/>
    <w:rsid w:val="00A80518"/>
    <w:rsid w:val="00A80BEB"/>
    <w:rsid w:val="00A80E99"/>
    <w:rsid w:val="00A80FF7"/>
    <w:rsid w:val="00A810FE"/>
    <w:rsid w:val="00A813DA"/>
    <w:rsid w:val="00A81442"/>
    <w:rsid w:val="00A81495"/>
    <w:rsid w:val="00A81910"/>
    <w:rsid w:val="00A81A6C"/>
    <w:rsid w:val="00A81C2E"/>
    <w:rsid w:val="00A81D86"/>
    <w:rsid w:val="00A81D8D"/>
    <w:rsid w:val="00A81E5C"/>
    <w:rsid w:val="00A81E8D"/>
    <w:rsid w:val="00A8253C"/>
    <w:rsid w:val="00A82675"/>
    <w:rsid w:val="00A82890"/>
    <w:rsid w:val="00A82AC8"/>
    <w:rsid w:val="00A82DE9"/>
    <w:rsid w:val="00A82EDB"/>
    <w:rsid w:val="00A82F32"/>
    <w:rsid w:val="00A82F8C"/>
    <w:rsid w:val="00A830A7"/>
    <w:rsid w:val="00A835CD"/>
    <w:rsid w:val="00A83697"/>
    <w:rsid w:val="00A836B9"/>
    <w:rsid w:val="00A83710"/>
    <w:rsid w:val="00A83873"/>
    <w:rsid w:val="00A8393D"/>
    <w:rsid w:val="00A83A74"/>
    <w:rsid w:val="00A84178"/>
    <w:rsid w:val="00A843E8"/>
    <w:rsid w:val="00A84AFA"/>
    <w:rsid w:val="00A84B3E"/>
    <w:rsid w:val="00A84C26"/>
    <w:rsid w:val="00A84CD7"/>
    <w:rsid w:val="00A84F09"/>
    <w:rsid w:val="00A84F5F"/>
    <w:rsid w:val="00A8532F"/>
    <w:rsid w:val="00A855B8"/>
    <w:rsid w:val="00A85991"/>
    <w:rsid w:val="00A85C3B"/>
    <w:rsid w:val="00A85C68"/>
    <w:rsid w:val="00A85D15"/>
    <w:rsid w:val="00A85E31"/>
    <w:rsid w:val="00A85E58"/>
    <w:rsid w:val="00A8609A"/>
    <w:rsid w:val="00A86236"/>
    <w:rsid w:val="00A865A9"/>
    <w:rsid w:val="00A865CA"/>
    <w:rsid w:val="00A865E5"/>
    <w:rsid w:val="00A86654"/>
    <w:rsid w:val="00A867C3"/>
    <w:rsid w:val="00A867F4"/>
    <w:rsid w:val="00A86AC3"/>
    <w:rsid w:val="00A86E2F"/>
    <w:rsid w:val="00A86F4B"/>
    <w:rsid w:val="00A8713B"/>
    <w:rsid w:val="00A87304"/>
    <w:rsid w:val="00A87653"/>
    <w:rsid w:val="00A876C2"/>
    <w:rsid w:val="00A876C3"/>
    <w:rsid w:val="00A877E6"/>
    <w:rsid w:val="00A879B9"/>
    <w:rsid w:val="00A902CD"/>
    <w:rsid w:val="00A902DF"/>
    <w:rsid w:val="00A90404"/>
    <w:rsid w:val="00A90492"/>
    <w:rsid w:val="00A90661"/>
    <w:rsid w:val="00A9091D"/>
    <w:rsid w:val="00A909EC"/>
    <w:rsid w:val="00A90C67"/>
    <w:rsid w:val="00A90CE9"/>
    <w:rsid w:val="00A90D3E"/>
    <w:rsid w:val="00A90EE5"/>
    <w:rsid w:val="00A910BF"/>
    <w:rsid w:val="00A9136E"/>
    <w:rsid w:val="00A91425"/>
    <w:rsid w:val="00A9148A"/>
    <w:rsid w:val="00A915C3"/>
    <w:rsid w:val="00A916B1"/>
    <w:rsid w:val="00A91820"/>
    <w:rsid w:val="00A919E1"/>
    <w:rsid w:val="00A91A27"/>
    <w:rsid w:val="00A91EEE"/>
    <w:rsid w:val="00A921D2"/>
    <w:rsid w:val="00A92361"/>
    <w:rsid w:val="00A92428"/>
    <w:rsid w:val="00A9243F"/>
    <w:rsid w:val="00A9246E"/>
    <w:rsid w:val="00A92A02"/>
    <w:rsid w:val="00A92A4D"/>
    <w:rsid w:val="00A92B9D"/>
    <w:rsid w:val="00A92CF2"/>
    <w:rsid w:val="00A92FFE"/>
    <w:rsid w:val="00A9313A"/>
    <w:rsid w:val="00A93575"/>
    <w:rsid w:val="00A935EF"/>
    <w:rsid w:val="00A93845"/>
    <w:rsid w:val="00A93A40"/>
    <w:rsid w:val="00A93BBC"/>
    <w:rsid w:val="00A93CE4"/>
    <w:rsid w:val="00A93ED7"/>
    <w:rsid w:val="00A93FAB"/>
    <w:rsid w:val="00A94860"/>
    <w:rsid w:val="00A948EC"/>
    <w:rsid w:val="00A948FC"/>
    <w:rsid w:val="00A949FE"/>
    <w:rsid w:val="00A94B11"/>
    <w:rsid w:val="00A951D9"/>
    <w:rsid w:val="00A95849"/>
    <w:rsid w:val="00A9595A"/>
    <w:rsid w:val="00A95BA0"/>
    <w:rsid w:val="00A95D0D"/>
    <w:rsid w:val="00A95D30"/>
    <w:rsid w:val="00A95ED7"/>
    <w:rsid w:val="00A9615F"/>
    <w:rsid w:val="00A96358"/>
    <w:rsid w:val="00A96703"/>
    <w:rsid w:val="00A9674B"/>
    <w:rsid w:val="00A96ADA"/>
    <w:rsid w:val="00A96B43"/>
    <w:rsid w:val="00A96EF0"/>
    <w:rsid w:val="00A971E4"/>
    <w:rsid w:val="00A97254"/>
    <w:rsid w:val="00A973F5"/>
    <w:rsid w:val="00A97400"/>
    <w:rsid w:val="00A97613"/>
    <w:rsid w:val="00A97C34"/>
    <w:rsid w:val="00A97C8F"/>
    <w:rsid w:val="00A97D08"/>
    <w:rsid w:val="00A97E7B"/>
    <w:rsid w:val="00AA00F9"/>
    <w:rsid w:val="00AA0108"/>
    <w:rsid w:val="00AA043E"/>
    <w:rsid w:val="00AA0738"/>
    <w:rsid w:val="00AA0FCF"/>
    <w:rsid w:val="00AA1213"/>
    <w:rsid w:val="00AA12BD"/>
    <w:rsid w:val="00AA1527"/>
    <w:rsid w:val="00AA160D"/>
    <w:rsid w:val="00AA1758"/>
    <w:rsid w:val="00AA187A"/>
    <w:rsid w:val="00AA18AE"/>
    <w:rsid w:val="00AA1BED"/>
    <w:rsid w:val="00AA1C12"/>
    <w:rsid w:val="00AA1C18"/>
    <w:rsid w:val="00AA1C2E"/>
    <w:rsid w:val="00AA21EB"/>
    <w:rsid w:val="00AA23A3"/>
    <w:rsid w:val="00AA23AD"/>
    <w:rsid w:val="00AA27ED"/>
    <w:rsid w:val="00AA2D5C"/>
    <w:rsid w:val="00AA2E9A"/>
    <w:rsid w:val="00AA2F1B"/>
    <w:rsid w:val="00AA307E"/>
    <w:rsid w:val="00AA31BE"/>
    <w:rsid w:val="00AA33B0"/>
    <w:rsid w:val="00AA33FE"/>
    <w:rsid w:val="00AA361F"/>
    <w:rsid w:val="00AA3665"/>
    <w:rsid w:val="00AA389E"/>
    <w:rsid w:val="00AA393F"/>
    <w:rsid w:val="00AA3A4F"/>
    <w:rsid w:val="00AA3B41"/>
    <w:rsid w:val="00AA3BDC"/>
    <w:rsid w:val="00AA3C83"/>
    <w:rsid w:val="00AA3CAF"/>
    <w:rsid w:val="00AA3F12"/>
    <w:rsid w:val="00AA3FCB"/>
    <w:rsid w:val="00AA3FDF"/>
    <w:rsid w:val="00AA41A1"/>
    <w:rsid w:val="00AA41C5"/>
    <w:rsid w:val="00AA43E6"/>
    <w:rsid w:val="00AA4982"/>
    <w:rsid w:val="00AA4A9B"/>
    <w:rsid w:val="00AA4B59"/>
    <w:rsid w:val="00AA4BE2"/>
    <w:rsid w:val="00AA4DB4"/>
    <w:rsid w:val="00AA4F12"/>
    <w:rsid w:val="00AA5872"/>
    <w:rsid w:val="00AA58EC"/>
    <w:rsid w:val="00AA5A33"/>
    <w:rsid w:val="00AA5A8C"/>
    <w:rsid w:val="00AA5AB7"/>
    <w:rsid w:val="00AA5CAC"/>
    <w:rsid w:val="00AA5D66"/>
    <w:rsid w:val="00AA5DB9"/>
    <w:rsid w:val="00AA5EC0"/>
    <w:rsid w:val="00AA5EE6"/>
    <w:rsid w:val="00AA60B6"/>
    <w:rsid w:val="00AA61F9"/>
    <w:rsid w:val="00AA635C"/>
    <w:rsid w:val="00AA640E"/>
    <w:rsid w:val="00AA6815"/>
    <w:rsid w:val="00AA6DC6"/>
    <w:rsid w:val="00AA6E02"/>
    <w:rsid w:val="00AA6EC7"/>
    <w:rsid w:val="00AA6FC6"/>
    <w:rsid w:val="00AA712E"/>
    <w:rsid w:val="00AA7423"/>
    <w:rsid w:val="00AA770A"/>
    <w:rsid w:val="00AA77E3"/>
    <w:rsid w:val="00AA7A6E"/>
    <w:rsid w:val="00AA7D86"/>
    <w:rsid w:val="00AA7F88"/>
    <w:rsid w:val="00AB0103"/>
    <w:rsid w:val="00AB012E"/>
    <w:rsid w:val="00AB0179"/>
    <w:rsid w:val="00AB0215"/>
    <w:rsid w:val="00AB036C"/>
    <w:rsid w:val="00AB0434"/>
    <w:rsid w:val="00AB0581"/>
    <w:rsid w:val="00AB05D4"/>
    <w:rsid w:val="00AB07DA"/>
    <w:rsid w:val="00AB0C03"/>
    <w:rsid w:val="00AB1036"/>
    <w:rsid w:val="00AB1107"/>
    <w:rsid w:val="00AB1165"/>
    <w:rsid w:val="00AB1189"/>
    <w:rsid w:val="00AB11E7"/>
    <w:rsid w:val="00AB12BC"/>
    <w:rsid w:val="00AB14AB"/>
    <w:rsid w:val="00AB187D"/>
    <w:rsid w:val="00AB19FE"/>
    <w:rsid w:val="00AB1A2D"/>
    <w:rsid w:val="00AB1C0E"/>
    <w:rsid w:val="00AB2068"/>
    <w:rsid w:val="00AB20F0"/>
    <w:rsid w:val="00AB27CF"/>
    <w:rsid w:val="00AB297D"/>
    <w:rsid w:val="00AB2A54"/>
    <w:rsid w:val="00AB2CDE"/>
    <w:rsid w:val="00AB2E4C"/>
    <w:rsid w:val="00AB3019"/>
    <w:rsid w:val="00AB3149"/>
    <w:rsid w:val="00AB3168"/>
    <w:rsid w:val="00AB3218"/>
    <w:rsid w:val="00AB3247"/>
    <w:rsid w:val="00AB351F"/>
    <w:rsid w:val="00AB353F"/>
    <w:rsid w:val="00AB3588"/>
    <w:rsid w:val="00AB3640"/>
    <w:rsid w:val="00AB369D"/>
    <w:rsid w:val="00AB37D3"/>
    <w:rsid w:val="00AB380E"/>
    <w:rsid w:val="00AB398D"/>
    <w:rsid w:val="00AB3999"/>
    <w:rsid w:val="00AB3AC1"/>
    <w:rsid w:val="00AB3B28"/>
    <w:rsid w:val="00AB3B41"/>
    <w:rsid w:val="00AB3CFE"/>
    <w:rsid w:val="00AB3D8E"/>
    <w:rsid w:val="00AB3FA2"/>
    <w:rsid w:val="00AB3FD1"/>
    <w:rsid w:val="00AB4098"/>
    <w:rsid w:val="00AB40B7"/>
    <w:rsid w:val="00AB42D2"/>
    <w:rsid w:val="00AB444F"/>
    <w:rsid w:val="00AB451E"/>
    <w:rsid w:val="00AB484C"/>
    <w:rsid w:val="00AB51FD"/>
    <w:rsid w:val="00AB5239"/>
    <w:rsid w:val="00AB53A5"/>
    <w:rsid w:val="00AB547D"/>
    <w:rsid w:val="00AB551D"/>
    <w:rsid w:val="00AB5759"/>
    <w:rsid w:val="00AB5957"/>
    <w:rsid w:val="00AB59FE"/>
    <w:rsid w:val="00AB5BED"/>
    <w:rsid w:val="00AB5CA4"/>
    <w:rsid w:val="00AB5D63"/>
    <w:rsid w:val="00AB62AB"/>
    <w:rsid w:val="00AB650B"/>
    <w:rsid w:val="00AB657E"/>
    <w:rsid w:val="00AB6A9D"/>
    <w:rsid w:val="00AB6B66"/>
    <w:rsid w:val="00AB6D48"/>
    <w:rsid w:val="00AB6E6D"/>
    <w:rsid w:val="00AB7342"/>
    <w:rsid w:val="00AB7A08"/>
    <w:rsid w:val="00AB7DFA"/>
    <w:rsid w:val="00AB7F05"/>
    <w:rsid w:val="00AC0006"/>
    <w:rsid w:val="00AC0EA6"/>
    <w:rsid w:val="00AC0F2E"/>
    <w:rsid w:val="00AC1245"/>
    <w:rsid w:val="00AC124D"/>
    <w:rsid w:val="00AC1474"/>
    <w:rsid w:val="00AC16E9"/>
    <w:rsid w:val="00AC1DAE"/>
    <w:rsid w:val="00AC1E7F"/>
    <w:rsid w:val="00AC204D"/>
    <w:rsid w:val="00AC208A"/>
    <w:rsid w:val="00AC2127"/>
    <w:rsid w:val="00AC22A6"/>
    <w:rsid w:val="00AC2372"/>
    <w:rsid w:val="00AC2485"/>
    <w:rsid w:val="00AC270D"/>
    <w:rsid w:val="00AC280F"/>
    <w:rsid w:val="00AC290A"/>
    <w:rsid w:val="00AC2956"/>
    <w:rsid w:val="00AC2BC5"/>
    <w:rsid w:val="00AC2BC8"/>
    <w:rsid w:val="00AC2D6D"/>
    <w:rsid w:val="00AC33FC"/>
    <w:rsid w:val="00AC3414"/>
    <w:rsid w:val="00AC3567"/>
    <w:rsid w:val="00AC35B4"/>
    <w:rsid w:val="00AC375F"/>
    <w:rsid w:val="00AC3A15"/>
    <w:rsid w:val="00AC3AB5"/>
    <w:rsid w:val="00AC3EBF"/>
    <w:rsid w:val="00AC4012"/>
    <w:rsid w:val="00AC40D4"/>
    <w:rsid w:val="00AC4157"/>
    <w:rsid w:val="00AC4384"/>
    <w:rsid w:val="00AC44A5"/>
    <w:rsid w:val="00AC44D4"/>
    <w:rsid w:val="00AC46C5"/>
    <w:rsid w:val="00AC4865"/>
    <w:rsid w:val="00AC487A"/>
    <w:rsid w:val="00AC492D"/>
    <w:rsid w:val="00AC4D04"/>
    <w:rsid w:val="00AC4EC3"/>
    <w:rsid w:val="00AC5035"/>
    <w:rsid w:val="00AC54AB"/>
    <w:rsid w:val="00AC5555"/>
    <w:rsid w:val="00AC5556"/>
    <w:rsid w:val="00AC5755"/>
    <w:rsid w:val="00AC5DB4"/>
    <w:rsid w:val="00AC6179"/>
    <w:rsid w:val="00AC6208"/>
    <w:rsid w:val="00AC67FA"/>
    <w:rsid w:val="00AC68FB"/>
    <w:rsid w:val="00AC6D62"/>
    <w:rsid w:val="00AC6E21"/>
    <w:rsid w:val="00AC6E6C"/>
    <w:rsid w:val="00AC6FE7"/>
    <w:rsid w:val="00AC701E"/>
    <w:rsid w:val="00AC735D"/>
    <w:rsid w:val="00AC741A"/>
    <w:rsid w:val="00AC75E1"/>
    <w:rsid w:val="00AC7657"/>
    <w:rsid w:val="00AC79C0"/>
    <w:rsid w:val="00AC7B1A"/>
    <w:rsid w:val="00AC7B48"/>
    <w:rsid w:val="00AC7EC5"/>
    <w:rsid w:val="00AD0035"/>
    <w:rsid w:val="00AD01F7"/>
    <w:rsid w:val="00AD02EC"/>
    <w:rsid w:val="00AD0480"/>
    <w:rsid w:val="00AD082F"/>
    <w:rsid w:val="00AD0986"/>
    <w:rsid w:val="00AD0CB0"/>
    <w:rsid w:val="00AD0F4F"/>
    <w:rsid w:val="00AD118B"/>
    <w:rsid w:val="00AD11B3"/>
    <w:rsid w:val="00AD168D"/>
    <w:rsid w:val="00AD1A30"/>
    <w:rsid w:val="00AD1AB1"/>
    <w:rsid w:val="00AD1EB1"/>
    <w:rsid w:val="00AD2082"/>
    <w:rsid w:val="00AD2409"/>
    <w:rsid w:val="00AD254C"/>
    <w:rsid w:val="00AD271F"/>
    <w:rsid w:val="00AD28EF"/>
    <w:rsid w:val="00AD2BEE"/>
    <w:rsid w:val="00AD2D6F"/>
    <w:rsid w:val="00AD2FDB"/>
    <w:rsid w:val="00AD3483"/>
    <w:rsid w:val="00AD36F9"/>
    <w:rsid w:val="00AD394F"/>
    <w:rsid w:val="00AD3AA3"/>
    <w:rsid w:val="00AD3B66"/>
    <w:rsid w:val="00AD3BCD"/>
    <w:rsid w:val="00AD3E41"/>
    <w:rsid w:val="00AD3F5D"/>
    <w:rsid w:val="00AD49DE"/>
    <w:rsid w:val="00AD4BC4"/>
    <w:rsid w:val="00AD4E16"/>
    <w:rsid w:val="00AD528D"/>
    <w:rsid w:val="00AD53BD"/>
    <w:rsid w:val="00AD5411"/>
    <w:rsid w:val="00AD56C2"/>
    <w:rsid w:val="00AD6101"/>
    <w:rsid w:val="00AD647B"/>
    <w:rsid w:val="00AD64C4"/>
    <w:rsid w:val="00AD6612"/>
    <w:rsid w:val="00AD67CC"/>
    <w:rsid w:val="00AD6806"/>
    <w:rsid w:val="00AD6976"/>
    <w:rsid w:val="00AD6C7E"/>
    <w:rsid w:val="00AD6CF7"/>
    <w:rsid w:val="00AD6E32"/>
    <w:rsid w:val="00AD6E6D"/>
    <w:rsid w:val="00AD7211"/>
    <w:rsid w:val="00AD7239"/>
    <w:rsid w:val="00AD7515"/>
    <w:rsid w:val="00AD7731"/>
    <w:rsid w:val="00AD7903"/>
    <w:rsid w:val="00AE037B"/>
    <w:rsid w:val="00AE0ADA"/>
    <w:rsid w:val="00AE0C9D"/>
    <w:rsid w:val="00AE0CA0"/>
    <w:rsid w:val="00AE1264"/>
    <w:rsid w:val="00AE1328"/>
    <w:rsid w:val="00AE13AE"/>
    <w:rsid w:val="00AE14B9"/>
    <w:rsid w:val="00AE14E1"/>
    <w:rsid w:val="00AE1620"/>
    <w:rsid w:val="00AE1CF5"/>
    <w:rsid w:val="00AE1E0E"/>
    <w:rsid w:val="00AE1FC5"/>
    <w:rsid w:val="00AE21A6"/>
    <w:rsid w:val="00AE2476"/>
    <w:rsid w:val="00AE2C28"/>
    <w:rsid w:val="00AE2CB3"/>
    <w:rsid w:val="00AE2E25"/>
    <w:rsid w:val="00AE2E91"/>
    <w:rsid w:val="00AE2F70"/>
    <w:rsid w:val="00AE312B"/>
    <w:rsid w:val="00AE34F7"/>
    <w:rsid w:val="00AE37D4"/>
    <w:rsid w:val="00AE3E2C"/>
    <w:rsid w:val="00AE408B"/>
    <w:rsid w:val="00AE40EB"/>
    <w:rsid w:val="00AE469B"/>
    <w:rsid w:val="00AE4A7C"/>
    <w:rsid w:val="00AE4CDD"/>
    <w:rsid w:val="00AE4CF4"/>
    <w:rsid w:val="00AE4EE1"/>
    <w:rsid w:val="00AE4F8D"/>
    <w:rsid w:val="00AE513A"/>
    <w:rsid w:val="00AE516E"/>
    <w:rsid w:val="00AE5175"/>
    <w:rsid w:val="00AE535D"/>
    <w:rsid w:val="00AE542B"/>
    <w:rsid w:val="00AE56C4"/>
    <w:rsid w:val="00AE59E3"/>
    <w:rsid w:val="00AE5C18"/>
    <w:rsid w:val="00AE609F"/>
    <w:rsid w:val="00AE6391"/>
    <w:rsid w:val="00AE672F"/>
    <w:rsid w:val="00AE676C"/>
    <w:rsid w:val="00AE6D96"/>
    <w:rsid w:val="00AE7080"/>
    <w:rsid w:val="00AE7131"/>
    <w:rsid w:val="00AE73B2"/>
    <w:rsid w:val="00AE7643"/>
    <w:rsid w:val="00AE7655"/>
    <w:rsid w:val="00AE78C2"/>
    <w:rsid w:val="00AE79BD"/>
    <w:rsid w:val="00AE7AC9"/>
    <w:rsid w:val="00AE7E26"/>
    <w:rsid w:val="00AE7ECE"/>
    <w:rsid w:val="00AF0287"/>
    <w:rsid w:val="00AF0338"/>
    <w:rsid w:val="00AF034B"/>
    <w:rsid w:val="00AF040D"/>
    <w:rsid w:val="00AF06F7"/>
    <w:rsid w:val="00AF079F"/>
    <w:rsid w:val="00AF07FF"/>
    <w:rsid w:val="00AF080C"/>
    <w:rsid w:val="00AF13FE"/>
    <w:rsid w:val="00AF1835"/>
    <w:rsid w:val="00AF1913"/>
    <w:rsid w:val="00AF1A42"/>
    <w:rsid w:val="00AF1B37"/>
    <w:rsid w:val="00AF1B95"/>
    <w:rsid w:val="00AF1D07"/>
    <w:rsid w:val="00AF1DF3"/>
    <w:rsid w:val="00AF1E7A"/>
    <w:rsid w:val="00AF2356"/>
    <w:rsid w:val="00AF2390"/>
    <w:rsid w:val="00AF2B56"/>
    <w:rsid w:val="00AF2BAE"/>
    <w:rsid w:val="00AF2DD5"/>
    <w:rsid w:val="00AF30AF"/>
    <w:rsid w:val="00AF32A1"/>
    <w:rsid w:val="00AF35E8"/>
    <w:rsid w:val="00AF3654"/>
    <w:rsid w:val="00AF36B4"/>
    <w:rsid w:val="00AF3A8B"/>
    <w:rsid w:val="00AF3D81"/>
    <w:rsid w:val="00AF409A"/>
    <w:rsid w:val="00AF48A6"/>
    <w:rsid w:val="00AF4955"/>
    <w:rsid w:val="00AF4BAB"/>
    <w:rsid w:val="00AF4CF5"/>
    <w:rsid w:val="00AF4D6C"/>
    <w:rsid w:val="00AF4E28"/>
    <w:rsid w:val="00AF4FE2"/>
    <w:rsid w:val="00AF5152"/>
    <w:rsid w:val="00AF5162"/>
    <w:rsid w:val="00AF5217"/>
    <w:rsid w:val="00AF5378"/>
    <w:rsid w:val="00AF5807"/>
    <w:rsid w:val="00AF5828"/>
    <w:rsid w:val="00AF58BD"/>
    <w:rsid w:val="00AF5F5C"/>
    <w:rsid w:val="00AF615D"/>
    <w:rsid w:val="00AF61A6"/>
    <w:rsid w:val="00AF6349"/>
    <w:rsid w:val="00AF6376"/>
    <w:rsid w:val="00AF65C7"/>
    <w:rsid w:val="00AF6846"/>
    <w:rsid w:val="00AF6863"/>
    <w:rsid w:val="00AF6B13"/>
    <w:rsid w:val="00AF6C11"/>
    <w:rsid w:val="00AF6C19"/>
    <w:rsid w:val="00AF6C76"/>
    <w:rsid w:val="00AF6D13"/>
    <w:rsid w:val="00AF6EE7"/>
    <w:rsid w:val="00AF6F20"/>
    <w:rsid w:val="00AF7038"/>
    <w:rsid w:val="00AF7043"/>
    <w:rsid w:val="00AF72F3"/>
    <w:rsid w:val="00AF738E"/>
    <w:rsid w:val="00AF7658"/>
    <w:rsid w:val="00AF7741"/>
    <w:rsid w:val="00AF7B03"/>
    <w:rsid w:val="00AF7CA1"/>
    <w:rsid w:val="00AF7D06"/>
    <w:rsid w:val="00AF7D51"/>
    <w:rsid w:val="00AF7D93"/>
    <w:rsid w:val="00AF7E7D"/>
    <w:rsid w:val="00B001CF"/>
    <w:rsid w:val="00B0093B"/>
    <w:rsid w:val="00B00B44"/>
    <w:rsid w:val="00B00CB6"/>
    <w:rsid w:val="00B0115E"/>
    <w:rsid w:val="00B01285"/>
    <w:rsid w:val="00B0149A"/>
    <w:rsid w:val="00B0150C"/>
    <w:rsid w:val="00B015D7"/>
    <w:rsid w:val="00B01A93"/>
    <w:rsid w:val="00B01C52"/>
    <w:rsid w:val="00B01C82"/>
    <w:rsid w:val="00B01DEA"/>
    <w:rsid w:val="00B021ED"/>
    <w:rsid w:val="00B025A6"/>
    <w:rsid w:val="00B025DF"/>
    <w:rsid w:val="00B0262B"/>
    <w:rsid w:val="00B0269B"/>
    <w:rsid w:val="00B02735"/>
    <w:rsid w:val="00B02737"/>
    <w:rsid w:val="00B02CAC"/>
    <w:rsid w:val="00B02E70"/>
    <w:rsid w:val="00B02F1B"/>
    <w:rsid w:val="00B030B7"/>
    <w:rsid w:val="00B03110"/>
    <w:rsid w:val="00B031A2"/>
    <w:rsid w:val="00B03678"/>
    <w:rsid w:val="00B037FE"/>
    <w:rsid w:val="00B03963"/>
    <w:rsid w:val="00B03FC6"/>
    <w:rsid w:val="00B03FE7"/>
    <w:rsid w:val="00B04289"/>
    <w:rsid w:val="00B04651"/>
    <w:rsid w:val="00B04893"/>
    <w:rsid w:val="00B04AC6"/>
    <w:rsid w:val="00B04B64"/>
    <w:rsid w:val="00B04FE9"/>
    <w:rsid w:val="00B05153"/>
    <w:rsid w:val="00B05538"/>
    <w:rsid w:val="00B05A12"/>
    <w:rsid w:val="00B05A27"/>
    <w:rsid w:val="00B05C4A"/>
    <w:rsid w:val="00B05CC6"/>
    <w:rsid w:val="00B05CFC"/>
    <w:rsid w:val="00B05D0D"/>
    <w:rsid w:val="00B05F44"/>
    <w:rsid w:val="00B05FB7"/>
    <w:rsid w:val="00B0602D"/>
    <w:rsid w:val="00B06038"/>
    <w:rsid w:val="00B0622C"/>
    <w:rsid w:val="00B0625F"/>
    <w:rsid w:val="00B06578"/>
    <w:rsid w:val="00B06A14"/>
    <w:rsid w:val="00B06A4E"/>
    <w:rsid w:val="00B06ACB"/>
    <w:rsid w:val="00B06C32"/>
    <w:rsid w:val="00B06EC3"/>
    <w:rsid w:val="00B07178"/>
    <w:rsid w:val="00B07213"/>
    <w:rsid w:val="00B07259"/>
    <w:rsid w:val="00B0762A"/>
    <w:rsid w:val="00B0775C"/>
    <w:rsid w:val="00B07A48"/>
    <w:rsid w:val="00B07A4A"/>
    <w:rsid w:val="00B07B2B"/>
    <w:rsid w:val="00B07E74"/>
    <w:rsid w:val="00B07F00"/>
    <w:rsid w:val="00B07FDE"/>
    <w:rsid w:val="00B10092"/>
    <w:rsid w:val="00B10278"/>
    <w:rsid w:val="00B10294"/>
    <w:rsid w:val="00B1093B"/>
    <w:rsid w:val="00B10C22"/>
    <w:rsid w:val="00B11505"/>
    <w:rsid w:val="00B117C6"/>
    <w:rsid w:val="00B117F7"/>
    <w:rsid w:val="00B11994"/>
    <w:rsid w:val="00B11A32"/>
    <w:rsid w:val="00B11ADE"/>
    <w:rsid w:val="00B12034"/>
    <w:rsid w:val="00B122DD"/>
    <w:rsid w:val="00B128A1"/>
    <w:rsid w:val="00B129D3"/>
    <w:rsid w:val="00B12B56"/>
    <w:rsid w:val="00B12B73"/>
    <w:rsid w:val="00B12BB1"/>
    <w:rsid w:val="00B12C5F"/>
    <w:rsid w:val="00B13003"/>
    <w:rsid w:val="00B130C4"/>
    <w:rsid w:val="00B131FE"/>
    <w:rsid w:val="00B13634"/>
    <w:rsid w:val="00B13675"/>
    <w:rsid w:val="00B13A17"/>
    <w:rsid w:val="00B13AA2"/>
    <w:rsid w:val="00B13D84"/>
    <w:rsid w:val="00B1406D"/>
    <w:rsid w:val="00B14369"/>
    <w:rsid w:val="00B14456"/>
    <w:rsid w:val="00B146E7"/>
    <w:rsid w:val="00B14761"/>
    <w:rsid w:val="00B147A4"/>
    <w:rsid w:val="00B147E8"/>
    <w:rsid w:val="00B149AF"/>
    <w:rsid w:val="00B14A73"/>
    <w:rsid w:val="00B14B67"/>
    <w:rsid w:val="00B14C24"/>
    <w:rsid w:val="00B14DB2"/>
    <w:rsid w:val="00B14ED1"/>
    <w:rsid w:val="00B153BC"/>
    <w:rsid w:val="00B15745"/>
    <w:rsid w:val="00B15847"/>
    <w:rsid w:val="00B1589A"/>
    <w:rsid w:val="00B159E1"/>
    <w:rsid w:val="00B15DD1"/>
    <w:rsid w:val="00B15F9D"/>
    <w:rsid w:val="00B164D4"/>
    <w:rsid w:val="00B16770"/>
    <w:rsid w:val="00B16784"/>
    <w:rsid w:val="00B167C9"/>
    <w:rsid w:val="00B16856"/>
    <w:rsid w:val="00B168ED"/>
    <w:rsid w:val="00B16CD1"/>
    <w:rsid w:val="00B16D06"/>
    <w:rsid w:val="00B16E71"/>
    <w:rsid w:val="00B16E92"/>
    <w:rsid w:val="00B17522"/>
    <w:rsid w:val="00B1773E"/>
    <w:rsid w:val="00B17757"/>
    <w:rsid w:val="00B17995"/>
    <w:rsid w:val="00B17A95"/>
    <w:rsid w:val="00B17AA9"/>
    <w:rsid w:val="00B17BB5"/>
    <w:rsid w:val="00B17C50"/>
    <w:rsid w:val="00B17CD0"/>
    <w:rsid w:val="00B17D32"/>
    <w:rsid w:val="00B17DA5"/>
    <w:rsid w:val="00B202B3"/>
    <w:rsid w:val="00B202CB"/>
    <w:rsid w:val="00B203C3"/>
    <w:rsid w:val="00B203FA"/>
    <w:rsid w:val="00B204D0"/>
    <w:rsid w:val="00B20710"/>
    <w:rsid w:val="00B208CE"/>
    <w:rsid w:val="00B20C7F"/>
    <w:rsid w:val="00B20F13"/>
    <w:rsid w:val="00B20F9F"/>
    <w:rsid w:val="00B21291"/>
    <w:rsid w:val="00B213E9"/>
    <w:rsid w:val="00B2140F"/>
    <w:rsid w:val="00B2145F"/>
    <w:rsid w:val="00B2159A"/>
    <w:rsid w:val="00B215B2"/>
    <w:rsid w:val="00B217C6"/>
    <w:rsid w:val="00B217F7"/>
    <w:rsid w:val="00B219A6"/>
    <w:rsid w:val="00B21B82"/>
    <w:rsid w:val="00B21D04"/>
    <w:rsid w:val="00B21FB4"/>
    <w:rsid w:val="00B221F3"/>
    <w:rsid w:val="00B22424"/>
    <w:rsid w:val="00B22665"/>
    <w:rsid w:val="00B226A9"/>
    <w:rsid w:val="00B228D6"/>
    <w:rsid w:val="00B228E5"/>
    <w:rsid w:val="00B22941"/>
    <w:rsid w:val="00B229D0"/>
    <w:rsid w:val="00B22E98"/>
    <w:rsid w:val="00B22FC4"/>
    <w:rsid w:val="00B2302A"/>
    <w:rsid w:val="00B230AD"/>
    <w:rsid w:val="00B23450"/>
    <w:rsid w:val="00B2353C"/>
    <w:rsid w:val="00B2358A"/>
    <w:rsid w:val="00B235BF"/>
    <w:rsid w:val="00B237E8"/>
    <w:rsid w:val="00B237F0"/>
    <w:rsid w:val="00B2390F"/>
    <w:rsid w:val="00B2395A"/>
    <w:rsid w:val="00B23A93"/>
    <w:rsid w:val="00B23E42"/>
    <w:rsid w:val="00B240A1"/>
    <w:rsid w:val="00B24142"/>
    <w:rsid w:val="00B24267"/>
    <w:rsid w:val="00B244A7"/>
    <w:rsid w:val="00B24899"/>
    <w:rsid w:val="00B2495D"/>
    <w:rsid w:val="00B24A83"/>
    <w:rsid w:val="00B24BAD"/>
    <w:rsid w:val="00B24DD0"/>
    <w:rsid w:val="00B24E37"/>
    <w:rsid w:val="00B253CE"/>
    <w:rsid w:val="00B2548F"/>
    <w:rsid w:val="00B25509"/>
    <w:rsid w:val="00B257F1"/>
    <w:rsid w:val="00B258CD"/>
    <w:rsid w:val="00B25A61"/>
    <w:rsid w:val="00B25E53"/>
    <w:rsid w:val="00B25F84"/>
    <w:rsid w:val="00B25FE1"/>
    <w:rsid w:val="00B26124"/>
    <w:rsid w:val="00B26132"/>
    <w:rsid w:val="00B26296"/>
    <w:rsid w:val="00B26452"/>
    <w:rsid w:val="00B26AAB"/>
    <w:rsid w:val="00B26AAE"/>
    <w:rsid w:val="00B26BE0"/>
    <w:rsid w:val="00B26C2B"/>
    <w:rsid w:val="00B26CB2"/>
    <w:rsid w:val="00B26CD7"/>
    <w:rsid w:val="00B26F0B"/>
    <w:rsid w:val="00B26F39"/>
    <w:rsid w:val="00B275D4"/>
    <w:rsid w:val="00B275E4"/>
    <w:rsid w:val="00B27779"/>
    <w:rsid w:val="00B27A06"/>
    <w:rsid w:val="00B27A8B"/>
    <w:rsid w:val="00B27F6C"/>
    <w:rsid w:val="00B3021C"/>
    <w:rsid w:val="00B304D7"/>
    <w:rsid w:val="00B30560"/>
    <w:rsid w:val="00B3057D"/>
    <w:rsid w:val="00B306A5"/>
    <w:rsid w:val="00B30857"/>
    <w:rsid w:val="00B30B27"/>
    <w:rsid w:val="00B30F68"/>
    <w:rsid w:val="00B3115B"/>
    <w:rsid w:val="00B317E9"/>
    <w:rsid w:val="00B3184F"/>
    <w:rsid w:val="00B31B0F"/>
    <w:rsid w:val="00B31B85"/>
    <w:rsid w:val="00B31F88"/>
    <w:rsid w:val="00B32055"/>
    <w:rsid w:val="00B320F9"/>
    <w:rsid w:val="00B3259C"/>
    <w:rsid w:val="00B325E1"/>
    <w:rsid w:val="00B32696"/>
    <w:rsid w:val="00B326B7"/>
    <w:rsid w:val="00B328CB"/>
    <w:rsid w:val="00B32A13"/>
    <w:rsid w:val="00B32D5B"/>
    <w:rsid w:val="00B32DC8"/>
    <w:rsid w:val="00B33320"/>
    <w:rsid w:val="00B339AD"/>
    <w:rsid w:val="00B33B04"/>
    <w:rsid w:val="00B33B92"/>
    <w:rsid w:val="00B33C03"/>
    <w:rsid w:val="00B33C42"/>
    <w:rsid w:val="00B33F80"/>
    <w:rsid w:val="00B34147"/>
    <w:rsid w:val="00B34177"/>
    <w:rsid w:val="00B342BC"/>
    <w:rsid w:val="00B3451C"/>
    <w:rsid w:val="00B347A6"/>
    <w:rsid w:val="00B347D5"/>
    <w:rsid w:val="00B34891"/>
    <w:rsid w:val="00B34BD8"/>
    <w:rsid w:val="00B34C93"/>
    <w:rsid w:val="00B34E8A"/>
    <w:rsid w:val="00B34FF9"/>
    <w:rsid w:val="00B351A6"/>
    <w:rsid w:val="00B3567A"/>
    <w:rsid w:val="00B358B6"/>
    <w:rsid w:val="00B35B84"/>
    <w:rsid w:val="00B35D0D"/>
    <w:rsid w:val="00B35D1F"/>
    <w:rsid w:val="00B35DED"/>
    <w:rsid w:val="00B36254"/>
    <w:rsid w:val="00B36962"/>
    <w:rsid w:val="00B36B00"/>
    <w:rsid w:val="00B36BC0"/>
    <w:rsid w:val="00B36C2F"/>
    <w:rsid w:val="00B36CD9"/>
    <w:rsid w:val="00B36FFF"/>
    <w:rsid w:val="00B37025"/>
    <w:rsid w:val="00B37038"/>
    <w:rsid w:val="00B372B6"/>
    <w:rsid w:val="00B37447"/>
    <w:rsid w:val="00B37461"/>
    <w:rsid w:val="00B376B1"/>
    <w:rsid w:val="00B378C0"/>
    <w:rsid w:val="00B37B19"/>
    <w:rsid w:val="00B37B9E"/>
    <w:rsid w:val="00B37BF1"/>
    <w:rsid w:val="00B37D84"/>
    <w:rsid w:val="00B37E3A"/>
    <w:rsid w:val="00B40097"/>
    <w:rsid w:val="00B40363"/>
    <w:rsid w:val="00B4037C"/>
    <w:rsid w:val="00B40682"/>
    <w:rsid w:val="00B407EE"/>
    <w:rsid w:val="00B40807"/>
    <w:rsid w:val="00B408C3"/>
    <w:rsid w:val="00B40E10"/>
    <w:rsid w:val="00B40E92"/>
    <w:rsid w:val="00B40F93"/>
    <w:rsid w:val="00B411F2"/>
    <w:rsid w:val="00B41496"/>
    <w:rsid w:val="00B41563"/>
    <w:rsid w:val="00B415F4"/>
    <w:rsid w:val="00B4160C"/>
    <w:rsid w:val="00B416D3"/>
    <w:rsid w:val="00B418C1"/>
    <w:rsid w:val="00B419B8"/>
    <w:rsid w:val="00B419F9"/>
    <w:rsid w:val="00B41A18"/>
    <w:rsid w:val="00B420DF"/>
    <w:rsid w:val="00B42118"/>
    <w:rsid w:val="00B42128"/>
    <w:rsid w:val="00B42562"/>
    <w:rsid w:val="00B42567"/>
    <w:rsid w:val="00B42AAA"/>
    <w:rsid w:val="00B42BF3"/>
    <w:rsid w:val="00B42C7C"/>
    <w:rsid w:val="00B42DC2"/>
    <w:rsid w:val="00B42DDA"/>
    <w:rsid w:val="00B42EF4"/>
    <w:rsid w:val="00B4317E"/>
    <w:rsid w:val="00B431D3"/>
    <w:rsid w:val="00B433B7"/>
    <w:rsid w:val="00B433EA"/>
    <w:rsid w:val="00B4346C"/>
    <w:rsid w:val="00B4354E"/>
    <w:rsid w:val="00B43553"/>
    <w:rsid w:val="00B436E6"/>
    <w:rsid w:val="00B439BD"/>
    <w:rsid w:val="00B43A03"/>
    <w:rsid w:val="00B43AB9"/>
    <w:rsid w:val="00B43D5F"/>
    <w:rsid w:val="00B43DC8"/>
    <w:rsid w:val="00B44052"/>
    <w:rsid w:val="00B44254"/>
    <w:rsid w:val="00B445C4"/>
    <w:rsid w:val="00B4462F"/>
    <w:rsid w:val="00B4477A"/>
    <w:rsid w:val="00B4483A"/>
    <w:rsid w:val="00B449D4"/>
    <w:rsid w:val="00B44A21"/>
    <w:rsid w:val="00B44ADE"/>
    <w:rsid w:val="00B44E21"/>
    <w:rsid w:val="00B44E2A"/>
    <w:rsid w:val="00B44E9B"/>
    <w:rsid w:val="00B45007"/>
    <w:rsid w:val="00B453CD"/>
    <w:rsid w:val="00B4545C"/>
    <w:rsid w:val="00B45738"/>
    <w:rsid w:val="00B457ED"/>
    <w:rsid w:val="00B45809"/>
    <w:rsid w:val="00B4580D"/>
    <w:rsid w:val="00B459BC"/>
    <w:rsid w:val="00B45ADD"/>
    <w:rsid w:val="00B45D72"/>
    <w:rsid w:val="00B45F2F"/>
    <w:rsid w:val="00B46025"/>
    <w:rsid w:val="00B463A3"/>
    <w:rsid w:val="00B46C43"/>
    <w:rsid w:val="00B46EBB"/>
    <w:rsid w:val="00B470F2"/>
    <w:rsid w:val="00B47427"/>
    <w:rsid w:val="00B47520"/>
    <w:rsid w:val="00B47795"/>
    <w:rsid w:val="00B47C46"/>
    <w:rsid w:val="00B47E9C"/>
    <w:rsid w:val="00B502AC"/>
    <w:rsid w:val="00B50392"/>
    <w:rsid w:val="00B50581"/>
    <w:rsid w:val="00B505C2"/>
    <w:rsid w:val="00B50BE3"/>
    <w:rsid w:val="00B50C5A"/>
    <w:rsid w:val="00B50FA7"/>
    <w:rsid w:val="00B51191"/>
    <w:rsid w:val="00B51228"/>
    <w:rsid w:val="00B51252"/>
    <w:rsid w:val="00B513FD"/>
    <w:rsid w:val="00B5140B"/>
    <w:rsid w:val="00B51794"/>
    <w:rsid w:val="00B518D1"/>
    <w:rsid w:val="00B519F3"/>
    <w:rsid w:val="00B51B58"/>
    <w:rsid w:val="00B51BB8"/>
    <w:rsid w:val="00B51E26"/>
    <w:rsid w:val="00B51EFB"/>
    <w:rsid w:val="00B52249"/>
    <w:rsid w:val="00B5227B"/>
    <w:rsid w:val="00B5234F"/>
    <w:rsid w:val="00B527B6"/>
    <w:rsid w:val="00B52954"/>
    <w:rsid w:val="00B52C49"/>
    <w:rsid w:val="00B52D8C"/>
    <w:rsid w:val="00B52E70"/>
    <w:rsid w:val="00B5308E"/>
    <w:rsid w:val="00B530CD"/>
    <w:rsid w:val="00B530EA"/>
    <w:rsid w:val="00B531D1"/>
    <w:rsid w:val="00B532FF"/>
    <w:rsid w:val="00B53506"/>
    <w:rsid w:val="00B53757"/>
    <w:rsid w:val="00B53E39"/>
    <w:rsid w:val="00B53EC4"/>
    <w:rsid w:val="00B5412F"/>
    <w:rsid w:val="00B544A2"/>
    <w:rsid w:val="00B54515"/>
    <w:rsid w:val="00B546E3"/>
    <w:rsid w:val="00B54B82"/>
    <w:rsid w:val="00B54F65"/>
    <w:rsid w:val="00B552B9"/>
    <w:rsid w:val="00B55440"/>
    <w:rsid w:val="00B55481"/>
    <w:rsid w:val="00B55516"/>
    <w:rsid w:val="00B559E8"/>
    <w:rsid w:val="00B55ADA"/>
    <w:rsid w:val="00B55C13"/>
    <w:rsid w:val="00B55C40"/>
    <w:rsid w:val="00B55E19"/>
    <w:rsid w:val="00B55E1D"/>
    <w:rsid w:val="00B55FC1"/>
    <w:rsid w:val="00B561B2"/>
    <w:rsid w:val="00B562A3"/>
    <w:rsid w:val="00B56420"/>
    <w:rsid w:val="00B5647C"/>
    <w:rsid w:val="00B565B5"/>
    <w:rsid w:val="00B565D2"/>
    <w:rsid w:val="00B566F4"/>
    <w:rsid w:val="00B56B10"/>
    <w:rsid w:val="00B56C12"/>
    <w:rsid w:val="00B56C1A"/>
    <w:rsid w:val="00B56C51"/>
    <w:rsid w:val="00B56D8B"/>
    <w:rsid w:val="00B5709B"/>
    <w:rsid w:val="00B57577"/>
    <w:rsid w:val="00B575EF"/>
    <w:rsid w:val="00B57928"/>
    <w:rsid w:val="00B57BBE"/>
    <w:rsid w:val="00B57BD3"/>
    <w:rsid w:val="00B57D7A"/>
    <w:rsid w:val="00B57E6C"/>
    <w:rsid w:val="00B601C0"/>
    <w:rsid w:val="00B60376"/>
    <w:rsid w:val="00B603F3"/>
    <w:rsid w:val="00B60426"/>
    <w:rsid w:val="00B6045E"/>
    <w:rsid w:val="00B607B2"/>
    <w:rsid w:val="00B60852"/>
    <w:rsid w:val="00B608E2"/>
    <w:rsid w:val="00B60BC1"/>
    <w:rsid w:val="00B60D4E"/>
    <w:rsid w:val="00B60DB8"/>
    <w:rsid w:val="00B60FE4"/>
    <w:rsid w:val="00B6116E"/>
    <w:rsid w:val="00B61290"/>
    <w:rsid w:val="00B613E5"/>
    <w:rsid w:val="00B61754"/>
    <w:rsid w:val="00B617A8"/>
    <w:rsid w:val="00B61C52"/>
    <w:rsid w:val="00B61CD0"/>
    <w:rsid w:val="00B61F37"/>
    <w:rsid w:val="00B62061"/>
    <w:rsid w:val="00B6230D"/>
    <w:rsid w:val="00B6265C"/>
    <w:rsid w:val="00B62738"/>
    <w:rsid w:val="00B62770"/>
    <w:rsid w:val="00B62A7B"/>
    <w:rsid w:val="00B62B10"/>
    <w:rsid w:val="00B62ED3"/>
    <w:rsid w:val="00B6329B"/>
    <w:rsid w:val="00B63319"/>
    <w:rsid w:val="00B633A4"/>
    <w:rsid w:val="00B63AA8"/>
    <w:rsid w:val="00B63D30"/>
    <w:rsid w:val="00B63E18"/>
    <w:rsid w:val="00B64085"/>
    <w:rsid w:val="00B64180"/>
    <w:rsid w:val="00B641DF"/>
    <w:rsid w:val="00B646A3"/>
    <w:rsid w:val="00B6495B"/>
    <w:rsid w:val="00B64A3C"/>
    <w:rsid w:val="00B64AED"/>
    <w:rsid w:val="00B64BB9"/>
    <w:rsid w:val="00B64C94"/>
    <w:rsid w:val="00B64CD8"/>
    <w:rsid w:val="00B64D2B"/>
    <w:rsid w:val="00B64DB7"/>
    <w:rsid w:val="00B64E85"/>
    <w:rsid w:val="00B64EE2"/>
    <w:rsid w:val="00B6519A"/>
    <w:rsid w:val="00B652F7"/>
    <w:rsid w:val="00B65800"/>
    <w:rsid w:val="00B65A19"/>
    <w:rsid w:val="00B65BAE"/>
    <w:rsid w:val="00B65CB3"/>
    <w:rsid w:val="00B65D44"/>
    <w:rsid w:val="00B65FB0"/>
    <w:rsid w:val="00B6617C"/>
    <w:rsid w:val="00B6692B"/>
    <w:rsid w:val="00B66B01"/>
    <w:rsid w:val="00B66C8C"/>
    <w:rsid w:val="00B66F0C"/>
    <w:rsid w:val="00B670FF"/>
    <w:rsid w:val="00B6712B"/>
    <w:rsid w:val="00B671CD"/>
    <w:rsid w:val="00B67232"/>
    <w:rsid w:val="00B67396"/>
    <w:rsid w:val="00B67540"/>
    <w:rsid w:val="00B67725"/>
    <w:rsid w:val="00B67904"/>
    <w:rsid w:val="00B67A49"/>
    <w:rsid w:val="00B67BB7"/>
    <w:rsid w:val="00B67CAC"/>
    <w:rsid w:val="00B67D64"/>
    <w:rsid w:val="00B67E9A"/>
    <w:rsid w:val="00B67F3A"/>
    <w:rsid w:val="00B700C2"/>
    <w:rsid w:val="00B702BA"/>
    <w:rsid w:val="00B702D5"/>
    <w:rsid w:val="00B707CB"/>
    <w:rsid w:val="00B70815"/>
    <w:rsid w:val="00B7083E"/>
    <w:rsid w:val="00B70A9B"/>
    <w:rsid w:val="00B70C56"/>
    <w:rsid w:val="00B70C9A"/>
    <w:rsid w:val="00B70D67"/>
    <w:rsid w:val="00B70EC5"/>
    <w:rsid w:val="00B70F7A"/>
    <w:rsid w:val="00B710A8"/>
    <w:rsid w:val="00B716C7"/>
    <w:rsid w:val="00B71844"/>
    <w:rsid w:val="00B71C6C"/>
    <w:rsid w:val="00B72014"/>
    <w:rsid w:val="00B72142"/>
    <w:rsid w:val="00B72262"/>
    <w:rsid w:val="00B7238D"/>
    <w:rsid w:val="00B72518"/>
    <w:rsid w:val="00B72545"/>
    <w:rsid w:val="00B7258B"/>
    <w:rsid w:val="00B72896"/>
    <w:rsid w:val="00B72A58"/>
    <w:rsid w:val="00B72AC4"/>
    <w:rsid w:val="00B72D6C"/>
    <w:rsid w:val="00B72D81"/>
    <w:rsid w:val="00B72E24"/>
    <w:rsid w:val="00B730C2"/>
    <w:rsid w:val="00B730E5"/>
    <w:rsid w:val="00B7321F"/>
    <w:rsid w:val="00B732C0"/>
    <w:rsid w:val="00B735AE"/>
    <w:rsid w:val="00B738D3"/>
    <w:rsid w:val="00B73FF6"/>
    <w:rsid w:val="00B740E0"/>
    <w:rsid w:val="00B74656"/>
    <w:rsid w:val="00B747CB"/>
    <w:rsid w:val="00B74A67"/>
    <w:rsid w:val="00B74C5D"/>
    <w:rsid w:val="00B74EA6"/>
    <w:rsid w:val="00B74EC2"/>
    <w:rsid w:val="00B750B7"/>
    <w:rsid w:val="00B751D6"/>
    <w:rsid w:val="00B752EF"/>
    <w:rsid w:val="00B755C1"/>
    <w:rsid w:val="00B758C2"/>
    <w:rsid w:val="00B759DC"/>
    <w:rsid w:val="00B75B2A"/>
    <w:rsid w:val="00B75B47"/>
    <w:rsid w:val="00B75C8D"/>
    <w:rsid w:val="00B75E5C"/>
    <w:rsid w:val="00B75EF0"/>
    <w:rsid w:val="00B75FFB"/>
    <w:rsid w:val="00B76095"/>
    <w:rsid w:val="00B762AD"/>
    <w:rsid w:val="00B763D2"/>
    <w:rsid w:val="00B764DE"/>
    <w:rsid w:val="00B76650"/>
    <w:rsid w:val="00B7688E"/>
    <w:rsid w:val="00B76A8B"/>
    <w:rsid w:val="00B77209"/>
    <w:rsid w:val="00B77365"/>
    <w:rsid w:val="00B775D6"/>
    <w:rsid w:val="00B77673"/>
    <w:rsid w:val="00B776A2"/>
    <w:rsid w:val="00B7791F"/>
    <w:rsid w:val="00B77A84"/>
    <w:rsid w:val="00B77B0A"/>
    <w:rsid w:val="00B77B18"/>
    <w:rsid w:val="00B77C4E"/>
    <w:rsid w:val="00B77FFD"/>
    <w:rsid w:val="00B8027F"/>
    <w:rsid w:val="00B8074B"/>
    <w:rsid w:val="00B809FA"/>
    <w:rsid w:val="00B80AF4"/>
    <w:rsid w:val="00B80BD6"/>
    <w:rsid w:val="00B8111F"/>
    <w:rsid w:val="00B81497"/>
    <w:rsid w:val="00B81597"/>
    <w:rsid w:val="00B81A03"/>
    <w:rsid w:val="00B82331"/>
    <w:rsid w:val="00B8274B"/>
    <w:rsid w:val="00B82F5B"/>
    <w:rsid w:val="00B82FDA"/>
    <w:rsid w:val="00B8312F"/>
    <w:rsid w:val="00B83141"/>
    <w:rsid w:val="00B83169"/>
    <w:rsid w:val="00B83443"/>
    <w:rsid w:val="00B834AC"/>
    <w:rsid w:val="00B835A5"/>
    <w:rsid w:val="00B83661"/>
    <w:rsid w:val="00B83B60"/>
    <w:rsid w:val="00B83B81"/>
    <w:rsid w:val="00B83E35"/>
    <w:rsid w:val="00B83F22"/>
    <w:rsid w:val="00B84153"/>
    <w:rsid w:val="00B84411"/>
    <w:rsid w:val="00B846AC"/>
    <w:rsid w:val="00B84B91"/>
    <w:rsid w:val="00B84C65"/>
    <w:rsid w:val="00B85B93"/>
    <w:rsid w:val="00B85C35"/>
    <w:rsid w:val="00B85E98"/>
    <w:rsid w:val="00B85FA4"/>
    <w:rsid w:val="00B860BA"/>
    <w:rsid w:val="00B8625C"/>
    <w:rsid w:val="00B863B3"/>
    <w:rsid w:val="00B864EF"/>
    <w:rsid w:val="00B86834"/>
    <w:rsid w:val="00B86982"/>
    <w:rsid w:val="00B86C14"/>
    <w:rsid w:val="00B87109"/>
    <w:rsid w:val="00B871DF"/>
    <w:rsid w:val="00B87364"/>
    <w:rsid w:val="00B876F7"/>
    <w:rsid w:val="00B87701"/>
    <w:rsid w:val="00B8798F"/>
    <w:rsid w:val="00B879F0"/>
    <w:rsid w:val="00B87A93"/>
    <w:rsid w:val="00B87B70"/>
    <w:rsid w:val="00B87D66"/>
    <w:rsid w:val="00B905B3"/>
    <w:rsid w:val="00B905EC"/>
    <w:rsid w:val="00B90690"/>
    <w:rsid w:val="00B90945"/>
    <w:rsid w:val="00B90BDE"/>
    <w:rsid w:val="00B90DCC"/>
    <w:rsid w:val="00B9122D"/>
    <w:rsid w:val="00B91291"/>
    <w:rsid w:val="00B912D6"/>
    <w:rsid w:val="00B9148D"/>
    <w:rsid w:val="00B91598"/>
    <w:rsid w:val="00B915EB"/>
    <w:rsid w:val="00B91618"/>
    <w:rsid w:val="00B91971"/>
    <w:rsid w:val="00B91CFA"/>
    <w:rsid w:val="00B91D97"/>
    <w:rsid w:val="00B91F38"/>
    <w:rsid w:val="00B92195"/>
    <w:rsid w:val="00B92330"/>
    <w:rsid w:val="00B923A0"/>
    <w:rsid w:val="00B924AF"/>
    <w:rsid w:val="00B927AF"/>
    <w:rsid w:val="00B92C58"/>
    <w:rsid w:val="00B92DC5"/>
    <w:rsid w:val="00B92DCE"/>
    <w:rsid w:val="00B930A4"/>
    <w:rsid w:val="00B937EB"/>
    <w:rsid w:val="00B93E80"/>
    <w:rsid w:val="00B93F16"/>
    <w:rsid w:val="00B93FDF"/>
    <w:rsid w:val="00B94115"/>
    <w:rsid w:val="00B941F9"/>
    <w:rsid w:val="00B947F6"/>
    <w:rsid w:val="00B94946"/>
    <w:rsid w:val="00B94A0C"/>
    <w:rsid w:val="00B94F19"/>
    <w:rsid w:val="00B950ED"/>
    <w:rsid w:val="00B95161"/>
    <w:rsid w:val="00B952DF"/>
    <w:rsid w:val="00B95551"/>
    <w:rsid w:val="00B95603"/>
    <w:rsid w:val="00B956A9"/>
    <w:rsid w:val="00B958DB"/>
    <w:rsid w:val="00B95915"/>
    <w:rsid w:val="00B95969"/>
    <w:rsid w:val="00B95AFB"/>
    <w:rsid w:val="00B960AB"/>
    <w:rsid w:val="00B96166"/>
    <w:rsid w:val="00B96343"/>
    <w:rsid w:val="00B9650E"/>
    <w:rsid w:val="00B9670A"/>
    <w:rsid w:val="00B96C1A"/>
    <w:rsid w:val="00B96C6A"/>
    <w:rsid w:val="00B97396"/>
    <w:rsid w:val="00B973AF"/>
    <w:rsid w:val="00B9761E"/>
    <w:rsid w:val="00B977BF"/>
    <w:rsid w:val="00B97864"/>
    <w:rsid w:val="00B9789E"/>
    <w:rsid w:val="00B97E6B"/>
    <w:rsid w:val="00BA026D"/>
    <w:rsid w:val="00BA0930"/>
    <w:rsid w:val="00BA0D9A"/>
    <w:rsid w:val="00BA100C"/>
    <w:rsid w:val="00BA11DD"/>
    <w:rsid w:val="00BA1520"/>
    <w:rsid w:val="00BA182A"/>
    <w:rsid w:val="00BA1860"/>
    <w:rsid w:val="00BA1C16"/>
    <w:rsid w:val="00BA1D85"/>
    <w:rsid w:val="00BA1F3E"/>
    <w:rsid w:val="00BA207D"/>
    <w:rsid w:val="00BA2698"/>
    <w:rsid w:val="00BA2934"/>
    <w:rsid w:val="00BA2A06"/>
    <w:rsid w:val="00BA2C92"/>
    <w:rsid w:val="00BA2F5D"/>
    <w:rsid w:val="00BA320E"/>
    <w:rsid w:val="00BA34C1"/>
    <w:rsid w:val="00BA3654"/>
    <w:rsid w:val="00BA3692"/>
    <w:rsid w:val="00BA3835"/>
    <w:rsid w:val="00BA38BC"/>
    <w:rsid w:val="00BA38D4"/>
    <w:rsid w:val="00BA3E24"/>
    <w:rsid w:val="00BA3E7F"/>
    <w:rsid w:val="00BA3F0A"/>
    <w:rsid w:val="00BA3FA5"/>
    <w:rsid w:val="00BA41E3"/>
    <w:rsid w:val="00BA4346"/>
    <w:rsid w:val="00BA43F6"/>
    <w:rsid w:val="00BA46D0"/>
    <w:rsid w:val="00BA4B55"/>
    <w:rsid w:val="00BA4C56"/>
    <w:rsid w:val="00BA4D3C"/>
    <w:rsid w:val="00BA5211"/>
    <w:rsid w:val="00BA540C"/>
    <w:rsid w:val="00BA5444"/>
    <w:rsid w:val="00BA5880"/>
    <w:rsid w:val="00BA596D"/>
    <w:rsid w:val="00BA5BF6"/>
    <w:rsid w:val="00BA648D"/>
    <w:rsid w:val="00BA64B7"/>
    <w:rsid w:val="00BA64FD"/>
    <w:rsid w:val="00BA6507"/>
    <w:rsid w:val="00BA6E10"/>
    <w:rsid w:val="00BA7294"/>
    <w:rsid w:val="00BA75CC"/>
    <w:rsid w:val="00BA75EA"/>
    <w:rsid w:val="00BA766A"/>
    <w:rsid w:val="00BA7C7C"/>
    <w:rsid w:val="00BA7CC5"/>
    <w:rsid w:val="00BA7D07"/>
    <w:rsid w:val="00BB0239"/>
    <w:rsid w:val="00BB035C"/>
    <w:rsid w:val="00BB0721"/>
    <w:rsid w:val="00BB0BE3"/>
    <w:rsid w:val="00BB0C1F"/>
    <w:rsid w:val="00BB0DF9"/>
    <w:rsid w:val="00BB0E4C"/>
    <w:rsid w:val="00BB0F58"/>
    <w:rsid w:val="00BB1194"/>
    <w:rsid w:val="00BB1270"/>
    <w:rsid w:val="00BB12D3"/>
    <w:rsid w:val="00BB1333"/>
    <w:rsid w:val="00BB14FC"/>
    <w:rsid w:val="00BB1957"/>
    <w:rsid w:val="00BB1ACD"/>
    <w:rsid w:val="00BB1D7B"/>
    <w:rsid w:val="00BB1D9F"/>
    <w:rsid w:val="00BB1E6D"/>
    <w:rsid w:val="00BB2182"/>
    <w:rsid w:val="00BB24A1"/>
    <w:rsid w:val="00BB24DF"/>
    <w:rsid w:val="00BB25EC"/>
    <w:rsid w:val="00BB28D1"/>
    <w:rsid w:val="00BB2E38"/>
    <w:rsid w:val="00BB316F"/>
    <w:rsid w:val="00BB318E"/>
    <w:rsid w:val="00BB3553"/>
    <w:rsid w:val="00BB3838"/>
    <w:rsid w:val="00BB39B5"/>
    <w:rsid w:val="00BB3DBD"/>
    <w:rsid w:val="00BB3E43"/>
    <w:rsid w:val="00BB4403"/>
    <w:rsid w:val="00BB458A"/>
    <w:rsid w:val="00BB4742"/>
    <w:rsid w:val="00BB47B7"/>
    <w:rsid w:val="00BB496A"/>
    <w:rsid w:val="00BB4B41"/>
    <w:rsid w:val="00BB4B5B"/>
    <w:rsid w:val="00BB4BA1"/>
    <w:rsid w:val="00BB4E1A"/>
    <w:rsid w:val="00BB4E5A"/>
    <w:rsid w:val="00BB4EAE"/>
    <w:rsid w:val="00BB50E0"/>
    <w:rsid w:val="00BB51A8"/>
    <w:rsid w:val="00BB52A4"/>
    <w:rsid w:val="00BB5736"/>
    <w:rsid w:val="00BB5A85"/>
    <w:rsid w:val="00BB5CFC"/>
    <w:rsid w:val="00BB5DF7"/>
    <w:rsid w:val="00BB5FEF"/>
    <w:rsid w:val="00BB6165"/>
    <w:rsid w:val="00BB6605"/>
    <w:rsid w:val="00BB6750"/>
    <w:rsid w:val="00BB68E9"/>
    <w:rsid w:val="00BB6940"/>
    <w:rsid w:val="00BB6D03"/>
    <w:rsid w:val="00BB6F70"/>
    <w:rsid w:val="00BB70B0"/>
    <w:rsid w:val="00BB7362"/>
    <w:rsid w:val="00BB73AF"/>
    <w:rsid w:val="00BB7599"/>
    <w:rsid w:val="00BB75A0"/>
    <w:rsid w:val="00BB75C1"/>
    <w:rsid w:val="00BB7635"/>
    <w:rsid w:val="00BB7A3D"/>
    <w:rsid w:val="00BC01C4"/>
    <w:rsid w:val="00BC0398"/>
    <w:rsid w:val="00BC042A"/>
    <w:rsid w:val="00BC044A"/>
    <w:rsid w:val="00BC04E3"/>
    <w:rsid w:val="00BC055F"/>
    <w:rsid w:val="00BC0704"/>
    <w:rsid w:val="00BC0976"/>
    <w:rsid w:val="00BC0ABC"/>
    <w:rsid w:val="00BC0C74"/>
    <w:rsid w:val="00BC17A0"/>
    <w:rsid w:val="00BC18B7"/>
    <w:rsid w:val="00BC1AE8"/>
    <w:rsid w:val="00BC1D44"/>
    <w:rsid w:val="00BC1E02"/>
    <w:rsid w:val="00BC2081"/>
    <w:rsid w:val="00BC2423"/>
    <w:rsid w:val="00BC25FE"/>
    <w:rsid w:val="00BC28D9"/>
    <w:rsid w:val="00BC297B"/>
    <w:rsid w:val="00BC2B9E"/>
    <w:rsid w:val="00BC2E7B"/>
    <w:rsid w:val="00BC2EDD"/>
    <w:rsid w:val="00BC2F10"/>
    <w:rsid w:val="00BC311C"/>
    <w:rsid w:val="00BC3234"/>
    <w:rsid w:val="00BC3499"/>
    <w:rsid w:val="00BC34B9"/>
    <w:rsid w:val="00BC3719"/>
    <w:rsid w:val="00BC3911"/>
    <w:rsid w:val="00BC3AC1"/>
    <w:rsid w:val="00BC3BAB"/>
    <w:rsid w:val="00BC3C52"/>
    <w:rsid w:val="00BC3CC5"/>
    <w:rsid w:val="00BC3CE4"/>
    <w:rsid w:val="00BC3EA6"/>
    <w:rsid w:val="00BC3F02"/>
    <w:rsid w:val="00BC4212"/>
    <w:rsid w:val="00BC43C8"/>
    <w:rsid w:val="00BC4E28"/>
    <w:rsid w:val="00BC4E3A"/>
    <w:rsid w:val="00BC50B9"/>
    <w:rsid w:val="00BC5162"/>
    <w:rsid w:val="00BC5330"/>
    <w:rsid w:val="00BC549F"/>
    <w:rsid w:val="00BC55FB"/>
    <w:rsid w:val="00BC576D"/>
    <w:rsid w:val="00BC5A60"/>
    <w:rsid w:val="00BC5A6E"/>
    <w:rsid w:val="00BC5AC1"/>
    <w:rsid w:val="00BC5AE9"/>
    <w:rsid w:val="00BC5F95"/>
    <w:rsid w:val="00BC6131"/>
    <w:rsid w:val="00BC6255"/>
    <w:rsid w:val="00BC62D3"/>
    <w:rsid w:val="00BC640C"/>
    <w:rsid w:val="00BC65F7"/>
    <w:rsid w:val="00BC6C49"/>
    <w:rsid w:val="00BC6ED5"/>
    <w:rsid w:val="00BC7222"/>
    <w:rsid w:val="00BC7450"/>
    <w:rsid w:val="00BC7648"/>
    <w:rsid w:val="00BC7904"/>
    <w:rsid w:val="00BC7B70"/>
    <w:rsid w:val="00BC7CF3"/>
    <w:rsid w:val="00BC7FE0"/>
    <w:rsid w:val="00BD0117"/>
    <w:rsid w:val="00BD024D"/>
    <w:rsid w:val="00BD033A"/>
    <w:rsid w:val="00BD0560"/>
    <w:rsid w:val="00BD064A"/>
    <w:rsid w:val="00BD0684"/>
    <w:rsid w:val="00BD0F46"/>
    <w:rsid w:val="00BD1403"/>
    <w:rsid w:val="00BD14F0"/>
    <w:rsid w:val="00BD15AD"/>
    <w:rsid w:val="00BD1601"/>
    <w:rsid w:val="00BD1643"/>
    <w:rsid w:val="00BD171E"/>
    <w:rsid w:val="00BD1732"/>
    <w:rsid w:val="00BD1869"/>
    <w:rsid w:val="00BD1ADE"/>
    <w:rsid w:val="00BD1AFF"/>
    <w:rsid w:val="00BD1C48"/>
    <w:rsid w:val="00BD1CA2"/>
    <w:rsid w:val="00BD1E97"/>
    <w:rsid w:val="00BD1E9E"/>
    <w:rsid w:val="00BD2198"/>
    <w:rsid w:val="00BD224F"/>
    <w:rsid w:val="00BD229E"/>
    <w:rsid w:val="00BD2618"/>
    <w:rsid w:val="00BD26B8"/>
    <w:rsid w:val="00BD2709"/>
    <w:rsid w:val="00BD2773"/>
    <w:rsid w:val="00BD2807"/>
    <w:rsid w:val="00BD2AB1"/>
    <w:rsid w:val="00BD2B80"/>
    <w:rsid w:val="00BD3011"/>
    <w:rsid w:val="00BD39D1"/>
    <w:rsid w:val="00BD3A58"/>
    <w:rsid w:val="00BD3C0E"/>
    <w:rsid w:val="00BD3EE3"/>
    <w:rsid w:val="00BD3F17"/>
    <w:rsid w:val="00BD4156"/>
    <w:rsid w:val="00BD421A"/>
    <w:rsid w:val="00BD46EE"/>
    <w:rsid w:val="00BD475A"/>
    <w:rsid w:val="00BD47A7"/>
    <w:rsid w:val="00BD4A0D"/>
    <w:rsid w:val="00BD4B76"/>
    <w:rsid w:val="00BD4BD8"/>
    <w:rsid w:val="00BD4BF2"/>
    <w:rsid w:val="00BD4F45"/>
    <w:rsid w:val="00BD4F47"/>
    <w:rsid w:val="00BD53A7"/>
    <w:rsid w:val="00BD554B"/>
    <w:rsid w:val="00BD5962"/>
    <w:rsid w:val="00BD5980"/>
    <w:rsid w:val="00BD5E56"/>
    <w:rsid w:val="00BD608B"/>
    <w:rsid w:val="00BD60DC"/>
    <w:rsid w:val="00BD661D"/>
    <w:rsid w:val="00BD666E"/>
    <w:rsid w:val="00BD68EE"/>
    <w:rsid w:val="00BD6929"/>
    <w:rsid w:val="00BD6939"/>
    <w:rsid w:val="00BD6A29"/>
    <w:rsid w:val="00BD6C32"/>
    <w:rsid w:val="00BD6D56"/>
    <w:rsid w:val="00BD6DD3"/>
    <w:rsid w:val="00BD7130"/>
    <w:rsid w:val="00BD747A"/>
    <w:rsid w:val="00BD7608"/>
    <w:rsid w:val="00BD7623"/>
    <w:rsid w:val="00BD7651"/>
    <w:rsid w:val="00BD79F4"/>
    <w:rsid w:val="00BD7CDB"/>
    <w:rsid w:val="00BD7EA5"/>
    <w:rsid w:val="00BD7EC9"/>
    <w:rsid w:val="00BD7F98"/>
    <w:rsid w:val="00BE0065"/>
    <w:rsid w:val="00BE006F"/>
    <w:rsid w:val="00BE04DB"/>
    <w:rsid w:val="00BE058F"/>
    <w:rsid w:val="00BE07CF"/>
    <w:rsid w:val="00BE091A"/>
    <w:rsid w:val="00BE0B94"/>
    <w:rsid w:val="00BE0CE6"/>
    <w:rsid w:val="00BE1010"/>
    <w:rsid w:val="00BE10CE"/>
    <w:rsid w:val="00BE1134"/>
    <w:rsid w:val="00BE143B"/>
    <w:rsid w:val="00BE160D"/>
    <w:rsid w:val="00BE1B23"/>
    <w:rsid w:val="00BE1B8D"/>
    <w:rsid w:val="00BE20FE"/>
    <w:rsid w:val="00BE21A6"/>
    <w:rsid w:val="00BE229F"/>
    <w:rsid w:val="00BE24E3"/>
    <w:rsid w:val="00BE2528"/>
    <w:rsid w:val="00BE258E"/>
    <w:rsid w:val="00BE2A6B"/>
    <w:rsid w:val="00BE2F01"/>
    <w:rsid w:val="00BE307E"/>
    <w:rsid w:val="00BE315A"/>
    <w:rsid w:val="00BE3216"/>
    <w:rsid w:val="00BE3B88"/>
    <w:rsid w:val="00BE3CE5"/>
    <w:rsid w:val="00BE3CF2"/>
    <w:rsid w:val="00BE3CFD"/>
    <w:rsid w:val="00BE4347"/>
    <w:rsid w:val="00BE480C"/>
    <w:rsid w:val="00BE4945"/>
    <w:rsid w:val="00BE4AF4"/>
    <w:rsid w:val="00BE4E70"/>
    <w:rsid w:val="00BE5400"/>
    <w:rsid w:val="00BE5452"/>
    <w:rsid w:val="00BE58F6"/>
    <w:rsid w:val="00BE5986"/>
    <w:rsid w:val="00BE5EBE"/>
    <w:rsid w:val="00BE638E"/>
    <w:rsid w:val="00BE63AF"/>
    <w:rsid w:val="00BE64A7"/>
    <w:rsid w:val="00BE668A"/>
    <w:rsid w:val="00BE66F0"/>
    <w:rsid w:val="00BE671B"/>
    <w:rsid w:val="00BE68A1"/>
    <w:rsid w:val="00BE6AF4"/>
    <w:rsid w:val="00BE6BF2"/>
    <w:rsid w:val="00BE6E2F"/>
    <w:rsid w:val="00BE7010"/>
    <w:rsid w:val="00BE705A"/>
    <w:rsid w:val="00BE72EF"/>
    <w:rsid w:val="00BE7614"/>
    <w:rsid w:val="00BE796A"/>
    <w:rsid w:val="00BE7B02"/>
    <w:rsid w:val="00BF017B"/>
    <w:rsid w:val="00BF0287"/>
    <w:rsid w:val="00BF0321"/>
    <w:rsid w:val="00BF07D9"/>
    <w:rsid w:val="00BF092F"/>
    <w:rsid w:val="00BF0B5D"/>
    <w:rsid w:val="00BF0D7E"/>
    <w:rsid w:val="00BF0FAD"/>
    <w:rsid w:val="00BF1194"/>
    <w:rsid w:val="00BF11A1"/>
    <w:rsid w:val="00BF1227"/>
    <w:rsid w:val="00BF156D"/>
    <w:rsid w:val="00BF16B8"/>
    <w:rsid w:val="00BF17B8"/>
    <w:rsid w:val="00BF1D21"/>
    <w:rsid w:val="00BF2021"/>
    <w:rsid w:val="00BF204C"/>
    <w:rsid w:val="00BF204E"/>
    <w:rsid w:val="00BF22DB"/>
    <w:rsid w:val="00BF2416"/>
    <w:rsid w:val="00BF2496"/>
    <w:rsid w:val="00BF26EF"/>
    <w:rsid w:val="00BF271D"/>
    <w:rsid w:val="00BF2940"/>
    <w:rsid w:val="00BF296C"/>
    <w:rsid w:val="00BF29CA"/>
    <w:rsid w:val="00BF29F6"/>
    <w:rsid w:val="00BF2A48"/>
    <w:rsid w:val="00BF2AE6"/>
    <w:rsid w:val="00BF32A4"/>
    <w:rsid w:val="00BF32C2"/>
    <w:rsid w:val="00BF32EE"/>
    <w:rsid w:val="00BF34F7"/>
    <w:rsid w:val="00BF3640"/>
    <w:rsid w:val="00BF36AA"/>
    <w:rsid w:val="00BF37BA"/>
    <w:rsid w:val="00BF388F"/>
    <w:rsid w:val="00BF3969"/>
    <w:rsid w:val="00BF3A29"/>
    <w:rsid w:val="00BF3D88"/>
    <w:rsid w:val="00BF3DF8"/>
    <w:rsid w:val="00BF415E"/>
    <w:rsid w:val="00BF4205"/>
    <w:rsid w:val="00BF42E4"/>
    <w:rsid w:val="00BF42EC"/>
    <w:rsid w:val="00BF4971"/>
    <w:rsid w:val="00BF4FA7"/>
    <w:rsid w:val="00BF51CC"/>
    <w:rsid w:val="00BF527E"/>
    <w:rsid w:val="00BF5294"/>
    <w:rsid w:val="00BF5491"/>
    <w:rsid w:val="00BF54B0"/>
    <w:rsid w:val="00BF54F3"/>
    <w:rsid w:val="00BF5C87"/>
    <w:rsid w:val="00BF5D4A"/>
    <w:rsid w:val="00BF5D6A"/>
    <w:rsid w:val="00BF5D6B"/>
    <w:rsid w:val="00BF5FA5"/>
    <w:rsid w:val="00BF6027"/>
    <w:rsid w:val="00BF64B3"/>
    <w:rsid w:val="00BF67C6"/>
    <w:rsid w:val="00BF6A58"/>
    <w:rsid w:val="00BF6DE5"/>
    <w:rsid w:val="00BF705C"/>
    <w:rsid w:val="00BF7250"/>
    <w:rsid w:val="00BF7AC5"/>
    <w:rsid w:val="00C00081"/>
    <w:rsid w:val="00C00100"/>
    <w:rsid w:val="00C00283"/>
    <w:rsid w:val="00C00368"/>
    <w:rsid w:val="00C009DC"/>
    <w:rsid w:val="00C00B20"/>
    <w:rsid w:val="00C00DB4"/>
    <w:rsid w:val="00C00F6D"/>
    <w:rsid w:val="00C00F7F"/>
    <w:rsid w:val="00C010D0"/>
    <w:rsid w:val="00C0113D"/>
    <w:rsid w:val="00C011FE"/>
    <w:rsid w:val="00C0187E"/>
    <w:rsid w:val="00C0189C"/>
    <w:rsid w:val="00C019B2"/>
    <w:rsid w:val="00C019BE"/>
    <w:rsid w:val="00C01E49"/>
    <w:rsid w:val="00C01EC1"/>
    <w:rsid w:val="00C02350"/>
    <w:rsid w:val="00C026E7"/>
    <w:rsid w:val="00C02814"/>
    <w:rsid w:val="00C02AED"/>
    <w:rsid w:val="00C02B96"/>
    <w:rsid w:val="00C02D79"/>
    <w:rsid w:val="00C02E2D"/>
    <w:rsid w:val="00C03640"/>
    <w:rsid w:val="00C037CC"/>
    <w:rsid w:val="00C03B99"/>
    <w:rsid w:val="00C0406E"/>
    <w:rsid w:val="00C04A02"/>
    <w:rsid w:val="00C04D8F"/>
    <w:rsid w:val="00C0506D"/>
    <w:rsid w:val="00C0523D"/>
    <w:rsid w:val="00C05304"/>
    <w:rsid w:val="00C05458"/>
    <w:rsid w:val="00C05543"/>
    <w:rsid w:val="00C055D9"/>
    <w:rsid w:val="00C05828"/>
    <w:rsid w:val="00C05AF2"/>
    <w:rsid w:val="00C05B4C"/>
    <w:rsid w:val="00C05B90"/>
    <w:rsid w:val="00C05BB1"/>
    <w:rsid w:val="00C0602C"/>
    <w:rsid w:val="00C06233"/>
    <w:rsid w:val="00C06346"/>
    <w:rsid w:val="00C06592"/>
    <w:rsid w:val="00C065EF"/>
    <w:rsid w:val="00C067E9"/>
    <w:rsid w:val="00C06A60"/>
    <w:rsid w:val="00C06B4D"/>
    <w:rsid w:val="00C06EC1"/>
    <w:rsid w:val="00C07357"/>
    <w:rsid w:val="00C0782C"/>
    <w:rsid w:val="00C0786C"/>
    <w:rsid w:val="00C078DC"/>
    <w:rsid w:val="00C07941"/>
    <w:rsid w:val="00C07A00"/>
    <w:rsid w:val="00C07AED"/>
    <w:rsid w:val="00C07B56"/>
    <w:rsid w:val="00C07C1A"/>
    <w:rsid w:val="00C07C7E"/>
    <w:rsid w:val="00C10029"/>
    <w:rsid w:val="00C1006C"/>
    <w:rsid w:val="00C101F9"/>
    <w:rsid w:val="00C1032F"/>
    <w:rsid w:val="00C1039E"/>
    <w:rsid w:val="00C106D5"/>
    <w:rsid w:val="00C1073A"/>
    <w:rsid w:val="00C108A5"/>
    <w:rsid w:val="00C10A52"/>
    <w:rsid w:val="00C10BAA"/>
    <w:rsid w:val="00C10D9B"/>
    <w:rsid w:val="00C11145"/>
    <w:rsid w:val="00C11189"/>
    <w:rsid w:val="00C114DE"/>
    <w:rsid w:val="00C115F4"/>
    <w:rsid w:val="00C1161D"/>
    <w:rsid w:val="00C11FE6"/>
    <w:rsid w:val="00C121A8"/>
    <w:rsid w:val="00C12527"/>
    <w:rsid w:val="00C12583"/>
    <w:rsid w:val="00C1269F"/>
    <w:rsid w:val="00C1283F"/>
    <w:rsid w:val="00C12910"/>
    <w:rsid w:val="00C12AD6"/>
    <w:rsid w:val="00C12D6F"/>
    <w:rsid w:val="00C12F60"/>
    <w:rsid w:val="00C130AE"/>
    <w:rsid w:val="00C13197"/>
    <w:rsid w:val="00C13277"/>
    <w:rsid w:val="00C134A1"/>
    <w:rsid w:val="00C134C5"/>
    <w:rsid w:val="00C135A5"/>
    <w:rsid w:val="00C1368E"/>
    <w:rsid w:val="00C137FF"/>
    <w:rsid w:val="00C13A0C"/>
    <w:rsid w:val="00C13D2E"/>
    <w:rsid w:val="00C13DCE"/>
    <w:rsid w:val="00C142AD"/>
    <w:rsid w:val="00C1434C"/>
    <w:rsid w:val="00C14455"/>
    <w:rsid w:val="00C1475C"/>
    <w:rsid w:val="00C14EFE"/>
    <w:rsid w:val="00C14F1F"/>
    <w:rsid w:val="00C151C1"/>
    <w:rsid w:val="00C151F3"/>
    <w:rsid w:val="00C152D3"/>
    <w:rsid w:val="00C152EB"/>
    <w:rsid w:val="00C15335"/>
    <w:rsid w:val="00C1542C"/>
    <w:rsid w:val="00C15434"/>
    <w:rsid w:val="00C1548B"/>
    <w:rsid w:val="00C1595F"/>
    <w:rsid w:val="00C15A35"/>
    <w:rsid w:val="00C162D7"/>
    <w:rsid w:val="00C1647F"/>
    <w:rsid w:val="00C16637"/>
    <w:rsid w:val="00C16883"/>
    <w:rsid w:val="00C17185"/>
    <w:rsid w:val="00C17872"/>
    <w:rsid w:val="00C17AF0"/>
    <w:rsid w:val="00C17B6D"/>
    <w:rsid w:val="00C17B6E"/>
    <w:rsid w:val="00C17F0D"/>
    <w:rsid w:val="00C17F4F"/>
    <w:rsid w:val="00C17FFD"/>
    <w:rsid w:val="00C2002F"/>
    <w:rsid w:val="00C20063"/>
    <w:rsid w:val="00C20384"/>
    <w:rsid w:val="00C20711"/>
    <w:rsid w:val="00C20B62"/>
    <w:rsid w:val="00C20C01"/>
    <w:rsid w:val="00C21171"/>
    <w:rsid w:val="00C211DB"/>
    <w:rsid w:val="00C21246"/>
    <w:rsid w:val="00C21482"/>
    <w:rsid w:val="00C216B6"/>
    <w:rsid w:val="00C2179D"/>
    <w:rsid w:val="00C21A68"/>
    <w:rsid w:val="00C21F10"/>
    <w:rsid w:val="00C221BD"/>
    <w:rsid w:val="00C222C9"/>
    <w:rsid w:val="00C22A0F"/>
    <w:rsid w:val="00C22C83"/>
    <w:rsid w:val="00C22C85"/>
    <w:rsid w:val="00C22D02"/>
    <w:rsid w:val="00C230AC"/>
    <w:rsid w:val="00C232AA"/>
    <w:rsid w:val="00C232C3"/>
    <w:rsid w:val="00C23707"/>
    <w:rsid w:val="00C2376D"/>
    <w:rsid w:val="00C238E8"/>
    <w:rsid w:val="00C23B0A"/>
    <w:rsid w:val="00C23EA5"/>
    <w:rsid w:val="00C24044"/>
    <w:rsid w:val="00C24374"/>
    <w:rsid w:val="00C247C9"/>
    <w:rsid w:val="00C24817"/>
    <w:rsid w:val="00C249E7"/>
    <w:rsid w:val="00C24A17"/>
    <w:rsid w:val="00C24BF6"/>
    <w:rsid w:val="00C24BF9"/>
    <w:rsid w:val="00C24C90"/>
    <w:rsid w:val="00C24CDE"/>
    <w:rsid w:val="00C24F2D"/>
    <w:rsid w:val="00C25112"/>
    <w:rsid w:val="00C252E3"/>
    <w:rsid w:val="00C25448"/>
    <w:rsid w:val="00C25615"/>
    <w:rsid w:val="00C2565D"/>
    <w:rsid w:val="00C25728"/>
    <w:rsid w:val="00C25CE3"/>
    <w:rsid w:val="00C25EA4"/>
    <w:rsid w:val="00C26260"/>
    <w:rsid w:val="00C26432"/>
    <w:rsid w:val="00C2647A"/>
    <w:rsid w:val="00C264C2"/>
    <w:rsid w:val="00C2659E"/>
    <w:rsid w:val="00C26722"/>
    <w:rsid w:val="00C269D4"/>
    <w:rsid w:val="00C26AB7"/>
    <w:rsid w:val="00C26CA5"/>
    <w:rsid w:val="00C271CE"/>
    <w:rsid w:val="00C27388"/>
    <w:rsid w:val="00C276EF"/>
    <w:rsid w:val="00C27780"/>
    <w:rsid w:val="00C27804"/>
    <w:rsid w:val="00C27836"/>
    <w:rsid w:val="00C27B1F"/>
    <w:rsid w:val="00C27B25"/>
    <w:rsid w:val="00C300CC"/>
    <w:rsid w:val="00C3042F"/>
    <w:rsid w:val="00C306C5"/>
    <w:rsid w:val="00C3078A"/>
    <w:rsid w:val="00C307E5"/>
    <w:rsid w:val="00C30817"/>
    <w:rsid w:val="00C30CD8"/>
    <w:rsid w:val="00C30EA5"/>
    <w:rsid w:val="00C31136"/>
    <w:rsid w:val="00C3138E"/>
    <w:rsid w:val="00C31692"/>
    <w:rsid w:val="00C3170A"/>
    <w:rsid w:val="00C3174E"/>
    <w:rsid w:val="00C31812"/>
    <w:rsid w:val="00C31B65"/>
    <w:rsid w:val="00C31CBC"/>
    <w:rsid w:val="00C31CD1"/>
    <w:rsid w:val="00C3200C"/>
    <w:rsid w:val="00C322AA"/>
    <w:rsid w:val="00C3234D"/>
    <w:rsid w:val="00C325BA"/>
    <w:rsid w:val="00C326B6"/>
    <w:rsid w:val="00C327B5"/>
    <w:rsid w:val="00C32E81"/>
    <w:rsid w:val="00C3352E"/>
    <w:rsid w:val="00C3383A"/>
    <w:rsid w:val="00C3393E"/>
    <w:rsid w:val="00C33A91"/>
    <w:rsid w:val="00C33E41"/>
    <w:rsid w:val="00C3419C"/>
    <w:rsid w:val="00C34321"/>
    <w:rsid w:val="00C3445E"/>
    <w:rsid w:val="00C3447A"/>
    <w:rsid w:val="00C34653"/>
    <w:rsid w:val="00C346E3"/>
    <w:rsid w:val="00C34870"/>
    <w:rsid w:val="00C34886"/>
    <w:rsid w:val="00C34F9C"/>
    <w:rsid w:val="00C3519F"/>
    <w:rsid w:val="00C352AE"/>
    <w:rsid w:val="00C3534B"/>
    <w:rsid w:val="00C3542F"/>
    <w:rsid w:val="00C3566C"/>
    <w:rsid w:val="00C35739"/>
    <w:rsid w:val="00C35836"/>
    <w:rsid w:val="00C35A5E"/>
    <w:rsid w:val="00C35B94"/>
    <w:rsid w:val="00C35CFE"/>
    <w:rsid w:val="00C35FCF"/>
    <w:rsid w:val="00C3626B"/>
    <w:rsid w:val="00C36352"/>
    <w:rsid w:val="00C368EE"/>
    <w:rsid w:val="00C36A11"/>
    <w:rsid w:val="00C36A5B"/>
    <w:rsid w:val="00C36AF1"/>
    <w:rsid w:val="00C36CC9"/>
    <w:rsid w:val="00C36CF8"/>
    <w:rsid w:val="00C36D60"/>
    <w:rsid w:val="00C36EF7"/>
    <w:rsid w:val="00C370BC"/>
    <w:rsid w:val="00C3742D"/>
    <w:rsid w:val="00C374E2"/>
    <w:rsid w:val="00C37645"/>
    <w:rsid w:val="00C37775"/>
    <w:rsid w:val="00C3777A"/>
    <w:rsid w:val="00C37A6A"/>
    <w:rsid w:val="00C37F21"/>
    <w:rsid w:val="00C37F9F"/>
    <w:rsid w:val="00C400DB"/>
    <w:rsid w:val="00C400E0"/>
    <w:rsid w:val="00C407D4"/>
    <w:rsid w:val="00C409B6"/>
    <w:rsid w:val="00C41168"/>
    <w:rsid w:val="00C41205"/>
    <w:rsid w:val="00C4168A"/>
    <w:rsid w:val="00C418D1"/>
    <w:rsid w:val="00C41A05"/>
    <w:rsid w:val="00C41A97"/>
    <w:rsid w:val="00C41B3C"/>
    <w:rsid w:val="00C41BAD"/>
    <w:rsid w:val="00C41F25"/>
    <w:rsid w:val="00C41FD1"/>
    <w:rsid w:val="00C4229B"/>
    <w:rsid w:val="00C42393"/>
    <w:rsid w:val="00C42484"/>
    <w:rsid w:val="00C424A3"/>
    <w:rsid w:val="00C424B8"/>
    <w:rsid w:val="00C42595"/>
    <w:rsid w:val="00C425BE"/>
    <w:rsid w:val="00C425D7"/>
    <w:rsid w:val="00C426C9"/>
    <w:rsid w:val="00C42717"/>
    <w:rsid w:val="00C42A91"/>
    <w:rsid w:val="00C42AFB"/>
    <w:rsid w:val="00C42C29"/>
    <w:rsid w:val="00C42E3B"/>
    <w:rsid w:val="00C42F1A"/>
    <w:rsid w:val="00C4307C"/>
    <w:rsid w:val="00C4330B"/>
    <w:rsid w:val="00C433B4"/>
    <w:rsid w:val="00C4369E"/>
    <w:rsid w:val="00C4381B"/>
    <w:rsid w:val="00C43D68"/>
    <w:rsid w:val="00C44397"/>
    <w:rsid w:val="00C446B0"/>
    <w:rsid w:val="00C446FD"/>
    <w:rsid w:val="00C44994"/>
    <w:rsid w:val="00C44A66"/>
    <w:rsid w:val="00C44B94"/>
    <w:rsid w:val="00C44DD3"/>
    <w:rsid w:val="00C44F6E"/>
    <w:rsid w:val="00C451EA"/>
    <w:rsid w:val="00C45218"/>
    <w:rsid w:val="00C453F6"/>
    <w:rsid w:val="00C4568E"/>
    <w:rsid w:val="00C45998"/>
    <w:rsid w:val="00C459FF"/>
    <w:rsid w:val="00C45A75"/>
    <w:rsid w:val="00C45B8D"/>
    <w:rsid w:val="00C45C8F"/>
    <w:rsid w:val="00C45CAE"/>
    <w:rsid w:val="00C45EF1"/>
    <w:rsid w:val="00C46191"/>
    <w:rsid w:val="00C4621D"/>
    <w:rsid w:val="00C4622D"/>
    <w:rsid w:val="00C4640F"/>
    <w:rsid w:val="00C46530"/>
    <w:rsid w:val="00C4659D"/>
    <w:rsid w:val="00C467E0"/>
    <w:rsid w:val="00C46CB2"/>
    <w:rsid w:val="00C46D33"/>
    <w:rsid w:val="00C46E6C"/>
    <w:rsid w:val="00C47050"/>
    <w:rsid w:val="00C470CB"/>
    <w:rsid w:val="00C470D5"/>
    <w:rsid w:val="00C47113"/>
    <w:rsid w:val="00C47237"/>
    <w:rsid w:val="00C47238"/>
    <w:rsid w:val="00C472FA"/>
    <w:rsid w:val="00C473C0"/>
    <w:rsid w:val="00C477AD"/>
    <w:rsid w:val="00C47884"/>
    <w:rsid w:val="00C4798D"/>
    <w:rsid w:val="00C479D8"/>
    <w:rsid w:val="00C47BB3"/>
    <w:rsid w:val="00C47C8A"/>
    <w:rsid w:val="00C47CA2"/>
    <w:rsid w:val="00C503C9"/>
    <w:rsid w:val="00C50441"/>
    <w:rsid w:val="00C509AD"/>
    <w:rsid w:val="00C50C25"/>
    <w:rsid w:val="00C50D68"/>
    <w:rsid w:val="00C50F66"/>
    <w:rsid w:val="00C51FD6"/>
    <w:rsid w:val="00C51FF6"/>
    <w:rsid w:val="00C52050"/>
    <w:rsid w:val="00C5207A"/>
    <w:rsid w:val="00C522A8"/>
    <w:rsid w:val="00C52337"/>
    <w:rsid w:val="00C523F6"/>
    <w:rsid w:val="00C528CD"/>
    <w:rsid w:val="00C529FF"/>
    <w:rsid w:val="00C52B80"/>
    <w:rsid w:val="00C52E3C"/>
    <w:rsid w:val="00C5335A"/>
    <w:rsid w:val="00C53C7D"/>
    <w:rsid w:val="00C53CC8"/>
    <w:rsid w:val="00C541A9"/>
    <w:rsid w:val="00C5433A"/>
    <w:rsid w:val="00C543B0"/>
    <w:rsid w:val="00C5446A"/>
    <w:rsid w:val="00C5452F"/>
    <w:rsid w:val="00C545A6"/>
    <w:rsid w:val="00C54692"/>
    <w:rsid w:val="00C54763"/>
    <w:rsid w:val="00C547E7"/>
    <w:rsid w:val="00C54818"/>
    <w:rsid w:val="00C54A3F"/>
    <w:rsid w:val="00C54ADC"/>
    <w:rsid w:val="00C54D73"/>
    <w:rsid w:val="00C54E28"/>
    <w:rsid w:val="00C5501E"/>
    <w:rsid w:val="00C550DF"/>
    <w:rsid w:val="00C5553E"/>
    <w:rsid w:val="00C556CC"/>
    <w:rsid w:val="00C55737"/>
    <w:rsid w:val="00C558C1"/>
    <w:rsid w:val="00C5599B"/>
    <w:rsid w:val="00C559A8"/>
    <w:rsid w:val="00C55C01"/>
    <w:rsid w:val="00C55C39"/>
    <w:rsid w:val="00C55FD3"/>
    <w:rsid w:val="00C56045"/>
    <w:rsid w:val="00C5605B"/>
    <w:rsid w:val="00C562ED"/>
    <w:rsid w:val="00C56342"/>
    <w:rsid w:val="00C5648E"/>
    <w:rsid w:val="00C566E6"/>
    <w:rsid w:val="00C568CE"/>
    <w:rsid w:val="00C56B4B"/>
    <w:rsid w:val="00C56B6C"/>
    <w:rsid w:val="00C56C50"/>
    <w:rsid w:val="00C56C64"/>
    <w:rsid w:val="00C570A6"/>
    <w:rsid w:val="00C5722E"/>
    <w:rsid w:val="00C57298"/>
    <w:rsid w:val="00C573EF"/>
    <w:rsid w:val="00C575F9"/>
    <w:rsid w:val="00C57761"/>
    <w:rsid w:val="00C5787D"/>
    <w:rsid w:val="00C57CAF"/>
    <w:rsid w:val="00C57E49"/>
    <w:rsid w:val="00C60036"/>
    <w:rsid w:val="00C600AA"/>
    <w:rsid w:val="00C600C5"/>
    <w:rsid w:val="00C602C7"/>
    <w:rsid w:val="00C602FF"/>
    <w:rsid w:val="00C60763"/>
    <w:rsid w:val="00C60966"/>
    <w:rsid w:val="00C60AFE"/>
    <w:rsid w:val="00C60C41"/>
    <w:rsid w:val="00C60D31"/>
    <w:rsid w:val="00C60DFA"/>
    <w:rsid w:val="00C6127C"/>
    <w:rsid w:val="00C61454"/>
    <w:rsid w:val="00C6153C"/>
    <w:rsid w:val="00C615E0"/>
    <w:rsid w:val="00C61602"/>
    <w:rsid w:val="00C61795"/>
    <w:rsid w:val="00C61C73"/>
    <w:rsid w:val="00C61D21"/>
    <w:rsid w:val="00C61EB7"/>
    <w:rsid w:val="00C6218A"/>
    <w:rsid w:val="00C622BD"/>
    <w:rsid w:val="00C622DB"/>
    <w:rsid w:val="00C62562"/>
    <w:rsid w:val="00C62700"/>
    <w:rsid w:val="00C627B3"/>
    <w:rsid w:val="00C627F1"/>
    <w:rsid w:val="00C628E5"/>
    <w:rsid w:val="00C62977"/>
    <w:rsid w:val="00C62A10"/>
    <w:rsid w:val="00C62AE8"/>
    <w:rsid w:val="00C63179"/>
    <w:rsid w:val="00C6320F"/>
    <w:rsid w:val="00C632BE"/>
    <w:rsid w:val="00C63340"/>
    <w:rsid w:val="00C635F1"/>
    <w:rsid w:val="00C637FE"/>
    <w:rsid w:val="00C63815"/>
    <w:rsid w:val="00C6388F"/>
    <w:rsid w:val="00C638D3"/>
    <w:rsid w:val="00C639DD"/>
    <w:rsid w:val="00C63E1F"/>
    <w:rsid w:val="00C6414C"/>
    <w:rsid w:val="00C641B5"/>
    <w:rsid w:val="00C647E1"/>
    <w:rsid w:val="00C64844"/>
    <w:rsid w:val="00C648E6"/>
    <w:rsid w:val="00C64A78"/>
    <w:rsid w:val="00C64B9A"/>
    <w:rsid w:val="00C64CA8"/>
    <w:rsid w:val="00C64E94"/>
    <w:rsid w:val="00C64F45"/>
    <w:rsid w:val="00C651D3"/>
    <w:rsid w:val="00C652ED"/>
    <w:rsid w:val="00C65355"/>
    <w:rsid w:val="00C6539A"/>
    <w:rsid w:val="00C656E4"/>
    <w:rsid w:val="00C658DF"/>
    <w:rsid w:val="00C65918"/>
    <w:rsid w:val="00C65A89"/>
    <w:rsid w:val="00C65A9E"/>
    <w:rsid w:val="00C65CEE"/>
    <w:rsid w:val="00C65F62"/>
    <w:rsid w:val="00C660D9"/>
    <w:rsid w:val="00C66482"/>
    <w:rsid w:val="00C66489"/>
    <w:rsid w:val="00C6663D"/>
    <w:rsid w:val="00C66797"/>
    <w:rsid w:val="00C66A34"/>
    <w:rsid w:val="00C66D9A"/>
    <w:rsid w:val="00C66DC8"/>
    <w:rsid w:val="00C66EB9"/>
    <w:rsid w:val="00C671A9"/>
    <w:rsid w:val="00C674AC"/>
    <w:rsid w:val="00C67752"/>
    <w:rsid w:val="00C6781C"/>
    <w:rsid w:val="00C679C1"/>
    <w:rsid w:val="00C67A1B"/>
    <w:rsid w:val="00C67A78"/>
    <w:rsid w:val="00C67A9D"/>
    <w:rsid w:val="00C67AB9"/>
    <w:rsid w:val="00C67EDC"/>
    <w:rsid w:val="00C7057B"/>
    <w:rsid w:val="00C706E2"/>
    <w:rsid w:val="00C708BB"/>
    <w:rsid w:val="00C70CD6"/>
    <w:rsid w:val="00C70E23"/>
    <w:rsid w:val="00C70EB8"/>
    <w:rsid w:val="00C70F13"/>
    <w:rsid w:val="00C7129D"/>
    <w:rsid w:val="00C71658"/>
    <w:rsid w:val="00C717A8"/>
    <w:rsid w:val="00C71977"/>
    <w:rsid w:val="00C71D7D"/>
    <w:rsid w:val="00C71EDC"/>
    <w:rsid w:val="00C7208C"/>
    <w:rsid w:val="00C72238"/>
    <w:rsid w:val="00C72404"/>
    <w:rsid w:val="00C72614"/>
    <w:rsid w:val="00C7262A"/>
    <w:rsid w:val="00C727A1"/>
    <w:rsid w:val="00C7291F"/>
    <w:rsid w:val="00C72921"/>
    <w:rsid w:val="00C72B81"/>
    <w:rsid w:val="00C72BD5"/>
    <w:rsid w:val="00C72D4F"/>
    <w:rsid w:val="00C72EC4"/>
    <w:rsid w:val="00C7307A"/>
    <w:rsid w:val="00C7326E"/>
    <w:rsid w:val="00C733F5"/>
    <w:rsid w:val="00C7360B"/>
    <w:rsid w:val="00C73679"/>
    <w:rsid w:val="00C739EC"/>
    <w:rsid w:val="00C73C5B"/>
    <w:rsid w:val="00C73E2C"/>
    <w:rsid w:val="00C7406D"/>
    <w:rsid w:val="00C745E1"/>
    <w:rsid w:val="00C748C9"/>
    <w:rsid w:val="00C749F7"/>
    <w:rsid w:val="00C74A96"/>
    <w:rsid w:val="00C7501E"/>
    <w:rsid w:val="00C75158"/>
    <w:rsid w:val="00C75161"/>
    <w:rsid w:val="00C756E4"/>
    <w:rsid w:val="00C757A1"/>
    <w:rsid w:val="00C75C2E"/>
    <w:rsid w:val="00C75D12"/>
    <w:rsid w:val="00C75E7A"/>
    <w:rsid w:val="00C76482"/>
    <w:rsid w:val="00C764C2"/>
    <w:rsid w:val="00C764CD"/>
    <w:rsid w:val="00C7678A"/>
    <w:rsid w:val="00C76988"/>
    <w:rsid w:val="00C76C36"/>
    <w:rsid w:val="00C76C72"/>
    <w:rsid w:val="00C76CDC"/>
    <w:rsid w:val="00C76DA0"/>
    <w:rsid w:val="00C76F17"/>
    <w:rsid w:val="00C7705C"/>
    <w:rsid w:val="00C771A2"/>
    <w:rsid w:val="00C772D7"/>
    <w:rsid w:val="00C772F9"/>
    <w:rsid w:val="00C7736C"/>
    <w:rsid w:val="00C7756B"/>
    <w:rsid w:val="00C776D5"/>
    <w:rsid w:val="00C779BC"/>
    <w:rsid w:val="00C77A8F"/>
    <w:rsid w:val="00C77ADD"/>
    <w:rsid w:val="00C77EC5"/>
    <w:rsid w:val="00C77F9F"/>
    <w:rsid w:val="00C77FEC"/>
    <w:rsid w:val="00C80331"/>
    <w:rsid w:val="00C80893"/>
    <w:rsid w:val="00C809E8"/>
    <w:rsid w:val="00C80AC2"/>
    <w:rsid w:val="00C80C29"/>
    <w:rsid w:val="00C80DFC"/>
    <w:rsid w:val="00C80EFA"/>
    <w:rsid w:val="00C81210"/>
    <w:rsid w:val="00C8138D"/>
    <w:rsid w:val="00C8141A"/>
    <w:rsid w:val="00C814B5"/>
    <w:rsid w:val="00C81948"/>
    <w:rsid w:val="00C81961"/>
    <w:rsid w:val="00C819A0"/>
    <w:rsid w:val="00C81A06"/>
    <w:rsid w:val="00C81BA0"/>
    <w:rsid w:val="00C81CBC"/>
    <w:rsid w:val="00C8234A"/>
    <w:rsid w:val="00C8245B"/>
    <w:rsid w:val="00C82555"/>
    <w:rsid w:val="00C825A1"/>
    <w:rsid w:val="00C826B6"/>
    <w:rsid w:val="00C8294D"/>
    <w:rsid w:val="00C82A12"/>
    <w:rsid w:val="00C82AFE"/>
    <w:rsid w:val="00C82B3E"/>
    <w:rsid w:val="00C82CC6"/>
    <w:rsid w:val="00C82F0B"/>
    <w:rsid w:val="00C8327C"/>
    <w:rsid w:val="00C834D4"/>
    <w:rsid w:val="00C834FD"/>
    <w:rsid w:val="00C835DB"/>
    <w:rsid w:val="00C837A5"/>
    <w:rsid w:val="00C839A3"/>
    <w:rsid w:val="00C83A0D"/>
    <w:rsid w:val="00C83A0F"/>
    <w:rsid w:val="00C83A4C"/>
    <w:rsid w:val="00C83A7F"/>
    <w:rsid w:val="00C83C48"/>
    <w:rsid w:val="00C83CF9"/>
    <w:rsid w:val="00C83D5F"/>
    <w:rsid w:val="00C83D6B"/>
    <w:rsid w:val="00C83DD7"/>
    <w:rsid w:val="00C83E1C"/>
    <w:rsid w:val="00C83EC6"/>
    <w:rsid w:val="00C8409B"/>
    <w:rsid w:val="00C840BD"/>
    <w:rsid w:val="00C8414F"/>
    <w:rsid w:val="00C8415F"/>
    <w:rsid w:val="00C84215"/>
    <w:rsid w:val="00C84462"/>
    <w:rsid w:val="00C8483A"/>
    <w:rsid w:val="00C84906"/>
    <w:rsid w:val="00C84953"/>
    <w:rsid w:val="00C84962"/>
    <w:rsid w:val="00C849F9"/>
    <w:rsid w:val="00C84AF1"/>
    <w:rsid w:val="00C84DDC"/>
    <w:rsid w:val="00C84EC9"/>
    <w:rsid w:val="00C852DA"/>
    <w:rsid w:val="00C85579"/>
    <w:rsid w:val="00C85615"/>
    <w:rsid w:val="00C8593B"/>
    <w:rsid w:val="00C859BD"/>
    <w:rsid w:val="00C85C0D"/>
    <w:rsid w:val="00C85EAA"/>
    <w:rsid w:val="00C861AF"/>
    <w:rsid w:val="00C86259"/>
    <w:rsid w:val="00C8686B"/>
    <w:rsid w:val="00C868EF"/>
    <w:rsid w:val="00C86963"/>
    <w:rsid w:val="00C86A4F"/>
    <w:rsid w:val="00C86BEB"/>
    <w:rsid w:val="00C86CE0"/>
    <w:rsid w:val="00C86D76"/>
    <w:rsid w:val="00C86F55"/>
    <w:rsid w:val="00C87045"/>
    <w:rsid w:val="00C877D8"/>
    <w:rsid w:val="00C87893"/>
    <w:rsid w:val="00C87A13"/>
    <w:rsid w:val="00C87AC7"/>
    <w:rsid w:val="00C87CDF"/>
    <w:rsid w:val="00C9001B"/>
    <w:rsid w:val="00C901A9"/>
    <w:rsid w:val="00C9073B"/>
    <w:rsid w:val="00C90A6C"/>
    <w:rsid w:val="00C90D05"/>
    <w:rsid w:val="00C90D75"/>
    <w:rsid w:val="00C91193"/>
    <w:rsid w:val="00C91C14"/>
    <w:rsid w:val="00C91E83"/>
    <w:rsid w:val="00C91EAB"/>
    <w:rsid w:val="00C922E4"/>
    <w:rsid w:val="00C9234D"/>
    <w:rsid w:val="00C92382"/>
    <w:rsid w:val="00C925C8"/>
    <w:rsid w:val="00C9264C"/>
    <w:rsid w:val="00C926AC"/>
    <w:rsid w:val="00C928A7"/>
    <w:rsid w:val="00C92A12"/>
    <w:rsid w:val="00C92B1F"/>
    <w:rsid w:val="00C92E3F"/>
    <w:rsid w:val="00C930FB"/>
    <w:rsid w:val="00C93553"/>
    <w:rsid w:val="00C93785"/>
    <w:rsid w:val="00C93832"/>
    <w:rsid w:val="00C93E59"/>
    <w:rsid w:val="00C94330"/>
    <w:rsid w:val="00C94734"/>
    <w:rsid w:val="00C947A9"/>
    <w:rsid w:val="00C949B2"/>
    <w:rsid w:val="00C94D09"/>
    <w:rsid w:val="00C94D25"/>
    <w:rsid w:val="00C950FE"/>
    <w:rsid w:val="00C951FD"/>
    <w:rsid w:val="00C95263"/>
    <w:rsid w:val="00C955CB"/>
    <w:rsid w:val="00C9565A"/>
    <w:rsid w:val="00C956BB"/>
    <w:rsid w:val="00C9571A"/>
    <w:rsid w:val="00C9583E"/>
    <w:rsid w:val="00C95A21"/>
    <w:rsid w:val="00C95B40"/>
    <w:rsid w:val="00C95C72"/>
    <w:rsid w:val="00C95CFE"/>
    <w:rsid w:val="00C95DA1"/>
    <w:rsid w:val="00C95E6D"/>
    <w:rsid w:val="00C95F61"/>
    <w:rsid w:val="00C963B7"/>
    <w:rsid w:val="00C96459"/>
    <w:rsid w:val="00C96494"/>
    <w:rsid w:val="00C964FA"/>
    <w:rsid w:val="00C96B37"/>
    <w:rsid w:val="00C96BC1"/>
    <w:rsid w:val="00C96CFC"/>
    <w:rsid w:val="00C9700B"/>
    <w:rsid w:val="00C97250"/>
    <w:rsid w:val="00C977E3"/>
    <w:rsid w:val="00C9783B"/>
    <w:rsid w:val="00C979B2"/>
    <w:rsid w:val="00C97B47"/>
    <w:rsid w:val="00C97C33"/>
    <w:rsid w:val="00C97EA2"/>
    <w:rsid w:val="00C97F47"/>
    <w:rsid w:val="00CA00ED"/>
    <w:rsid w:val="00CA0190"/>
    <w:rsid w:val="00CA0342"/>
    <w:rsid w:val="00CA0348"/>
    <w:rsid w:val="00CA03F2"/>
    <w:rsid w:val="00CA0D2E"/>
    <w:rsid w:val="00CA1173"/>
    <w:rsid w:val="00CA13B5"/>
    <w:rsid w:val="00CA1400"/>
    <w:rsid w:val="00CA1524"/>
    <w:rsid w:val="00CA15FA"/>
    <w:rsid w:val="00CA1C39"/>
    <w:rsid w:val="00CA1F11"/>
    <w:rsid w:val="00CA205C"/>
    <w:rsid w:val="00CA21BF"/>
    <w:rsid w:val="00CA2245"/>
    <w:rsid w:val="00CA238F"/>
    <w:rsid w:val="00CA2422"/>
    <w:rsid w:val="00CA2464"/>
    <w:rsid w:val="00CA27AD"/>
    <w:rsid w:val="00CA27D3"/>
    <w:rsid w:val="00CA290C"/>
    <w:rsid w:val="00CA30A6"/>
    <w:rsid w:val="00CA32B1"/>
    <w:rsid w:val="00CA33B5"/>
    <w:rsid w:val="00CA3BF3"/>
    <w:rsid w:val="00CA3CB9"/>
    <w:rsid w:val="00CA402C"/>
    <w:rsid w:val="00CA4400"/>
    <w:rsid w:val="00CA4579"/>
    <w:rsid w:val="00CA4E90"/>
    <w:rsid w:val="00CA56A1"/>
    <w:rsid w:val="00CA5724"/>
    <w:rsid w:val="00CA5A01"/>
    <w:rsid w:val="00CA5ACC"/>
    <w:rsid w:val="00CA5CC4"/>
    <w:rsid w:val="00CA5D28"/>
    <w:rsid w:val="00CA5ED9"/>
    <w:rsid w:val="00CA6050"/>
    <w:rsid w:val="00CA61BF"/>
    <w:rsid w:val="00CA6528"/>
    <w:rsid w:val="00CA6876"/>
    <w:rsid w:val="00CA68D3"/>
    <w:rsid w:val="00CA6CDD"/>
    <w:rsid w:val="00CA6D0F"/>
    <w:rsid w:val="00CA6E90"/>
    <w:rsid w:val="00CA6F3F"/>
    <w:rsid w:val="00CA7165"/>
    <w:rsid w:val="00CB017F"/>
    <w:rsid w:val="00CB02AA"/>
    <w:rsid w:val="00CB04A6"/>
    <w:rsid w:val="00CB05DA"/>
    <w:rsid w:val="00CB07C5"/>
    <w:rsid w:val="00CB07FB"/>
    <w:rsid w:val="00CB09EC"/>
    <w:rsid w:val="00CB1145"/>
    <w:rsid w:val="00CB139E"/>
    <w:rsid w:val="00CB1408"/>
    <w:rsid w:val="00CB150D"/>
    <w:rsid w:val="00CB174F"/>
    <w:rsid w:val="00CB1B8F"/>
    <w:rsid w:val="00CB1BF8"/>
    <w:rsid w:val="00CB1C8F"/>
    <w:rsid w:val="00CB1D6B"/>
    <w:rsid w:val="00CB1F6B"/>
    <w:rsid w:val="00CB1F9E"/>
    <w:rsid w:val="00CB2146"/>
    <w:rsid w:val="00CB233C"/>
    <w:rsid w:val="00CB233F"/>
    <w:rsid w:val="00CB2390"/>
    <w:rsid w:val="00CB23EF"/>
    <w:rsid w:val="00CB2591"/>
    <w:rsid w:val="00CB289A"/>
    <w:rsid w:val="00CB2911"/>
    <w:rsid w:val="00CB29A5"/>
    <w:rsid w:val="00CB2AB2"/>
    <w:rsid w:val="00CB2B83"/>
    <w:rsid w:val="00CB2E67"/>
    <w:rsid w:val="00CB2E72"/>
    <w:rsid w:val="00CB2FD4"/>
    <w:rsid w:val="00CB309A"/>
    <w:rsid w:val="00CB30AA"/>
    <w:rsid w:val="00CB371A"/>
    <w:rsid w:val="00CB3731"/>
    <w:rsid w:val="00CB37F5"/>
    <w:rsid w:val="00CB3832"/>
    <w:rsid w:val="00CB3B05"/>
    <w:rsid w:val="00CB3B37"/>
    <w:rsid w:val="00CB3C2B"/>
    <w:rsid w:val="00CB3E95"/>
    <w:rsid w:val="00CB3F00"/>
    <w:rsid w:val="00CB3FB9"/>
    <w:rsid w:val="00CB41E2"/>
    <w:rsid w:val="00CB4250"/>
    <w:rsid w:val="00CB45F3"/>
    <w:rsid w:val="00CB4BFB"/>
    <w:rsid w:val="00CB52FB"/>
    <w:rsid w:val="00CB5338"/>
    <w:rsid w:val="00CB539C"/>
    <w:rsid w:val="00CB53E2"/>
    <w:rsid w:val="00CB540F"/>
    <w:rsid w:val="00CB5435"/>
    <w:rsid w:val="00CB5541"/>
    <w:rsid w:val="00CB5AF1"/>
    <w:rsid w:val="00CB5C36"/>
    <w:rsid w:val="00CB5C47"/>
    <w:rsid w:val="00CB5C53"/>
    <w:rsid w:val="00CB60F1"/>
    <w:rsid w:val="00CB61EF"/>
    <w:rsid w:val="00CB652C"/>
    <w:rsid w:val="00CB6538"/>
    <w:rsid w:val="00CB6585"/>
    <w:rsid w:val="00CB65EE"/>
    <w:rsid w:val="00CB6841"/>
    <w:rsid w:val="00CB69DE"/>
    <w:rsid w:val="00CB6B3A"/>
    <w:rsid w:val="00CB6F1C"/>
    <w:rsid w:val="00CB6FDC"/>
    <w:rsid w:val="00CB6FEC"/>
    <w:rsid w:val="00CB737E"/>
    <w:rsid w:val="00CB740A"/>
    <w:rsid w:val="00CB7684"/>
    <w:rsid w:val="00CB7751"/>
    <w:rsid w:val="00CB77BE"/>
    <w:rsid w:val="00CB77DA"/>
    <w:rsid w:val="00CB7B5C"/>
    <w:rsid w:val="00CB7BDA"/>
    <w:rsid w:val="00CB7C84"/>
    <w:rsid w:val="00CB7CD0"/>
    <w:rsid w:val="00CB7F00"/>
    <w:rsid w:val="00CB7FB9"/>
    <w:rsid w:val="00CC00E4"/>
    <w:rsid w:val="00CC02AD"/>
    <w:rsid w:val="00CC03DA"/>
    <w:rsid w:val="00CC07FC"/>
    <w:rsid w:val="00CC085E"/>
    <w:rsid w:val="00CC09D8"/>
    <w:rsid w:val="00CC0A34"/>
    <w:rsid w:val="00CC10AF"/>
    <w:rsid w:val="00CC11FC"/>
    <w:rsid w:val="00CC1288"/>
    <w:rsid w:val="00CC156F"/>
    <w:rsid w:val="00CC15C3"/>
    <w:rsid w:val="00CC18B2"/>
    <w:rsid w:val="00CC1A0B"/>
    <w:rsid w:val="00CC1DF1"/>
    <w:rsid w:val="00CC243B"/>
    <w:rsid w:val="00CC24B0"/>
    <w:rsid w:val="00CC24FF"/>
    <w:rsid w:val="00CC253C"/>
    <w:rsid w:val="00CC274D"/>
    <w:rsid w:val="00CC2800"/>
    <w:rsid w:val="00CC2A34"/>
    <w:rsid w:val="00CC2B9D"/>
    <w:rsid w:val="00CC2BD3"/>
    <w:rsid w:val="00CC2CB0"/>
    <w:rsid w:val="00CC2E03"/>
    <w:rsid w:val="00CC335C"/>
    <w:rsid w:val="00CC393B"/>
    <w:rsid w:val="00CC3AE0"/>
    <w:rsid w:val="00CC3B0A"/>
    <w:rsid w:val="00CC3C4A"/>
    <w:rsid w:val="00CC3EFF"/>
    <w:rsid w:val="00CC4079"/>
    <w:rsid w:val="00CC4099"/>
    <w:rsid w:val="00CC445A"/>
    <w:rsid w:val="00CC4562"/>
    <w:rsid w:val="00CC45C2"/>
    <w:rsid w:val="00CC4698"/>
    <w:rsid w:val="00CC4794"/>
    <w:rsid w:val="00CC49AA"/>
    <w:rsid w:val="00CC4A61"/>
    <w:rsid w:val="00CC4B10"/>
    <w:rsid w:val="00CC4B1E"/>
    <w:rsid w:val="00CC4B2B"/>
    <w:rsid w:val="00CC4B6D"/>
    <w:rsid w:val="00CC4E3A"/>
    <w:rsid w:val="00CC4E6A"/>
    <w:rsid w:val="00CC4EE4"/>
    <w:rsid w:val="00CC513E"/>
    <w:rsid w:val="00CC518E"/>
    <w:rsid w:val="00CC5638"/>
    <w:rsid w:val="00CC5A50"/>
    <w:rsid w:val="00CC5B68"/>
    <w:rsid w:val="00CC5CC4"/>
    <w:rsid w:val="00CC5D36"/>
    <w:rsid w:val="00CC5F9B"/>
    <w:rsid w:val="00CC5FD9"/>
    <w:rsid w:val="00CC6A16"/>
    <w:rsid w:val="00CC715D"/>
    <w:rsid w:val="00CC7379"/>
    <w:rsid w:val="00CC7525"/>
    <w:rsid w:val="00CC765D"/>
    <w:rsid w:val="00CC777B"/>
    <w:rsid w:val="00CC7B56"/>
    <w:rsid w:val="00CC7CEC"/>
    <w:rsid w:val="00CD00CC"/>
    <w:rsid w:val="00CD00D6"/>
    <w:rsid w:val="00CD024C"/>
    <w:rsid w:val="00CD04AF"/>
    <w:rsid w:val="00CD04EA"/>
    <w:rsid w:val="00CD051D"/>
    <w:rsid w:val="00CD0615"/>
    <w:rsid w:val="00CD0D21"/>
    <w:rsid w:val="00CD0ECC"/>
    <w:rsid w:val="00CD0FF9"/>
    <w:rsid w:val="00CD1053"/>
    <w:rsid w:val="00CD10BB"/>
    <w:rsid w:val="00CD10FA"/>
    <w:rsid w:val="00CD13F5"/>
    <w:rsid w:val="00CD172B"/>
    <w:rsid w:val="00CD1889"/>
    <w:rsid w:val="00CD18B8"/>
    <w:rsid w:val="00CD1A47"/>
    <w:rsid w:val="00CD1F08"/>
    <w:rsid w:val="00CD23AF"/>
    <w:rsid w:val="00CD23FC"/>
    <w:rsid w:val="00CD24B1"/>
    <w:rsid w:val="00CD25AD"/>
    <w:rsid w:val="00CD262E"/>
    <w:rsid w:val="00CD26E2"/>
    <w:rsid w:val="00CD2788"/>
    <w:rsid w:val="00CD2799"/>
    <w:rsid w:val="00CD2AF7"/>
    <w:rsid w:val="00CD2E68"/>
    <w:rsid w:val="00CD2EEB"/>
    <w:rsid w:val="00CD2F1D"/>
    <w:rsid w:val="00CD31B2"/>
    <w:rsid w:val="00CD3963"/>
    <w:rsid w:val="00CD4086"/>
    <w:rsid w:val="00CD4112"/>
    <w:rsid w:val="00CD4327"/>
    <w:rsid w:val="00CD436B"/>
    <w:rsid w:val="00CD4373"/>
    <w:rsid w:val="00CD4443"/>
    <w:rsid w:val="00CD4469"/>
    <w:rsid w:val="00CD45BC"/>
    <w:rsid w:val="00CD482D"/>
    <w:rsid w:val="00CD4DEB"/>
    <w:rsid w:val="00CD4FBB"/>
    <w:rsid w:val="00CD5239"/>
    <w:rsid w:val="00CD54A8"/>
    <w:rsid w:val="00CD55F8"/>
    <w:rsid w:val="00CD5817"/>
    <w:rsid w:val="00CD5821"/>
    <w:rsid w:val="00CD5BA9"/>
    <w:rsid w:val="00CD5E49"/>
    <w:rsid w:val="00CD5FFD"/>
    <w:rsid w:val="00CD610C"/>
    <w:rsid w:val="00CD6620"/>
    <w:rsid w:val="00CD66B4"/>
    <w:rsid w:val="00CD6784"/>
    <w:rsid w:val="00CD67BB"/>
    <w:rsid w:val="00CD6D0F"/>
    <w:rsid w:val="00CD6D3C"/>
    <w:rsid w:val="00CD6E42"/>
    <w:rsid w:val="00CD6E53"/>
    <w:rsid w:val="00CD7003"/>
    <w:rsid w:val="00CD7033"/>
    <w:rsid w:val="00CD717B"/>
    <w:rsid w:val="00CD7529"/>
    <w:rsid w:val="00CD75B9"/>
    <w:rsid w:val="00CD770D"/>
    <w:rsid w:val="00CD7914"/>
    <w:rsid w:val="00CD79A1"/>
    <w:rsid w:val="00CD7A64"/>
    <w:rsid w:val="00CD7ABC"/>
    <w:rsid w:val="00CD7CFC"/>
    <w:rsid w:val="00CD7DA2"/>
    <w:rsid w:val="00CD7EBF"/>
    <w:rsid w:val="00CE0159"/>
    <w:rsid w:val="00CE0180"/>
    <w:rsid w:val="00CE0386"/>
    <w:rsid w:val="00CE0438"/>
    <w:rsid w:val="00CE0483"/>
    <w:rsid w:val="00CE0628"/>
    <w:rsid w:val="00CE085C"/>
    <w:rsid w:val="00CE0875"/>
    <w:rsid w:val="00CE089F"/>
    <w:rsid w:val="00CE0A06"/>
    <w:rsid w:val="00CE0EF5"/>
    <w:rsid w:val="00CE108C"/>
    <w:rsid w:val="00CE1135"/>
    <w:rsid w:val="00CE1441"/>
    <w:rsid w:val="00CE148F"/>
    <w:rsid w:val="00CE15FF"/>
    <w:rsid w:val="00CE18AF"/>
    <w:rsid w:val="00CE2150"/>
    <w:rsid w:val="00CE22F9"/>
    <w:rsid w:val="00CE230E"/>
    <w:rsid w:val="00CE2407"/>
    <w:rsid w:val="00CE279B"/>
    <w:rsid w:val="00CE2A10"/>
    <w:rsid w:val="00CE2AD8"/>
    <w:rsid w:val="00CE2E82"/>
    <w:rsid w:val="00CE2F1D"/>
    <w:rsid w:val="00CE3077"/>
    <w:rsid w:val="00CE31D5"/>
    <w:rsid w:val="00CE32DE"/>
    <w:rsid w:val="00CE367E"/>
    <w:rsid w:val="00CE36D8"/>
    <w:rsid w:val="00CE37EB"/>
    <w:rsid w:val="00CE3892"/>
    <w:rsid w:val="00CE3C3A"/>
    <w:rsid w:val="00CE4064"/>
    <w:rsid w:val="00CE485C"/>
    <w:rsid w:val="00CE494F"/>
    <w:rsid w:val="00CE4970"/>
    <w:rsid w:val="00CE4FE4"/>
    <w:rsid w:val="00CE503D"/>
    <w:rsid w:val="00CE5060"/>
    <w:rsid w:val="00CE5064"/>
    <w:rsid w:val="00CE5407"/>
    <w:rsid w:val="00CE5510"/>
    <w:rsid w:val="00CE556B"/>
    <w:rsid w:val="00CE5817"/>
    <w:rsid w:val="00CE5A09"/>
    <w:rsid w:val="00CE5B33"/>
    <w:rsid w:val="00CE5CE4"/>
    <w:rsid w:val="00CE5FDB"/>
    <w:rsid w:val="00CE6080"/>
    <w:rsid w:val="00CE6171"/>
    <w:rsid w:val="00CE625F"/>
    <w:rsid w:val="00CE6792"/>
    <w:rsid w:val="00CE688F"/>
    <w:rsid w:val="00CE68D3"/>
    <w:rsid w:val="00CE6A6B"/>
    <w:rsid w:val="00CE6C44"/>
    <w:rsid w:val="00CE708C"/>
    <w:rsid w:val="00CE71CD"/>
    <w:rsid w:val="00CE7422"/>
    <w:rsid w:val="00CE7472"/>
    <w:rsid w:val="00CE753C"/>
    <w:rsid w:val="00CE77D2"/>
    <w:rsid w:val="00CE79DD"/>
    <w:rsid w:val="00CE7DE8"/>
    <w:rsid w:val="00CE7ED7"/>
    <w:rsid w:val="00CE7F2D"/>
    <w:rsid w:val="00CF0125"/>
    <w:rsid w:val="00CF0276"/>
    <w:rsid w:val="00CF02CF"/>
    <w:rsid w:val="00CF02E0"/>
    <w:rsid w:val="00CF0328"/>
    <w:rsid w:val="00CF03DC"/>
    <w:rsid w:val="00CF05F9"/>
    <w:rsid w:val="00CF0645"/>
    <w:rsid w:val="00CF0664"/>
    <w:rsid w:val="00CF0B9A"/>
    <w:rsid w:val="00CF1269"/>
    <w:rsid w:val="00CF12BF"/>
    <w:rsid w:val="00CF136F"/>
    <w:rsid w:val="00CF1686"/>
    <w:rsid w:val="00CF16C6"/>
    <w:rsid w:val="00CF1871"/>
    <w:rsid w:val="00CF193E"/>
    <w:rsid w:val="00CF19CB"/>
    <w:rsid w:val="00CF1A05"/>
    <w:rsid w:val="00CF1A06"/>
    <w:rsid w:val="00CF1A94"/>
    <w:rsid w:val="00CF1AF3"/>
    <w:rsid w:val="00CF1B25"/>
    <w:rsid w:val="00CF1D4C"/>
    <w:rsid w:val="00CF1E66"/>
    <w:rsid w:val="00CF1FB7"/>
    <w:rsid w:val="00CF1FCD"/>
    <w:rsid w:val="00CF258A"/>
    <w:rsid w:val="00CF29C5"/>
    <w:rsid w:val="00CF2B43"/>
    <w:rsid w:val="00CF2BDA"/>
    <w:rsid w:val="00CF2D3E"/>
    <w:rsid w:val="00CF2DF0"/>
    <w:rsid w:val="00CF2E4D"/>
    <w:rsid w:val="00CF30F2"/>
    <w:rsid w:val="00CF3145"/>
    <w:rsid w:val="00CF3676"/>
    <w:rsid w:val="00CF38DD"/>
    <w:rsid w:val="00CF3A43"/>
    <w:rsid w:val="00CF40AC"/>
    <w:rsid w:val="00CF4133"/>
    <w:rsid w:val="00CF42CC"/>
    <w:rsid w:val="00CF477F"/>
    <w:rsid w:val="00CF4BA4"/>
    <w:rsid w:val="00CF4C84"/>
    <w:rsid w:val="00CF4D36"/>
    <w:rsid w:val="00CF4D7F"/>
    <w:rsid w:val="00CF50B0"/>
    <w:rsid w:val="00CF522B"/>
    <w:rsid w:val="00CF5236"/>
    <w:rsid w:val="00CF577E"/>
    <w:rsid w:val="00CF5817"/>
    <w:rsid w:val="00CF59E9"/>
    <w:rsid w:val="00CF61EF"/>
    <w:rsid w:val="00CF6207"/>
    <w:rsid w:val="00CF6244"/>
    <w:rsid w:val="00CF6287"/>
    <w:rsid w:val="00CF6A3E"/>
    <w:rsid w:val="00CF6C70"/>
    <w:rsid w:val="00CF6F2A"/>
    <w:rsid w:val="00CF7024"/>
    <w:rsid w:val="00CF7839"/>
    <w:rsid w:val="00CF793C"/>
    <w:rsid w:val="00CF79BF"/>
    <w:rsid w:val="00CF7DFF"/>
    <w:rsid w:val="00CF7E7C"/>
    <w:rsid w:val="00D00469"/>
    <w:rsid w:val="00D00AA0"/>
    <w:rsid w:val="00D00B1E"/>
    <w:rsid w:val="00D00B3A"/>
    <w:rsid w:val="00D00D56"/>
    <w:rsid w:val="00D00E5E"/>
    <w:rsid w:val="00D011E3"/>
    <w:rsid w:val="00D0143C"/>
    <w:rsid w:val="00D01582"/>
    <w:rsid w:val="00D01595"/>
    <w:rsid w:val="00D0187D"/>
    <w:rsid w:val="00D01885"/>
    <w:rsid w:val="00D0188E"/>
    <w:rsid w:val="00D0191D"/>
    <w:rsid w:val="00D01B31"/>
    <w:rsid w:val="00D01BB4"/>
    <w:rsid w:val="00D02127"/>
    <w:rsid w:val="00D025CC"/>
    <w:rsid w:val="00D02994"/>
    <w:rsid w:val="00D02D68"/>
    <w:rsid w:val="00D02D74"/>
    <w:rsid w:val="00D03231"/>
    <w:rsid w:val="00D03382"/>
    <w:rsid w:val="00D033E1"/>
    <w:rsid w:val="00D036EB"/>
    <w:rsid w:val="00D0375D"/>
    <w:rsid w:val="00D0395A"/>
    <w:rsid w:val="00D03976"/>
    <w:rsid w:val="00D03C65"/>
    <w:rsid w:val="00D03EFD"/>
    <w:rsid w:val="00D041AF"/>
    <w:rsid w:val="00D041C0"/>
    <w:rsid w:val="00D04326"/>
    <w:rsid w:val="00D04359"/>
    <w:rsid w:val="00D047B5"/>
    <w:rsid w:val="00D048C2"/>
    <w:rsid w:val="00D04C21"/>
    <w:rsid w:val="00D04CB8"/>
    <w:rsid w:val="00D04D88"/>
    <w:rsid w:val="00D04F2F"/>
    <w:rsid w:val="00D0547F"/>
    <w:rsid w:val="00D0564D"/>
    <w:rsid w:val="00D05C66"/>
    <w:rsid w:val="00D05C6E"/>
    <w:rsid w:val="00D05CAF"/>
    <w:rsid w:val="00D05FAD"/>
    <w:rsid w:val="00D061B8"/>
    <w:rsid w:val="00D0625B"/>
    <w:rsid w:val="00D064B3"/>
    <w:rsid w:val="00D06C24"/>
    <w:rsid w:val="00D071CA"/>
    <w:rsid w:val="00D07274"/>
    <w:rsid w:val="00D07295"/>
    <w:rsid w:val="00D07599"/>
    <w:rsid w:val="00D077DC"/>
    <w:rsid w:val="00D07A95"/>
    <w:rsid w:val="00D07AEF"/>
    <w:rsid w:val="00D07FC0"/>
    <w:rsid w:val="00D10053"/>
    <w:rsid w:val="00D100BC"/>
    <w:rsid w:val="00D101D6"/>
    <w:rsid w:val="00D102C4"/>
    <w:rsid w:val="00D10318"/>
    <w:rsid w:val="00D105E3"/>
    <w:rsid w:val="00D1065B"/>
    <w:rsid w:val="00D107C9"/>
    <w:rsid w:val="00D10911"/>
    <w:rsid w:val="00D10A5B"/>
    <w:rsid w:val="00D10B94"/>
    <w:rsid w:val="00D10BC6"/>
    <w:rsid w:val="00D10ED6"/>
    <w:rsid w:val="00D110DB"/>
    <w:rsid w:val="00D111AE"/>
    <w:rsid w:val="00D1149D"/>
    <w:rsid w:val="00D11DBB"/>
    <w:rsid w:val="00D1207B"/>
    <w:rsid w:val="00D12670"/>
    <w:rsid w:val="00D1274E"/>
    <w:rsid w:val="00D1282F"/>
    <w:rsid w:val="00D12EAD"/>
    <w:rsid w:val="00D12F12"/>
    <w:rsid w:val="00D12F96"/>
    <w:rsid w:val="00D12FEB"/>
    <w:rsid w:val="00D132AC"/>
    <w:rsid w:val="00D13566"/>
    <w:rsid w:val="00D136A0"/>
    <w:rsid w:val="00D137DB"/>
    <w:rsid w:val="00D137EF"/>
    <w:rsid w:val="00D13801"/>
    <w:rsid w:val="00D13B61"/>
    <w:rsid w:val="00D142DB"/>
    <w:rsid w:val="00D1466A"/>
    <w:rsid w:val="00D14727"/>
    <w:rsid w:val="00D14891"/>
    <w:rsid w:val="00D148F3"/>
    <w:rsid w:val="00D14B60"/>
    <w:rsid w:val="00D14F3A"/>
    <w:rsid w:val="00D150C7"/>
    <w:rsid w:val="00D15818"/>
    <w:rsid w:val="00D1588D"/>
    <w:rsid w:val="00D15DB6"/>
    <w:rsid w:val="00D15F85"/>
    <w:rsid w:val="00D160FA"/>
    <w:rsid w:val="00D162DD"/>
    <w:rsid w:val="00D16318"/>
    <w:rsid w:val="00D165F1"/>
    <w:rsid w:val="00D1669D"/>
    <w:rsid w:val="00D16748"/>
    <w:rsid w:val="00D169F3"/>
    <w:rsid w:val="00D16B58"/>
    <w:rsid w:val="00D16EF8"/>
    <w:rsid w:val="00D16FA8"/>
    <w:rsid w:val="00D1700E"/>
    <w:rsid w:val="00D17124"/>
    <w:rsid w:val="00D17139"/>
    <w:rsid w:val="00D17359"/>
    <w:rsid w:val="00D174D3"/>
    <w:rsid w:val="00D178C9"/>
    <w:rsid w:val="00D17B27"/>
    <w:rsid w:val="00D17BF0"/>
    <w:rsid w:val="00D20120"/>
    <w:rsid w:val="00D203D4"/>
    <w:rsid w:val="00D20471"/>
    <w:rsid w:val="00D204F1"/>
    <w:rsid w:val="00D2055A"/>
    <w:rsid w:val="00D207F5"/>
    <w:rsid w:val="00D20CA5"/>
    <w:rsid w:val="00D20F7F"/>
    <w:rsid w:val="00D21097"/>
    <w:rsid w:val="00D21BF8"/>
    <w:rsid w:val="00D21F5C"/>
    <w:rsid w:val="00D2216F"/>
    <w:rsid w:val="00D221B8"/>
    <w:rsid w:val="00D2244A"/>
    <w:rsid w:val="00D22812"/>
    <w:rsid w:val="00D2283F"/>
    <w:rsid w:val="00D228F5"/>
    <w:rsid w:val="00D2324B"/>
    <w:rsid w:val="00D233EB"/>
    <w:rsid w:val="00D234D1"/>
    <w:rsid w:val="00D23602"/>
    <w:rsid w:val="00D236D1"/>
    <w:rsid w:val="00D2370F"/>
    <w:rsid w:val="00D2375E"/>
    <w:rsid w:val="00D2380F"/>
    <w:rsid w:val="00D23849"/>
    <w:rsid w:val="00D23C7D"/>
    <w:rsid w:val="00D23D04"/>
    <w:rsid w:val="00D23D30"/>
    <w:rsid w:val="00D23DF3"/>
    <w:rsid w:val="00D23EF5"/>
    <w:rsid w:val="00D2410C"/>
    <w:rsid w:val="00D24410"/>
    <w:rsid w:val="00D244B8"/>
    <w:rsid w:val="00D24982"/>
    <w:rsid w:val="00D250A5"/>
    <w:rsid w:val="00D254B1"/>
    <w:rsid w:val="00D256A2"/>
    <w:rsid w:val="00D25A59"/>
    <w:rsid w:val="00D25CC0"/>
    <w:rsid w:val="00D25D65"/>
    <w:rsid w:val="00D25F64"/>
    <w:rsid w:val="00D25FEC"/>
    <w:rsid w:val="00D26247"/>
    <w:rsid w:val="00D26288"/>
    <w:rsid w:val="00D26403"/>
    <w:rsid w:val="00D2675A"/>
    <w:rsid w:val="00D26B26"/>
    <w:rsid w:val="00D26B9D"/>
    <w:rsid w:val="00D270AF"/>
    <w:rsid w:val="00D27248"/>
    <w:rsid w:val="00D2729A"/>
    <w:rsid w:val="00D273DE"/>
    <w:rsid w:val="00D27420"/>
    <w:rsid w:val="00D27729"/>
    <w:rsid w:val="00D279B1"/>
    <w:rsid w:val="00D27C18"/>
    <w:rsid w:val="00D27C8E"/>
    <w:rsid w:val="00D27E59"/>
    <w:rsid w:val="00D301CB"/>
    <w:rsid w:val="00D30402"/>
    <w:rsid w:val="00D30A32"/>
    <w:rsid w:val="00D30B8D"/>
    <w:rsid w:val="00D30DEE"/>
    <w:rsid w:val="00D311E9"/>
    <w:rsid w:val="00D31229"/>
    <w:rsid w:val="00D3162A"/>
    <w:rsid w:val="00D316C8"/>
    <w:rsid w:val="00D31916"/>
    <w:rsid w:val="00D3191B"/>
    <w:rsid w:val="00D31992"/>
    <w:rsid w:val="00D31B71"/>
    <w:rsid w:val="00D31CD2"/>
    <w:rsid w:val="00D32164"/>
    <w:rsid w:val="00D32383"/>
    <w:rsid w:val="00D32409"/>
    <w:rsid w:val="00D32652"/>
    <w:rsid w:val="00D32CFA"/>
    <w:rsid w:val="00D32EC2"/>
    <w:rsid w:val="00D337B7"/>
    <w:rsid w:val="00D339C0"/>
    <w:rsid w:val="00D33E01"/>
    <w:rsid w:val="00D33EAD"/>
    <w:rsid w:val="00D34000"/>
    <w:rsid w:val="00D34275"/>
    <w:rsid w:val="00D3436D"/>
    <w:rsid w:val="00D34466"/>
    <w:rsid w:val="00D3451F"/>
    <w:rsid w:val="00D34600"/>
    <w:rsid w:val="00D3477E"/>
    <w:rsid w:val="00D349DD"/>
    <w:rsid w:val="00D34B73"/>
    <w:rsid w:val="00D34BD5"/>
    <w:rsid w:val="00D34F58"/>
    <w:rsid w:val="00D3500A"/>
    <w:rsid w:val="00D35123"/>
    <w:rsid w:val="00D35303"/>
    <w:rsid w:val="00D35A79"/>
    <w:rsid w:val="00D35ABF"/>
    <w:rsid w:val="00D35D50"/>
    <w:rsid w:val="00D35DD6"/>
    <w:rsid w:val="00D35F45"/>
    <w:rsid w:val="00D3606B"/>
    <w:rsid w:val="00D363ED"/>
    <w:rsid w:val="00D365F8"/>
    <w:rsid w:val="00D366F5"/>
    <w:rsid w:val="00D368F8"/>
    <w:rsid w:val="00D36A4A"/>
    <w:rsid w:val="00D36CF7"/>
    <w:rsid w:val="00D36DD3"/>
    <w:rsid w:val="00D36EDC"/>
    <w:rsid w:val="00D3737E"/>
    <w:rsid w:val="00D376D9"/>
    <w:rsid w:val="00D37851"/>
    <w:rsid w:val="00D37C64"/>
    <w:rsid w:val="00D37CBA"/>
    <w:rsid w:val="00D37E9D"/>
    <w:rsid w:val="00D40827"/>
    <w:rsid w:val="00D408FA"/>
    <w:rsid w:val="00D40D3E"/>
    <w:rsid w:val="00D40F1C"/>
    <w:rsid w:val="00D4121B"/>
    <w:rsid w:val="00D4137D"/>
    <w:rsid w:val="00D41531"/>
    <w:rsid w:val="00D41B23"/>
    <w:rsid w:val="00D41C1F"/>
    <w:rsid w:val="00D41D63"/>
    <w:rsid w:val="00D41E9A"/>
    <w:rsid w:val="00D41F2F"/>
    <w:rsid w:val="00D4213B"/>
    <w:rsid w:val="00D423E7"/>
    <w:rsid w:val="00D42477"/>
    <w:rsid w:val="00D4266A"/>
    <w:rsid w:val="00D4292C"/>
    <w:rsid w:val="00D42968"/>
    <w:rsid w:val="00D429CF"/>
    <w:rsid w:val="00D42AAD"/>
    <w:rsid w:val="00D42CD1"/>
    <w:rsid w:val="00D42CD4"/>
    <w:rsid w:val="00D42D96"/>
    <w:rsid w:val="00D42E8C"/>
    <w:rsid w:val="00D42F6E"/>
    <w:rsid w:val="00D4317E"/>
    <w:rsid w:val="00D43474"/>
    <w:rsid w:val="00D43A52"/>
    <w:rsid w:val="00D43E2A"/>
    <w:rsid w:val="00D4408D"/>
    <w:rsid w:val="00D44506"/>
    <w:rsid w:val="00D44877"/>
    <w:rsid w:val="00D44E0B"/>
    <w:rsid w:val="00D44F94"/>
    <w:rsid w:val="00D4508B"/>
    <w:rsid w:val="00D45236"/>
    <w:rsid w:val="00D4534F"/>
    <w:rsid w:val="00D455A9"/>
    <w:rsid w:val="00D456BA"/>
    <w:rsid w:val="00D45752"/>
    <w:rsid w:val="00D4579D"/>
    <w:rsid w:val="00D45910"/>
    <w:rsid w:val="00D45BB0"/>
    <w:rsid w:val="00D45E31"/>
    <w:rsid w:val="00D45FAF"/>
    <w:rsid w:val="00D46321"/>
    <w:rsid w:val="00D46561"/>
    <w:rsid w:val="00D465CD"/>
    <w:rsid w:val="00D466FD"/>
    <w:rsid w:val="00D46A33"/>
    <w:rsid w:val="00D46B96"/>
    <w:rsid w:val="00D46F6B"/>
    <w:rsid w:val="00D4737F"/>
    <w:rsid w:val="00D474A8"/>
    <w:rsid w:val="00D4782D"/>
    <w:rsid w:val="00D4791F"/>
    <w:rsid w:val="00D47B25"/>
    <w:rsid w:val="00D47B8D"/>
    <w:rsid w:val="00D47E12"/>
    <w:rsid w:val="00D47E59"/>
    <w:rsid w:val="00D47ECA"/>
    <w:rsid w:val="00D47EE7"/>
    <w:rsid w:val="00D5001A"/>
    <w:rsid w:val="00D500A7"/>
    <w:rsid w:val="00D501B1"/>
    <w:rsid w:val="00D50251"/>
    <w:rsid w:val="00D5073E"/>
    <w:rsid w:val="00D50765"/>
    <w:rsid w:val="00D508B5"/>
    <w:rsid w:val="00D50BFF"/>
    <w:rsid w:val="00D5113F"/>
    <w:rsid w:val="00D51365"/>
    <w:rsid w:val="00D514E2"/>
    <w:rsid w:val="00D5155E"/>
    <w:rsid w:val="00D51886"/>
    <w:rsid w:val="00D51888"/>
    <w:rsid w:val="00D5196D"/>
    <w:rsid w:val="00D51DF2"/>
    <w:rsid w:val="00D51FC5"/>
    <w:rsid w:val="00D5211F"/>
    <w:rsid w:val="00D52596"/>
    <w:rsid w:val="00D52CC6"/>
    <w:rsid w:val="00D52E01"/>
    <w:rsid w:val="00D52FD6"/>
    <w:rsid w:val="00D536BC"/>
    <w:rsid w:val="00D53905"/>
    <w:rsid w:val="00D53D41"/>
    <w:rsid w:val="00D54011"/>
    <w:rsid w:val="00D5424D"/>
    <w:rsid w:val="00D542D1"/>
    <w:rsid w:val="00D546E2"/>
    <w:rsid w:val="00D54BA8"/>
    <w:rsid w:val="00D550B8"/>
    <w:rsid w:val="00D55233"/>
    <w:rsid w:val="00D552B2"/>
    <w:rsid w:val="00D5561F"/>
    <w:rsid w:val="00D55861"/>
    <w:rsid w:val="00D55943"/>
    <w:rsid w:val="00D55AB6"/>
    <w:rsid w:val="00D55B0C"/>
    <w:rsid w:val="00D55FDC"/>
    <w:rsid w:val="00D560DF"/>
    <w:rsid w:val="00D56130"/>
    <w:rsid w:val="00D563D0"/>
    <w:rsid w:val="00D565D6"/>
    <w:rsid w:val="00D5682B"/>
    <w:rsid w:val="00D569A8"/>
    <w:rsid w:val="00D56AA5"/>
    <w:rsid w:val="00D56B1C"/>
    <w:rsid w:val="00D56B43"/>
    <w:rsid w:val="00D56BD5"/>
    <w:rsid w:val="00D56CAE"/>
    <w:rsid w:val="00D56FCD"/>
    <w:rsid w:val="00D5718D"/>
    <w:rsid w:val="00D5730E"/>
    <w:rsid w:val="00D57387"/>
    <w:rsid w:val="00D573E6"/>
    <w:rsid w:val="00D5759A"/>
    <w:rsid w:val="00D57633"/>
    <w:rsid w:val="00D57661"/>
    <w:rsid w:val="00D6048C"/>
    <w:rsid w:val="00D604ED"/>
    <w:rsid w:val="00D606A8"/>
    <w:rsid w:val="00D60802"/>
    <w:rsid w:val="00D60B9A"/>
    <w:rsid w:val="00D61010"/>
    <w:rsid w:val="00D61195"/>
    <w:rsid w:val="00D611E6"/>
    <w:rsid w:val="00D61247"/>
    <w:rsid w:val="00D61488"/>
    <w:rsid w:val="00D61CA6"/>
    <w:rsid w:val="00D61DA2"/>
    <w:rsid w:val="00D61E31"/>
    <w:rsid w:val="00D61FA5"/>
    <w:rsid w:val="00D620F0"/>
    <w:rsid w:val="00D62295"/>
    <w:rsid w:val="00D623DD"/>
    <w:rsid w:val="00D62986"/>
    <w:rsid w:val="00D62AC1"/>
    <w:rsid w:val="00D62B0A"/>
    <w:rsid w:val="00D62CFB"/>
    <w:rsid w:val="00D62D25"/>
    <w:rsid w:val="00D63511"/>
    <w:rsid w:val="00D6357A"/>
    <w:rsid w:val="00D63774"/>
    <w:rsid w:val="00D63C88"/>
    <w:rsid w:val="00D63CE8"/>
    <w:rsid w:val="00D63E39"/>
    <w:rsid w:val="00D63FF2"/>
    <w:rsid w:val="00D640A4"/>
    <w:rsid w:val="00D64546"/>
    <w:rsid w:val="00D645E9"/>
    <w:rsid w:val="00D646FA"/>
    <w:rsid w:val="00D647BD"/>
    <w:rsid w:val="00D6485A"/>
    <w:rsid w:val="00D648EC"/>
    <w:rsid w:val="00D64903"/>
    <w:rsid w:val="00D64930"/>
    <w:rsid w:val="00D64A00"/>
    <w:rsid w:val="00D64E11"/>
    <w:rsid w:val="00D64F8D"/>
    <w:rsid w:val="00D64FA4"/>
    <w:rsid w:val="00D651C6"/>
    <w:rsid w:val="00D653CA"/>
    <w:rsid w:val="00D654C6"/>
    <w:rsid w:val="00D65838"/>
    <w:rsid w:val="00D65A2E"/>
    <w:rsid w:val="00D65D38"/>
    <w:rsid w:val="00D65D88"/>
    <w:rsid w:val="00D65E76"/>
    <w:rsid w:val="00D65ED0"/>
    <w:rsid w:val="00D65F6C"/>
    <w:rsid w:val="00D66124"/>
    <w:rsid w:val="00D66508"/>
    <w:rsid w:val="00D6658E"/>
    <w:rsid w:val="00D66611"/>
    <w:rsid w:val="00D6677C"/>
    <w:rsid w:val="00D6678B"/>
    <w:rsid w:val="00D66797"/>
    <w:rsid w:val="00D66919"/>
    <w:rsid w:val="00D66ABD"/>
    <w:rsid w:val="00D66B50"/>
    <w:rsid w:val="00D66BC1"/>
    <w:rsid w:val="00D66CA1"/>
    <w:rsid w:val="00D66DD9"/>
    <w:rsid w:val="00D670C8"/>
    <w:rsid w:val="00D676AF"/>
    <w:rsid w:val="00D677AB"/>
    <w:rsid w:val="00D6791F"/>
    <w:rsid w:val="00D67963"/>
    <w:rsid w:val="00D70204"/>
    <w:rsid w:val="00D704E2"/>
    <w:rsid w:val="00D70C45"/>
    <w:rsid w:val="00D70D9B"/>
    <w:rsid w:val="00D70F2A"/>
    <w:rsid w:val="00D713AB"/>
    <w:rsid w:val="00D714E3"/>
    <w:rsid w:val="00D7157D"/>
    <w:rsid w:val="00D71723"/>
    <w:rsid w:val="00D7180B"/>
    <w:rsid w:val="00D71823"/>
    <w:rsid w:val="00D71997"/>
    <w:rsid w:val="00D72267"/>
    <w:rsid w:val="00D72521"/>
    <w:rsid w:val="00D72AE7"/>
    <w:rsid w:val="00D73375"/>
    <w:rsid w:val="00D73410"/>
    <w:rsid w:val="00D73553"/>
    <w:rsid w:val="00D73641"/>
    <w:rsid w:val="00D736C0"/>
    <w:rsid w:val="00D73702"/>
    <w:rsid w:val="00D73716"/>
    <w:rsid w:val="00D738DD"/>
    <w:rsid w:val="00D73D0B"/>
    <w:rsid w:val="00D73F5B"/>
    <w:rsid w:val="00D73FCC"/>
    <w:rsid w:val="00D740DF"/>
    <w:rsid w:val="00D7426A"/>
    <w:rsid w:val="00D7458D"/>
    <w:rsid w:val="00D74590"/>
    <w:rsid w:val="00D74605"/>
    <w:rsid w:val="00D7474F"/>
    <w:rsid w:val="00D74996"/>
    <w:rsid w:val="00D74D69"/>
    <w:rsid w:val="00D74F0D"/>
    <w:rsid w:val="00D75215"/>
    <w:rsid w:val="00D7547C"/>
    <w:rsid w:val="00D754DC"/>
    <w:rsid w:val="00D75681"/>
    <w:rsid w:val="00D75A1C"/>
    <w:rsid w:val="00D75ABF"/>
    <w:rsid w:val="00D75C41"/>
    <w:rsid w:val="00D75C4C"/>
    <w:rsid w:val="00D75D47"/>
    <w:rsid w:val="00D75DEB"/>
    <w:rsid w:val="00D75E57"/>
    <w:rsid w:val="00D76010"/>
    <w:rsid w:val="00D7622D"/>
    <w:rsid w:val="00D7643C"/>
    <w:rsid w:val="00D764B4"/>
    <w:rsid w:val="00D76A39"/>
    <w:rsid w:val="00D76C69"/>
    <w:rsid w:val="00D76E5D"/>
    <w:rsid w:val="00D76F51"/>
    <w:rsid w:val="00D76FB6"/>
    <w:rsid w:val="00D76FF0"/>
    <w:rsid w:val="00D7708C"/>
    <w:rsid w:val="00D770DB"/>
    <w:rsid w:val="00D7765F"/>
    <w:rsid w:val="00D77F8F"/>
    <w:rsid w:val="00D8009B"/>
    <w:rsid w:val="00D800DE"/>
    <w:rsid w:val="00D80598"/>
    <w:rsid w:val="00D80695"/>
    <w:rsid w:val="00D80A56"/>
    <w:rsid w:val="00D80DF5"/>
    <w:rsid w:val="00D80E49"/>
    <w:rsid w:val="00D80E91"/>
    <w:rsid w:val="00D811B1"/>
    <w:rsid w:val="00D81907"/>
    <w:rsid w:val="00D81A9C"/>
    <w:rsid w:val="00D81ADE"/>
    <w:rsid w:val="00D81E48"/>
    <w:rsid w:val="00D81EE2"/>
    <w:rsid w:val="00D81F13"/>
    <w:rsid w:val="00D81F84"/>
    <w:rsid w:val="00D8210B"/>
    <w:rsid w:val="00D82135"/>
    <w:rsid w:val="00D821DE"/>
    <w:rsid w:val="00D823E8"/>
    <w:rsid w:val="00D82AEC"/>
    <w:rsid w:val="00D82B10"/>
    <w:rsid w:val="00D82BCA"/>
    <w:rsid w:val="00D82F24"/>
    <w:rsid w:val="00D83372"/>
    <w:rsid w:val="00D83399"/>
    <w:rsid w:val="00D837BD"/>
    <w:rsid w:val="00D83920"/>
    <w:rsid w:val="00D83937"/>
    <w:rsid w:val="00D839CA"/>
    <w:rsid w:val="00D83D49"/>
    <w:rsid w:val="00D83E94"/>
    <w:rsid w:val="00D841EA"/>
    <w:rsid w:val="00D84247"/>
    <w:rsid w:val="00D842EF"/>
    <w:rsid w:val="00D843D7"/>
    <w:rsid w:val="00D844F4"/>
    <w:rsid w:val="00D84A8B"/>
    <w:rsid w:val="00D84EFC"/>
    <w:rsid w:val="00D84F01"/>
    <w:rsid w:val="00D8505E"/>
    <w:rsid w:val="00D85163"/>
    <w:rsid w:val="00D8533E"/>
    <w:rsid w:val="00D85347"/>
    <w:rsid w:val="00D85399"/>
    <w:rsid w:val="00D85439"/>
    <w:rsid w:val="00D85466"/>
    <w:rsid w:val="00D8574B"/>
    <w:rsid w:val="00D85A77"/>
    <w:rsid w:val="00D85C9B"/>
    <w:rsid w:val="00D85D5D"/>
    <w:rsid w:val="00D85E7B"/>
    <w:rsid w:val="00D85F51"/>
    <w:rsid w:val="00D860BF"/>
    <w:rsid w:val="00D87228"/>
    <w:rsid w:val="00D8740C"/>
    <w:rsid w:val="00D8743F"/>
    <w:rsid w:val="00D87573"/>
    <w:rsid w:val="00D87C00"/>
    <w:rsid w:val="00D87DAC"/>
    <w:rsid w:val="00D87E34"/>
    <w:rsid w:val="00D900EC"/>
    <w:rsid w:val="00D9049A"/>
    <w:rsid w:val="00D90849"/>
    <w:rsid w:val="00D9085A"/>
    <w:rsid w:val="00D9089F"/>
    <w:rsid w:val="00D908BD"/>
    <w:rsid w:val="00D90A89"/>
    <w:rsid w:val="00D90C3A"/>
    <w:rsid w:val="00D90D37"/>
    <w:rsid w:val="00D91056"/>
    <w:rsid w:val="00D915C3"/>
    <w:rsid w:val="00D91ADB"/>
    <w:rsid w:val="00D91E3A"/>
    <w:rsid w:val="00D91F98"/>
    <w:rsid w:val="00D92147"/>
    <w:rsid w:val="00D9233D"/>
    <w:rsid w:val="00D92C24"/>
    <w:rsid w:val="00D92DF2"/>
    <w:rsid w:val="00D934B6"/>
    <w:rsid w:val="00D934F5"/>
    <w:rsid w:val="00D938FA"/>
    <w:rsid w:val="00D939C2"/>
    <w:rsid w:val="00D93A1D"/>
    <w:rsid w:val="00D93BE0"/>
    <w:rsid w:val="00D93C45"/>
    <w:rsid w:val="00D93D05"/>
    <w:rsid w:val="00D94176"/>
    <w:rsid w:val="00D9422B"/>
    <w:rsid w:val="00D94433"/>
    <w:rsid w:val="00D944FD"/>
    <w:rsid w:val="00D9456E"/>
    <w:rsid w:val="00D94855"/>
    <w:rsid w:val="00D94AA5"/>
    <w:rsid w:val="00D94F7A"/>
    <w:rsid w:val="00D95189"/>
    <w:rsid w:val="00D95645"/>
    <w:rsid w:val="00D95931"/>
    <w:rsid w:val="00D959CE"/>
    <w:rsid w:val="00D95C2B"/>
    <w:rsid w:val="00D95E72"/>
    <w:rsid w:val="00D95EC7"/>
    <w:rsid w:val="00D96020"/>
    <w:rsid w:val="00D96316"/>
    <w:rsid w:val="00D963BD"/>
    <w:rsid w:val="00D96541"/>
    <w:rsid w:val="00D965CB"/>
    <w:rsid w:val="00D96737"/>
    <w:rsid w:val="00D96A35"/>
    <w:rsid w:val="00D96AC9"/>
    <w:rsid w:val="00D96BF2"/>
    <w:rsid w:val="00D96CEE"/>
    <w:rsid w:val="00D96D43"/>
    <w:rsid w:val="00D96E0F"/>
    <w:rsid w:val="00D96E51"/>
    <w:rsid w:val="00D96EB7"/>
    <w:rsid w:val="00D97086"/>
    <w:rsid w:val="00D970F7"/>
    <w:rsid w:val="00D9768A"/>
    <w:rsid w:val="00D9770B"/>
    <w:rsid w:val="00D97795"/>
    <w:rsid w:val="00D9792B"/>
    <w:rsid w:val="00D9796D"/>
    <w:rsid w:val="00D97A76"/>
    <w:rsid w:val="00D97D13"/>
    <w:rsid w:val="00D97D52"/>
    <w:rsid w:val="00D97D91"/>
    <w:rsid w:val="00DA0027"/>
    <w:rsid w:val="00DA00B4"/>
    <w:rsid w:val="00DA0270"/>
    <w:rsid w:val="00DA027A"/>
    <w:rsid w:val="00DA0961"/>
    <w:rsid w:val="00DA09D1"/>
    <w:rsid w:val="00DA0D1D"/>
    <w:rsid w:val="00DA0E37"/>
    <w:rsid w:val="00DA0FA5"/>
    <w:rsid w:val="00DA111B"/>
    <w:rsid w:val="00DA119E"/>
    <w:rsid w:val="00DA1607"/>
    <w:rsid w:val="00DA166F"/>
    <w:rsid w:val="00DA167E"/>
    <w:rsid w:val="00DA186A"/>
    <w:rsid w:val="00DA18D8"/>
    <w:rsid w:val="00DA1AB4"/>
    <w:rsid w:val="00DA1C0A"/>
    <w:rsid w:val="00DA1C6C"/>
    <w:rsid w:val="00DA1DC1"/>
    <w:rsid w:val="00DA219E"/>
    <w:rsid w:val="00DA241A"/>
    <w:rsid w:val="00DA24C6"/>
    <w:rsid w:val="00DA25CD"/>
    <w:rsid w:val="00DA283A"/>
    <w:rsid w:val="00DA2C07"/>
    <w:rsid w:val="00DA2D0F"/>
    <w:rsid w:val="00DA30F5"/>
    <w:rsid w:val="00DA3130"/>
    <w:rsid w:val="00DA35B0"/>
    <w:rsid w:val="00DA3627"/>
    <w:rsid w:val="00DA3B63"/>
    <w:rsid w:val="00DA3C72"/>
    <w:rsid w:val="00DA3C93"/>
    <w:rsid w:val="00DA3CC9"/>
    <w:rsid w:val="00DA3ED6"/>
    <w:rsid w:val="00DA4038"/>
    <w:rsid w:val="00DA40E4"/>
    <w:rsid w:val="00DA424C"/>
    <w:rsid w:val="00DA440F"/>
    <w:rsid w:val="00DA4A5B"/>
    <w:rsid w:val="00DA4AD4"/>
    <w:rsid w:val="00DA4B89"/>
    <w:rsid w:val="00DA4BEA"/>
    <w:rsid w:val="00DA4D50"/>
    <w:rsid w:val="00DA4EAF"/>
    <w:rsid w:val="00DA5150"/>
    <w:rsid w:val="00DA5152"/>
    <w:rsid w:val="00DA525B"/>
    <w:rsid w:val="00DA5293"/>
    <w:rsid w:val="00DA5C80"/>
    <w:rsid w:val="00DA5E97"/>
    <w:rsid w:val="00DA62AA"/>
    <w:rsid w:val="00DA62BA"/>
    <w:rsid w:val="00DA64C6"/>
    <w:rsid w:val="00DA64CE"/>
    <w:rsid w:val="00DA65C7"/>
    <w:rsid w:val="00DA66D3"/>
    <w:rsid w:val="00DA6A2E"/>
    <w:rsid w:val="00DA6D52"/>
    <w:rsid w:val="00DA6F14"/>
    <w:rsid w:val="00DA7142"/>
    <w:rsid w:val="00DA718E"/>
    <w:rsid w:val="00DA7735"/>
    <w:rsid w:val="00DA7781"/>
    <w:rsid w:val="00DA7DCA"/>
    <w:rsid w:val="00DA7E18"/>
    <w:rsid w:val="00DB001F"/>
    <w:rsid w:val="00DB00E9"/>
    <w:rsid w:val="00DB0104"/>
    <w:rsid w:val="00DB0946"/>
    <w:rsid w:val="00DB0A5D"/>
    <w:rsid w:val="00DB0A7F"/>
    <w:rsid w:val="00DB0E6D"/>
    <w:rsid w:val="00DB101D"/>
    <w:rsid w:val="00DB18ED"/>
    <w:rsid w:val="00DB18EE"/>
    <w:rsid w:val="00DB19E1"/>
    <w:rsid w:val="00DB1B5C"/>
    <w:rsid w:val="00DB1CAC"/>
    <w:rsid w:val="00DB1DB1"/>
    <w:rsid w:val="00DB1DC6"/>
    <w:rsid w:val="00DB1E53"/>
    <w:rsid w:val="00DB1FC1"/>
    <w:rsid w:val="00DB1FF6"/>
    <w:rsid w:val="00DB2154"/>
    <w:rsid w:val="00DB2284"/>
    <w:rsid w:val="00DB231A"/>
    <w:rsid w:val="00DB275E"/>
    <w:rsid w:val="00DB2775"/>
    <w:rsid w:val="00DB28AC"/>
    <w:rsid w:val="00DB2986"/>
    <w:rsid w:val="00DB2ABE"/>
    <w:rsid w:val="00DB2C40"/>
    <w:rsid w:val="00DB2E05"/>
    <w:rsid w:val="00DB2F2A"/>
    <w:rsid w:val="00DB30A4"/>
    <w:rsid w:val="00DB340A"/>
    <w:rsid w:val="00DB35E6"/>
    <w:rsid w:val="00DB3798"/>
    <w:rsid w:val="00DB39A1"/>
    <w:rsid w:val="00DB39F1"/>
    <w:rsid w:val="00DB3B0A"/>
    <w:rsid w:val="00DB3C2F"/>
    <w:rsid w:val="00DB3D00"/>
    <w:rsid w:val="00DB4089"/>
    <w:rsid w:val="00DB415C"/>
    <w:rsid w:val="00DB4558"/>
    <w:rsid w:val="00DB46EB"/>
    <w:rsid w:val="00DB476A"/>
    <w:rsid w:val="00DB4CA9"/>
    <w:rsid w:val="00DB4CF5"/>
    <w:rsid w:val="00DB4D79"/>
    <w:rsid w:val="00DB50CF"/>
    <w:rsid w:val="00DB5349"/>
    <w:rsid w:val="00DB537E"/>
    <w:rsid w:val="00DB53BA"/>
    <w:rsid w:val="00DB542F"/>
    <w:rsid w:val="00DB5705"/>
    <w:rsid w:val="00DB5783"/>
    <w:rsid w:val="00DB59B4"/>
    <w:rsid w:val="00DB5BA7"/>
    <w:rsid w:val="00DB5CDC"/>
    <w:rsid w:val="00DB5E91"/>
    <w:rsid w:val="00DB5F11"/>
    <w:rsid w:val="00DB5F25"/>
    <w:rsid w:val="00DB60AB"/>
    <w:rsid w:val="00DB6183"/>
    <w:rsid w:val="00DB67AF"/>
    <w:rsid w:val="00DB683B"/>
    <w:rsid w:val="00DB6DAD"/>
    <w:rsid w:val="00DB7096"/>
    <w:rsid w:val="00DB7D84"/>
    <w:rsid w:val="00DB7E0F"/>
    <w:rsid w:val="00DB7F88"/>
    <w:rsid w:val="00DC04B2"/>
    <w:rsid w:val="00DC04D8"/>
    <w:rsid w:val="00DC04FA"/>
    <w:rsid w:val="00DC086D"/>
    <w:rsid w:val="00DC0AD5"/>
    <w:rsid w:val="00DC0DBA"/>
    <w:rsid w:val="00DC0EA6"/>
    <w:rsid w:val="00DC10C5"/>
    <w:rsid w:val="00DC1162"/>
    <w:rsid w:val="00DC157E"/>
    <w:rsid w:val="00DC16F4"/>
    <w:rsid w:val="00DC18DB"/>
    <w:rsid w:val="00DC18E0"/>
    <w:rsid w:val="00DC1D00"/>
    <w:rsid w:val="00DC1E56"/>
    <w:rsid w:val="00DC26A3"/>
    <w:rsid w:val="00DC26AA"/>
    <w:rsid w:val="00DC2813"/>
    <w:rsid w:val="00DC2C01"/>
    <w:rsid w:val="00DC2DFC"/>
    <w:rsid w:val="00DC2E34"/>
    <w:rsid w:val="00DC2F06"/>
    <w:rsid w:val="00DC32A4"/>
    <w:rsid w:val="00DC331E"/>
    <w:rsid w:val="00DC3376"/>
    <w:rsid w:val="00DC35BB"/>
    <w:rsid w:val="00DC362B"/>
    <w:rsid w:val="00DC3812"/>
    <w:rsid w:val="00DC3ABA"/>
    <w:rsid w:val="00DC3C3E"/>
    <w:rsid w:val="00DC3CB9"/>
    <w:rsid w:val="00DC3EF0"/>
    <w:rsid w:val="00DC3F5B"/>
    <w:rsid w:val="00DC3FDC"/>
    <w:rsid w:val="00DC43F3"/>
    <w:rsid w:val="00DC451D"/>
    <w:rsid w:val="00DC45B0"/>
    <w:rsid w:val="00DC48A4"/>
    <w:rsid w:val="00DC48E2"/>
    <w:rsid w:val="00DC4958"/>
    <w:rsid w:val="00DC4EBB"/>
    <w:rsid w:val="00DC50AA"/>
    <w:rsid w:val="00DC5466"/>
    <w:rsid w:val="00DC5A10"/>
    <w:rsid w:val="00DC5B61"/>
    <w:rsid w:val="00DC5B90"/>
    <w:rsid w:val="00DC5D71"/>
    <w:rsid w:val="00DC5EDB"/>
    <w:rsid w:val="00DC5EF1"/>
    <w:rsid w:val="00DC61B5"/>
    <w:rsid w:val="00DC6294"/>
    <w:rsid w:val="00DC6485"/>
    <w:rsid w:val="00DC651E"/>
    <w:rsid w:val="00DC69DC"/>
    <w:rsid w:val="00DC6A17"/>
    <w:rsid w:val="00DC6AF8"/>
    <w:rsid w:val="00DC7143"/>
    <w:rsid w:val="00DC723C"/>
    <w:rsid w:val="00DC72E8"/>
    <w:rsid w:val="00DC7304"/>
    <w:rsid w:val="00DC762A"/>
    <w:rsid w:val="00DC7678"/>
    <w:rsid w:val="00DC7815"/>
    <w:rsid w:val="00DC7C31"/>
    <w:rsid w:val="00DD00C7"/>
    <w:rsid w:val="00DD00F0"/>
    <w:rsid w:val="00DD0156"/>
    <w:rsid w:val="00DD04D8"/>
    <w:rsid w:val="00DD0A19"/>
    <w:rsid w:val="00DD0A64"/>
    <w:rsid w:val="00DD0DB5"/>
    <w:rsid w:val="00DD0F3A"/>
    <w:rsid w:val="00DD10D0"/>
    <w:rsid w:val="00DD16B6"/>
    <w:rsid w:val="00DD1C58"/>
    <w:rsid w:val="00DD1DD2"/>
    <w:rsid w:val="00DD1DE7"/>
    <w:rsid w:val="00DD2B74"/>
    <w:rsid w:val="00DD2BA5"/>
    <w:rsid w:val="00DD2CA7"/>
    <w:rsid w:val="00DD2D4A"/>
    <w:rsid w:val="00DD2EB1"/>
    <w:rsid w:val="00DD2FA4"/>
    <w:rsid w:val="00DD2FCC"/>
    <w:rsid w:val="00DD334F"/>
    <w:rsid w:val="00DD37C6"/>
    <w:rsid w:val="00DD38C1"/>
    <w:rsid w:val="00DD3C0D"/>
    <w:rsid w:val="00DD3D92"/>
    <w:rsid w:val="00DD3D9A"/>
    <w:rsid w:val="00DD3EA0"/>
    <w:rsid w:val="00DD415F"/>
    <w:rsid w:val="00DD41AE"/>
    <w:rsid w:val="00DD41CF"/>
    <w:rsid w:val="00DD421A"/>
    <w:rsid w:val="00DD42AD"/>
    <w:rsid w:val="00DD4314"/>
    <w:rsid w:val="00DD4C9E"/>
    <w:rsid w:val="00DD4E6F"/>
    <w:rsid w:val="00DD4E98"/>
    <w:rsid w:val="00DD5134"/>
    <w:rsid w:val="00DD523F"/>
    <w:rsid w:val="00DD52AD"/>
    <w:rsid w:val="00DD531E"/>
    <w:rsid w:val="00DD5779"/>
    <w:rsid w:val="00DD5820"/>
    <w:rsid w:val="00DD5B41"/>
    <w:rsid w:val="00DD5D48"/>
    <w:rsid w:val="00DD5E24"/>
    <w:rsid w:val="00DD5F6A"/>
    <w:rsid w:val="00DD614C"/>
    <w:rsid w:val="00DD6218"/>
    <w:rsid w:val="00DD6243"/>
    <w:rsid w:val="00DD6307"/>
    <w:rsid w:val="00DD6312"/>
    <w:rsid w:val="00DD658F"/>
    <w:rsid w:val="00DD69CE"/>
    <w:rsid w:val="00DD6C53"/>
    <w:rsid w:val="00DD6F51"/>
    <w:rsid w:val="00DD71F1"/>
    <w:rsid w:val="00DD796B"/>
    <w:rsid w:val="00DD7CEA"/>
    <w:rsid w:val="00DD7F4A"/>
    <w:rsid w:val="00DE00AC"/>
    <w:rsid w:val="00DE086E"/>
    <w:rsid w:val="00DE094E"/>
    <w:rsid w:val="00DE0D85"/>
    <w:rsid w:val="00DE0E1D"/>
    <w:rsid w:val="00DE0EDD"/>
    <w:rsid w:val="00DE0F7D"/>
    <w:rsid w:val="00DE10E0"/>
    <w:rsid w:val="00DE1410"/>
    <w:rsid w:val="00DE1A3C"/>
    <w:rsid w:val="00DE231F"/>
    <w:rsid w:val="00DE2395"/>
    <w:rsid w:val="00DE2488"/>
    <w:rsid w:val="00DE2584"/>
    <w:rsid w:val="00DE2594"/>
    <w:rsid w:val="00DE2838"/>
    <w:rsid w:val="00DE2922"/>
    <w:rsid w:val="00DE29E3"/>
    <w:rsid w:val="00DE3031"/>
    <w:rsid w:val="00DE3304"/>
    <w:rsid w:val="00DE338E"/>
    <w:rsid w:val="00DE3551"/>
    <w:rsid w:val="00DE36D8"/>
    <w:rsid w:val="00DE37D2"/>
    <w:rsid w:val="00DE38D8"/>
    <w:rsid w:val="00DE3D44"/>
    <w:rsid w:val="00DE3D8D"/>
    <w:rsid w:val="00DE3E24"/>
    <w:rsid w:val="00DE409D"/>
    <w:rsid w:val="00DE40B3"/>
    <w:rsid w:val="00DE442A"/>
    <w:rsid w:val="00DE495C"/>
    <w:rsid w:val="00DE49E9"/>
    <w:rsid w:val="00DE49FF"/>
    <w:rsid w:val="00DE4D56"/>
    <w:rsid w:val="00DE4DAA"/>
    <w:rsid w:val="00DE5125"/>
    <w:rsid w:val="00DE5548"/>
    <w:rsid w:val="00DE55E6"/>
    <w:rsid w:val="00DE58CD"/>
    <w:rsid w:val="00DE6488"/>
    <w:rsid w:val="00DE64F1"/>
    <w:rsid w:val="00DE6658"/>
    <w:rsid w:val="00DE6A5B"/>
    <w:rsid w:val="00DE6E13"/>
    <w:rsid w:val="00DE6E15"/>
    <w:rsid w:val="00DE6E9F"/>
    <w:rsid w:val="00DE71C7"/>
    <w:rsid w:val="00DE7439"/>
    <w:rsid w:val="00DE7921"/>
    <w:rsid w:val="00DE7FCC"/>
    <w:rsid w:val="00DF0009"/>
    <w:rsid w:val="00DF01E5"/>
    <w:rsid w:val="00DF06C9"/>
    <w:rsid w:val="00DF07EA"/>
    <w:rsid w:val="00DF08AE"/>
    <w:rsid w:val="00DF08CF"/>
    <w:rsid w:val="00DF0A0B"/>
    <w:rsid w:val="00DF0F81"/>
    <w:rsid w:val="00DF12C4"/>
    <w:rsid w:val="00DF141D"/>
    <w:rsid w:val="00DF1555"/>
    <w:rsid w:val="00DF17CC"/>
    <w:rsid w:val="00DF1802"/>
    <w:rsid w:val="00DF1A24"/>
    <w:rsid w:val="00DF1A46"/>
    <w:rsid w:val="00DF21EF"/>
    <w:rsid w:val="00DF21F3"/>
    <w:rsid w:val="00DF224F"/>
    <w:rsid w:val="00DF2577"/>
    <w:rsid w:val="00DF28C0"/>
    <w:rsid w:val="00DF2A3A"/>
    <w:rsid w:val="00DF2ADC"/>
    <w:rsid w:val="00DF2B42"/>
    <w:rsid w:val="00DF2C86"/>
    <w:rsid w:val="00DF307A"/>
    <w:rsid w:val="00DF315A"/>
    <w:rsid w:val="00DF3288"/>
    <w:rsid w:val="00DF331D"/>
    <w:rsid w:val="00DF3660"/>
    <w:rsid w:val="00DF3698"/>
    <w:rsid w:val="00DF36A0"/>
    <w:rsid w:val="00DF38B9"/>
    <w:rsid w:val="00DF3B29"/>
    <w:rsid w:val="00DF3C07"/>
    <w:rsid w:val="00DF3D42"/>
    <w:rsid w:val="00DF3DCD"/>
    <w:rsid w:val="00DF3E31"/>
    <w:rsid w:val="00DF3E3A"/>
    <w:rsid w:val="00DF4078"/>
    <w:rsid w:val="00DF416B"/>
    <w:rsid w:val="00DF4388"/>
    <w:rsid w:val="00DF44CF"/>
    <w:rsid w:val="00DF455E"/>
    <w:rsid w:val="00DF456A"/>
    <w:rsid w:val="00DF4675"/>
    <w:rsid w:val="00DF476B"/>
    <w:rsid w:val="00DF48C9"/>
    <w:rsid w:val="00DF4993"/>
    <w:rsid w:val="00DF49F8"/>
    <w:rsid w:val="00DF4C63"/>
    <w:rsid w:val="00DF4FDB"/>
    <w:rsid w:val="00DF4FF8"/>
    <w:rsid w:val="00DF51A7"/>
    <w:rsid w:val="00DF5258"/>
    <w:rsid w:val="00DF538F"/>
    <w:rsid w:val="00DF55A3"/>
    <w:rsid w:val="00DF6013"/>
    <w:rsid w:val="00DF605B"/>
    <w:rsid w:val="00DF6073"/>
    <w:rsid w:val="00DF60CA"/>
    <w:rsid w:val="00DF60ED"/>
    <w:rsid w:val="00DF6120"/>
    <w:rsid w:val="00DF61B5"/>
    <w:rsid w:val="00DF6272"/>
    <w:rsid w:val="00DF649D"/>
    <w:rsid w:val="00DF6776"/>
    <w:rsid w:val="00DF6804"/>
    <w:rsid w:val="00DF68AA"/>
    <w:rsid w:val="00DF6C66"/>
    <w:rsid w:val="00DF6E61"/>
    <w:rsid w:val="00DF6EC0"/>
    <w:rsid w:val="00DF7080"/>
    <w:rsid w:val="00DF7247"/>
    <w:rsid w:val="00DF72AD"/>
    <w:rsid w:val="00DF72D3"/>
    <w:rsid w:val="00DF7348"/>
    <w:rsid w:val="00DF7716"/>
    <w:rsid w:val="00DF77DB"/>
    <w:rsid w:val="00DF7803"/>
    <w:rsid w:val="00DF7858"/>
    <w:rsid w:val="00DF7C50"/>
    <w:rsid w:val="00DF7D40"/>
    <w:rsid w:val="00DF7DAC"/>
    <w:rsid w:val="00E00000"/>
    <w:rsid w:val="00E0021D"/>
    <w:rsid w:val="00E0038B"/>
    <w:rsid w:val="00E0043A"/>
    <w:rsid w:val="00E00624"/>
    <w:rsid w:val="00E00DA9"/>
    <w:rsid w:val="00E00EDD"/>
    <w:rsid w:val="00E0177E"/>
    <w:rsid w:val="00E01787"/>
    <w:rsid w:val="00E018AA"/>
    <w:rsid w:val="00E0191A"/>
    <w:rsid w:val="00E019B9"/>
    <w:rsid w:val="00E01ACE"/>
    <w:rsid w:val="00E01D40"/>
    <w:rsid w:val="00E02625"/>
    <w:rsid w:val="00E02639"/>
    <w:rsid w:val="00E02DA9"/>
    <w:rsid w:val="00E02DEB"/>
    <w:rsid w:val="00E0303C"/>
    <w:rsid w:val="00E031DF"/>
    <w:rsid w:val="00E03216"/>
    <w:rsid w:val="00E03391"/>
    <w:rsid w:val="00E0378D"/>
    <w:rsid w:val="00E03835"/>
    <w:rsid w:val="00E03929"/>
    <w:rsid w:val="00E03A73"/>
    <w:rsid w:val="00E03EE0"/>
    <w:rsid w:val="00E042EC"/>
    <w:rsid w:val="00E044E7"/>
    <w:rsid w:val="00E044EE"/>
    <w:rsid w:val="00E0460D"/>
    <w:rsid w:val="00E04628"/>
    <w:rsid w:val="00E0473F"/>
    <w:rsid w:val="00E04C8E"/>
    <w:rsid w:val="00E04D3E"/>
    <w:rsid w:val="00E04E05"/>
    <w:rsid w:val="00E0547C"/>
    <w:rsid w:val="00E05672"/>
    <w:rsid w:val="00E056E9"/>
    <w:rsid w:val="00E0574E"/>
    <w:rsid w:val="00E05C81"/>
    <w:rsid w:val="00E05DA9"/>
    <w:rsid w:val="00E06635"/>
    <w:rsid w:val="00E067C2"/>
    <w:rsid w:val="00E0680B"/>
    <w:rsid w:val="00E0680C"/>
    <w:rsid w:val="00E069D6"/>
    <w:rsid w:val="00E06A2A"/>
    <w:rsid w:val="00E06FFB"/>
    <w:rsid w:val="00E07020"/>
    <w:rsid w:val="00E07111"/>
    <w:rsid w:val="00E07195"/>
    <w:rsid w:val="00E074EF"/>
    <w:rsid w:val="00E076B5"/>
    <w:rsid w:val="00E078DE"/>
    <w:rsid w:val="00E07A75"/>
    <w:rsid w:val="00E07C65"/>
    <w:rsid w:val="00E07D82"/>
    <w:rsid w:val="00E07F6B"/>
    <w:rsid w:val="00E07F96"/>
    <w:rsid w:val="00E10001"/>
    <w:rsid w:val="00E10427"/>
    <w:rsid w:val="00E106A1"/>
    <w:rsid w:val="00E106FF"/>
    <w:rsid w:val="00E1076A"/>
    <w:rsid w:val="00E1088D"/>
    <w:rsid w:val="00E10999"/>
    <w:rsid w:val="00E10A88"/>
    <w:rsid w:val="00E10B76"/>
    <w:rsid w:val="00E10D7D"/>
    <w:rsid w:val="00E11084"/>
    <w:rsid w:val="00E111A4"/>
    <w:rsid w:val="00E11263"/>
    <w:rsid w:val="00E112E0"/>
    <w:rsid w:val="00E1178E"/>
    <w:rsid w:val="00E117E5"/>
    <w:rsid w:val="00E11946"/>
    <w:rsid w:val="00E11988"/>
    <w:rsid w:val="00E11A8D"/>
    <w:rsid w:val="00E11B9D"/>
    <w:rsid w:val="00E120CE"/>
    <w:rsid w:val="00E121E9"/>
    <w:rsid w:val="00E1229C"/>
    <w:rsid w:val="00E12723"/>
    <w:rsid w:val="00E128C9"/>
    <w:rsid w:val="00E12F3E"/>
    <w:rsid w:val="00E130B6"/>
    <w:rsid w:val="00E1315A"/>
    <w:rsid w:val="00E13295"/>
    <w:rsid w:val="00E1332B"/>
    <w:rsid w:val="00E133C4"/>
    <w:rsid w:val="00E134DD"/>
    <w:rsid w:val="00E13A59"/>
    <w:rsid w:val="00E13CBC"/>
    <w:rsid w:val="00E13CEA"/>
    <w:rsid w:val="00E14074"/>
    <w:rsid w:val="00E14244"/>
    <w:rsid w:val="00E142B1"/>
    <w:rsid w:val="00E142C4"/>
    <w:rsid w:val="00E143B9"/>
    <w:rsid w:val="00E1449A"/>
    <w:rsid w:val="00E1465A"/>
    <w:rsid w:val="00E14AB6"/>
    <w:rsid w:val="00E14BE2"/>
    <w:rsid w:val="00E14C35"/>
    <w:rsid w:val="00E15526"/>
    <w:rsid w:val="00E15527"/>
    <w:rsid w:val="00E155BF"/>
    <w:rsid w:val="00E156ED"/>
    <w:rsid w:val="00E159A4"/>
    <w:rsid w:val="00E15C1A"/>
    <w:rsid w:val="00E15C5F"/>
    <w:rsid w:val="00E15CC7"/>
    <w:rsid w:val="00E15EAB"/>
    <w:rsid w:val="00E15FB7"/>
    <w:rsid w:val="00E15FC9"/>
    <w:rsid w:val="00E16103"/>
    <w:rsid w:val="00E161CE"/>
    <w:rsid w:val="00E16211"/>
    <w:rsid w:val="00E167A5"/>
    <w:rsid w:val="00E167E2"/>
    <w:rsid w:val="00E16AE5"/>
    <w:rsid w:val="00E16C21"/>
    <w:rsid w:val="00E16E02"/>
    <w:rsid w:val="00E1715B"/>
    <w:rsid w:val="00E17374"/>
    <w:rsid w:val="00E173CC"/>
    <w:rsid w:val="00E17458"/>
    <w:rsid w:val="00E1765B"/>
    <w:rsid w:val="00E17672"/>
    <w:rsid w:val="00E17B3F"/>
    <w:rsid w:val="00E17B42"/>
    <w:rsid w:val="00E17C0D"/>
    <w:rsid w:val="00E17D44"/>
    <w:rsid w:val="00E17F36"/>
    <w:rsid w:val="00E200C2"/>
    <w:rsid w:val="00E201BE"/>
    <w:rsid w:val="00E206A9"/>
    <w:rsid w:val="00E20B3E"/>
    <w:rsid w:val="00E20B74"/>
    <w:rsid w:val="00E20B8C"/>
    <w:rsid w:val="00E20C3D"/>
    <w:rsid w:val="00E20E81"/>
    <w:rsid w:val="00E20F3D"/>
    <w:rsid w:val="00E20F8E"/>
    <w:rsid w:val="00E2112C"/>
    <w:rsid w:val="00E21585"/>
    <w:rsid w:val="00E216AB"/>
    <w:rsid w:val="00E21704"/>
    <w:rsid w:val="00E21808"/>
    <w:rsid w:val="00E21A74"/>
    <w:rsid w:val="00E21C08"/>
    <w:rsid w:val="00E21CE6"/>
    <w:rsid w:val="00E22048"/>
    <w:rsid w:val="00E22206"/>
    <w:rsid w:val="00E229F8"/>
    <w:rsid w:val="00E22ABF"/>
    <w:rsid w:val="00E22B0D"/>
    <w:rsid w:val="00E23121"/>
    <w:rsid w:val="00E233FB"/>
    <w:rsid w:val="00E23411"/>
    <w:rsid w:val="00E23724"/>
    <w:rsid w:val="00E23B87"/>
    <w:rsid w:val="00E23D5E"/>
    <w:rsid w:val="00E246DE"/>
    <w:rsid w:val="00E24A1E"/>
    <w:rsid w:val="00E24FE1"/>
    <w:rsid w:val="00E25248"/>
    <w:rsid w:val="00E25378"/>
    <w:rsid w:val="00E255CB"/>
    <w:rsid w:val="00E25924"/>
    <w:rsid w:val="00E25A13"/>
    <w:rsid w:val="00E25AA8"/>
    <w:rsid w:val="00E25E79"/>
    <w:rsid w:val="00E26024"/>
    <w:rsid w:val="00E265C2"/>
    <w:rsid w:val="00E26876"/>
    <w:rsid w:val="00E26936"/>
    <w:rsid w:val="00E26A13"/>
    <w:rsid w:val="00E26C02"/>
    <w:rsid w:val="00E26C91"/>
    <w:rsid w:val="00E26DE7"/>
    <w:rsid w:val="00E26DEA"/>
    <w:rsid w:val="00E27029"/>
    <w:rsid w:val="00E2717A"/>
    <w:rsid w:val="00E271B2"/>
    <w:rsid w:val="00E2738B"/>
    <w:rsid w:val="00E2744D"/>
    <w:rsid w:val="00E27575"/>
    <w:rsid w:val="00E275EA"/>
    <w:rsid w:val="00E27711"/>
    <w:rsid w:val="00E27A05"/>
    <w:rsid w:val="00E27B19"/>
    <w:rsid w:val="00E27CDB"/>
    <w:rsid w:val="00E27F41"/>
    <w:rsid w:val="00E300D7"/>
    <w:rsid w:val="00E30425"/>
    <w:rsid w:val="00E306BE"/>
    <w:rsid w:val="00E307F1"/>
    <w:rsid w:val="00E3080A"/>
    <w:rsid w:val="00E30931"/>
    <w:rsid w:val="00E30CF3"/>
    <w:rsid w:val="00E30F70"/>
    <w:rsid w:val="00E31155"/>
    <w:rsid w:val="00E31597"/>
    <w:rsid w:val="00E31599"/>
    <w:rsid w:val="00E319CD"/>
    <w:rsid w:val="00E31A30"/>
    <w:rsid w:val="00E31E7A"/>
    <w:rsid w:val="00E31F3E"/>
    <w:rsid w:val="00E3213B"/>
    <w:rsid w:val="00E321B7"/>
    <w:rsid w:val="00E32242"/>
    <w:rsid w:val="00E3243C"/>
    <w:rsid w:val="00E325B0"/>
    <w:rsid w:val="00E326EE"/>
    <w:rsid w:val="00E32A23"/>
    <w:rsid w:val="00E32BA4"/>
    <w:rsid w:val="00E32D9C"/>
    <w:rsid w:val="00E32E64"/>
    <w:rsid w:val="00E32F49"/>
    <w:rsid w:val="00E33251"/>
    <w:rsid w:val="00E33300"/>
    <w:rsid w:val="00E333D1"/>
    <w:rsid w:val="00E334A9"/>
    <w:rsid w:val="00E33B98"/>
    <w:rsid w:val="00E33EBC"/>
    <w:rsid w:val="00E3403C"/>
    <w:rsid w:val="00E34304"/>
    <w:rsid w:val="00E34309"/>
    <w:rsid w:val="00E34520"/>
    <w:rsid w:val="00E3471B"/>
    <w:rsid w:val="00E3472D"/>
    <w:rsid w:val="00E34E40"/>
    <w:rsid w:val="00E34E87"/>
    <w:rsid w:val="00E34F70"/>
    <w:rsid w:val="00E350DD"/>
    <w:rsid w:val="00E356D0"/>
    <w:rsid w:val="00E356FC"/>
    <w:rsid w:val="00E35995"/>
    <w:rsid w:val="00E359B9"/>
    <w:rsid w:val="00E35EF1"/>
    <w:rsid w:val="00E36051"/>
    <w:rsid w:val="00E36136"/>
    <w:rsid w:val="00E363A3"/>
    <w:rsid w:val="00E3655E"/>
    <w:rsid w:val="00E368CB"/>
    <w:rsid w:val="00E36BFD"/>
    <w:rsid w:val="00E36DA4"/>
    <w:rsid w:val="00E36DF6"/>
    <w:rsid w:val="00E36E59"/>
    <w:rsid w:val="00E37167"/>
    <w:rsid w:val="00E37362"/>
    <w:rsid w:val="00E37453"/>
    <w:rsid w:val="00E375F8"/>
    <w:rsid w:val="00E376C0"/>
    <w:rsid w:val="00E378CF"/>
    <w:rsid w:val="00E37B51"/>
    <w:rsid w:val="00E4007E"/>
    <w:rsid w:val="00E400AA"/>
    <w:rsid w:val="00E402E3"/>
    <w:rsid w:val="00E403F0"/>
    <w:rsid w:val="00E40887"/>
    <w:rsid w:val="00E40AF0"/>
    <w:rsid w:val="00E40BD5"/>
    <w:rsid w:val="00E40D74"/>
    <w:rsid w:val="00E40DAD"/>
    <w:rsid w:val="00E40FB3"/>
    <w:rsid w:val="00E410D7"/>
    <w:rsid w:val="00E4112A"/>
    <w:rsid w:val="00E4119A"/>
    <w:rsid w:val="00E411D9"/>
    <w:rsid w:val="00E412FF"/>
    <w:rsid w:val="00E4151C"/>
    <w:rsid w:val="00E417CE"/>
    <w:rsid w:val="00E41A1D"/>
    <w:rsid w:val="00E41B25"/>
    <w:rsid w:val="00E41ED6"/>
    <w:rsid w:val="00E42100"/>
    <w:rsid w:val="00E42247"/>
    <w:rsid w:val="00E42264"/>
    <w:rsid w:val="00E42319"/>
    <w:rsid w:val="00E423BA"/>
    <w:rsid w:val="00E42988"/>
    <w:rsid w:val="00E42A05"/>
    <w:rsid w:val="00E42AB6"/>
    <w:rsid w:val="00E42B86"/>
    <w:rsid w:val="00E42BC5"/>
    <w:rsid w:val="00E42CC6"/>
    <w:rsid w:val="00E42D2A"/>
    <w:rsid w:val="00E42E41"/>
    <w:rsid w:val="00E43115"/>
    <w:rsid w:val="00E4311B"/>
    <w:rsid w:val="00E432F5"/>
    <w:rsid w:val="00E4332B"/>
    <w:rsid w:val="00E43413"/>
    <w:rsid w:val="00E4350C"/>
    <w:rsid w:val="00E43AD9"/>
    <w:rsid w:val="00E43C52"/>
    <w:rsid w:val="00E43D00"/>
    <w:rsid w:val="00E43E40"/>
    <w:rsid w:val="00E43F26"/>
    <w:rsid w:val="00E440C6"/>
    <w:rsid w:val="00E44155"/>
    <w:rsid w:val="00E44247"/>
    <w:rsid w:val="00E4427C"/>
    <w:rsid w:val="00E44318"/>
    <w:rsid w:val="00E444E1"/>
    <w:rsid w:val="00E44770"/>
    <w:rsid w:val="00E44789"/>
    <w:rsid w:val="00E44803"/>
    <w:rsid w:val="00E44AAE"/>
    <w:rsid w:val="00E44BCE"/>
    <w:rsid w:val="00E44C41"/>
    <w:rsid w:val="00E44C48"/>
    <w:rsid w:val="00E44D17"/>
    <w:rsid w:val="00E44EED"/>
    <w:rsid w:val="00E451B7"/>
    <w:rsid w:val="00E4578E"/>
    <w:rsid w:val="00E45822"/>
    <w:rsid w:val="00E45AFE"/>
    <w:rsid w:val="00E45B8D"/>
    <w:rsid w:val="00E45D90"/>
    <w:rsid w:val="00E45EEC"/>
    <w:rsid w:val="00E45F91"/>
    <w:rsid w:val="00E46201"/>
    <w:rsid w:val="00E46269"/>
    <w:rsid w:val="00E46D8F"/>
    <w:rsid w:val="00E46EB9"/>
    <w:rsid w:val="00E471E3"/>
    <w:rsid w:val="00E47876"/>
    <w:rsid w:val="00E47884"/>
    <w:rsid w:val="00E47B26"/>
    <w:rsid w:val="00E47C25"/>
    <w:rsid w:val="00E506E6"/>
    <w:rsid w:val="00E507EB"/>
    <w:rsid w:val="00E50872"/>
    <w:rsid w:val="00E5091F"/>
    <w:rsid w:val="00E50F7B"/>
    <w:rsid w:val="00E51396"/>
    <w:rsid w:val="00E51398"/>
    <w:rsid w:val="00E5146F"/>
    <w:rsid w:val="00E5153F"/>
    <w:rsid w:val="00E5158A"/>
    <w:rsid w:val="00E5160F"/>
    <w:rsid w:val="00E51ABF"/>
    <w:rsid w:val="00E51B38"/>
    <w:rsid w:val="00E51DC9"/>
    <w:rsid w:val="00E5207E"/>
    <w:rsid w:val="00E52373"/>
    <w:rsid w:val="00E5265A"/>
    <w:rsid w:val="00E5287C"/>
    <w:rsid w:val="00E52C9A"/>
    <w:rsid w:val="00E530B8"/>
    <w:rsid w:val="00E53269"/>
    <w:rsid w:val="00E5339A"/>
    <w:rsid w:val="00E53458"/>
    <w:rsid w:val="00E53645"/>
    <w:rsid w:val="00E53675"/>
    <w:rsid w:val="00E53880"/>
    <w:rsid w:val="00E53A27"/>
    <w:rsid w:val="00E53A5A"/>
    <w:rsid w:val="00E53B91"/>
    <w:rsid w:val="00E53BCD"/>
    <w:rsid w:val="00E53DF7"/>
    <w:rsid w:val="00E53F40"/>
    <w:rsid w:val="00E53FF7"/>
    <w:rsid w:val="00E541BD"/>
    <w:rsid w:val="00E544EE"/>
    <w:rsid w:val="00E546D1"/>
    <w:rsid w:val="00E54A42"/>
    <w:rsid w:val="00E54B17"/>
    <w:rsid w:val="00E54B1F"/>
    <w:rsid w:val="00E54B41"/>
    <w:rsid w:val="00E54C32"/>
    <w:rsid w:val="00E55029"/>
    <w:rsid w:val="00E55289"/>
    <w:rsid w:val="00E552B9"/>
    <w:rsid w:val="00E552BF"/>
    <w:rsid w:val="00E55346"/>
    <w:rsid w:val="00E55518"/>
    <w:rsid w:val="00E555FF"/>
    <w:rsid w:val="00E55620"/>
    <w:rsid w:val="00E5562C"/>
    <w:rsid w:val="00E55755"/>
    <w:rsid w:val="00E55B53"/>
    <w:rsid w:val="00E55B9C"/>
    <w:rsid w:val="00E562C9"/>
    <w:rsid w:val="00E5653C"/>
    <w:rsid w:val="00E5658D"/>
    <w:rsid w:val="00E56593"/>
    <w:rsid w:val="00E56AA8"/>
    <w:rsid w:val="00E56AD9"/>
    <w:rsid w:val="00E56BA9"/>
    <w:rsid w:val="00E56BEA"/>
    <w:rsid w:val="00E56EB0"/>
    <w:rsid w:val="00E56F14"/>
    <w:rsid w:val="00E5711D"/>
    <w:rsid w:val="00E57417"/>
    <w:rsid w:val="00E574C0"/>
    <w:rsid w:val="00E57574"/>
    <w:rsid w:val="00E5765E"/>
    <w:rsid w:val="00E57697"/>
    <w:rsid w:val="00E5771C"/>
    <w:rsid w:val="00E577C2"/>
    <w:rsid w:val="00E577DB"/>
    <w:rsid w:val="00E579B3"/>
    <w:rsid w:val="00E579DF"/>
    <w:rsid w:val="00E57EF5"/>
    <w:rsid w:val="00E57FE6"/>
    <w:rsid w:val="00E6001A"/>
    <w:rsid w:val="00E601F3"/>
    <w:rsid w:val="00E6028D"/>
    <w:rsid w:val="00E603CC"/>
    <w:rsid w:val="00E60462"/>
    <w:rsid w:val="00E60530"/>
    <w:rsid w:val="00E6068F"/>
    <w:rsid w:val="00E608C8"/>
    <w:rsid w:val="00E60B74"/>
    <w:rsid w:val="00E60B88"/>
    <w:rsid w:val="00E60D63"/>
    <w:rsid w:val="00E60E5C"/>
    <w:rsid w:val="00E60F84"/>
    <w:rsid w:val="00E6106F"/>
    <w:rsid w:val="00E611A5"/>
    <w:rsid w:val="00E611C8"/>
    <w:rsid w:val="00E6120E"/>
    <w:rsid w:val="00E613B8"/>
    <w:rsid w:val="00E614DB"/>
    <w:rsid w:val="00E6183F"/>
    <w:rsid w:val="00E618B2"/>
    <w:rsid w:val="00E61B86"/>
    <w:rsid w:val="00E61CD8"/>
    <w:rsid w:val="00E61F75"/>
    <w:rsid w:val="00E6200B"/>
    <w:rsid w:val="00E6235B"/>
    <w:rsid w:val="00E625E0"/>
    <w:rsid w:val="00E6278D"/>
    <w:rsid w:val="00E62B2F"/>
    <w:rsid w:val="00E62B88"/>
    <w:rsid w:val="00E62DD1"/>
    <w:rsid w:val="00E62DFB"/>
    <w:rsid w:val="00E62F88"/>
    <w:rsid w:val="00E632D0"/>
    <w:rsid w:val="00E632D8"/>
    <w:rsid w:val="00E632FD"/>
    <w:rsid w:val="00E634E0"/>
    <w:rsid w:val="00E63809"/>
    <w:rsid w:val="00E63856"/>
    <w:rsid w:val="00E638A7"/>
    <w:rsid w:val="00E6399D"/>
    <w:rsid w:val="00E63AB6"/>
    <w:rsid w:val="00E63DC0"/>
    <w:rsid w:val="00E63ED8"/>
    <w:rsid w:val="00E64087"/>
    <w:rsid w:val="00E64104"/>
    <w:rsid w:val="00E641EB"/>
    <w:rsid w:val="00E64318"/>
    <w:rsid w:val="00E645B4"/>
    <w:rsid w:val="00E64975"/>
    <w:rsid w:val="00E64AFD"/>
    <w:rsid w:val="00E64B59"/>
    <w:rsid w:val="00E64CC0"/>
    <w:rsid w:val="00E64ECA"/>
    <w:rsid w:val="00E6513A"/>
    <w:rsid w:val="00E656FD"/>
    <w:rsid w:val="00E65775"/>
    <w:rsid w:val="00E6643B"/>
    <w:rsid w:val="00E664E5"/>
    <w:rsid w:val="00E66546"/>
    <w:rsid w:val="00E6678C"/>
    <w:rsid w:val="00E667D1"/>
    <w:rsid w:val="00E6680B"/>
    <w:rsid w:val="00E66893"/>
    <w:rsid w:val="00E668CB"/>
    <w:rsid w:val="00E66927"/>
    <w:rsid w:val="00E66C9D"/>
    <w:rsid w:val="00E66ED9"/>
    <w:rsid w:val="00E66FE9"/>
    <w:rsid w:val="00E67090"/>
    <w:rsid w:val="00E672B9"/>
    <w:rsid w:val="00E673F3"/>
    <w:rsid w:val="00E67540"/>
    <w:rsid w:val="00E675DD"/>
    <w:rsid w:val="00E67BDE"/>
    <w:rsid w:val="00E7003F"/>
    <w:rsid w:val="00E70461"/>
    <w:rsid w:val="00E705C1"/>
    <w:rsid w:val="00E70646"/>
    <w:rsid w:val="00E70709"/>
    <w:rsid w:val="00E7070D"/>
    <w:rsid w:val="00E7079D"/>
    <w:rsid w:val="00E70AA4"/>
    <w:rsid w:val="00E70BF7"/>
    <w:rsid w:val="00E70CCE"/>
    <w:rsid w:val="00E70CED"/>
    <w:rsid w:val="00E70E44"/>
    <w:rsid w:val="00E71302"/>
    <w:rsid w:val="00E7148C"/>
    <w:rsid w:val="00E71543"/>
    <w:rsid w:val="00E715A8"/>
    <w:rsid w:val="00E716A0"/>
    <w:rsid w:val="00E71743"/>
    <w:rsid w:val="00E71886"/>
    <w:rsid w:val="00E719B7"/>
    <w:rsid w:val="00E71AFD"/>
    <w:rsid w:val="00E71CA1"/>
    <w:rsid w:val="00E71D1B"/>
    <w:rsid w:val="00E71E35"/>
    <w:rsid w:val="00E71E6A"/>
    <w:rsid w:val="00E72007"/>
    <w:rsid w:val="00E7242E"/>
    <w:rsid w:val="00E724BF"/>
    <w:rsid w:val="00E725B1"/>
    <w:rsid w:val="00E725C9"/>
    <w:rsid w:val="00E72C4A"/>
    <w:rsid w:val="00E72DB7"/>
    <w:rsid w:val="00E72FFD"/>
    <w:rsid w:val="00E73075"/>
    <w:rsid w:val="00E733B8"/>
    <w:rsid w:val="00E73661"/>
    <w:rsid w:val="00E736F8"/>
    <w:rsid w:val="00E73788"/>
    <w:rsid w:val="00E7379B"/>
    <w:rsid w:val="00E73A74"/>
    <w:rsid w:val="00E73C58"/>
    <w:rsid w:val="00E73EAC"/>
    <w:rsid w:val="00E7405B"/>
    <w:rsid w:val="00E74248"/>
    <w:rsid w:val="00E74541"/>
    <w:rsid w:val="00E7484F"/>
    <w:rsid w:val="00E74E1A"/>
    <w:rsid w:val="00E74E83"/>
    <w:rsid w:val="00E7530A"/>
    <w:rsid w:val="00E75455"/>
    <w:rsid w:val="00E755C8"/>
    <w:rsid w:val="00E75741"/>
    <w:rsid w:val="00E7583D"/>
    <w:rsid w:val="00E75A01"/>
    <w:rsid w:val="00E75A6B"/>
    <w:rsid w:val="00E75D09"/>
    <w:rsid w:val="00E75D2A"/>
    <w:rsid w:val="00E75E3D"/>
    <w:rsid w:val="00E75F18"/>
    <w:rsid w:val="00E76024"/>
    <w:rsid w:val="00E7603D"/>
    <w:rsid w:val="00E76746"/>
    <w:rsid w:val="00E76B16"/>
    <w:rsid w:val="00E76C24"/>
    <w:rsid w:val="00E76EA4"/>
    <w:rsid w:val="00E77017"/>
    <w:rsid w:val="00E771F4"/>
    <w:rsid w:val="00E7741B"/>
    <w:rsid w:val="00E77A33"/>
    <w:rsid w:val="00E77A50"/>
    <w:rsid w:val="00E77B05"/>
    <w:rsid w:val="00E77CB5"/>
    <w:rsid w:val="00E77E55"/>
    <w:rsid w:val="00E79009"/>
    <w:rsid w:val="00E800F4"/>
    <w:rsid w:val="00E80778"/>
    <w:rsid w:val="00E809B4"/>
    <w:rsid w:val="00E80A09"/>
    <w:rsid w:val="00E80AB0"/>
    <w:rsid w:val="00E80B79"/>
    <w:rsid w:val="00E80C14"/>
    <w:rsid w:val="00E80C5B"/>
    <w:rsid w:val="00E80D5E"/>
    <w:rsid w:val="00E80EEA"/>
    <w:rsid w:val="00E80F2C"/>
    <w:rsid w:val="00E80F9A"/>
    <w:rsid w:val="00E81278"/>
    <w:rsid w:val="00E8136F"/>
    <w:rsid w:val="00E815E3"/>
    <w:rsid w:val="00E81811"/>
    <w:rsid w:val="00E81E90"/>
    <w:rsid w:val="00E823A7"/>
    <w:rsid w:val="00E823B5"/>
    <w:rsid w:val="00E8260C"/>
    <w:rsid w:val="00E829B7"/>
    <w:rsid w:val="00E82D9D"/>
    <w:rsid w:val="00E82EB1"/>
    <w:rsid w:val="00E835EF"/>
    <w:rsid w:val="00E83691"/>
    <w:rsid w:val="00E8373E"/>
    <w:rsid w:val="00E83A14"/>
    <w:rsid w:val="00E83AD7"/>
    <w:rsid w:val="00E83D04"/>
    <w:rsid w:val="00E83E26"/>
    <w:rsid w:val="00E841E7"/>
    <w:rsid w:val="00E842F7"/>
    <w:rsid w:val="00E84336"/>
    <w:rsid w:val="00E84450"/>
    <w:rsid w:val="00E8456F"/>
    <w:rsid w:val="00E84588"/>
    <w:rsid w:val="00E84AAC"/>
    <w:rsid w:val="00E84D45"/>
    <w:rsid w:val="00E84DBF"/>
    <w:rsid w:val="00E84E1A"/>
    <w:rsid w:val="00E8527E"/>
    <w:rsid w:val="00E8540F"/>
    <w:rsid w:val="00E8556B"/>
    <w:rsid w:val="00E857F7"/>
    <w:rsid w:val="00E85D8E"/>
    <w:rsid w:val="00E85E39"/>
    <w:rsid w:val="00E85FF3"/>
    <w:rsid w:val="00E8633D"/>
    <w:rsid w:val="00E86368"/>
    <w:rsid w:val="00E863B3"/>
    <w:rsid w:val="00E863BA"/>
    <w:rsid w:val="00E86597"/>
    <w:rsid w:val="00E86BE5"/>
    <w:rsid w:val="00E86CA5"/>
    <w:rsid w:val="00E86EB2"/>
    <w:rsid w:val="00E86EB4"/>
    <w:rsid w:val="00E86F97"/>
    <w:rsid w:val="00E86FD3"/>
    <w:rsid w:val="00E87006"/>
    <w:rsid w:val="00E87221"/>
    <w:rsid w:val="00E87269"/>
    <w:rsid w:val="00E873C1"/>
    <w:rsid w:val="00E873C7"/>
    <w:rsid w:val="00E8745B"/>
    <w:rsid w:val="00E87940"/>
    <w:rsid w:val="00E87A9B"/>
    <w:rsid w:val="00E87C4F"/>
    <w:rsid w:val="00E87F5D"/>
    <w:rsid w:val="00E90195"/>
    <w:rsid w:val="00E90271"/>
    <w:rsid w:val="00E9037A"/>
    <w:rsid w:val="00E903E3"/>
    <w:rsid w:val="00E905F3"/>
    <w:rsid w:val="00E90783"/>
    <w:rsid w:val="00E907C5"/>
    <w:rsid w:val="00E908C8"/>
    <w:rsid w:val="00E909B0"/>
    <w:rsid w:val="00E90EE4"/>
    <w:rsid w:val="00E90F57"/>
    <w:rsid w:val="00E910D9"/>
    <w:rsid w:val="00E9118D"/>
    <w:rsid w:val="00E9121E"/>
    <w:rsid w:val="00E9140B"/>
    <w:rsid w:val="00E91717"/>
    <w:rsid w:val="00E91733"/>
    <w:rsid w:val="00E91E9E"/>
    <w:rsid w:val="00E91F81"/>
    <w:rsid w:val="00E9207C"/>
    <w:rsid w:val="00E922C1"/>
    <w:rsid w:val="00E924EF"/>
    <w:rsid w:val="00E92668"/>
    <w:rsid w:val="00E927AB"/>
    <w:rsid w:val="00E931B4"/>
    <w:rsid w:val="00E93281"/>
    <w:rsid w:val="00E93352"/>
    <w:rsid w:val="00E9344D"/>
    <w:rsid w:val="00E935ED"/>
    <w:rsid w:val="00E93CE4"/>
    <w:rsid w:val="00E93E89"/>
    <w:rsid w:val="00E940F0"/>
    <w:rsid w:val="00E9431A"/>
    <w:rsid w:val="00E94580"/>
    <w:rsid w:val="00E946AB"/>
    <w:rsid w:val="00E946E8"/>
    <w:rsid w:val="00E9497B"/>
    <w:rsid w:val="00E94B72"/>
    <w:rsid w:val="00E94BBC"/>
    <w:rsid w:val="00E94E6C"/>
    <w:rsid w:val="00E94EF6"/>
    <w:rsid w:val="00E94F59"/>
    <w:rsid w:val="00E94F76"/>
    <w:rsid w:val="00E9514C"/>
    <w:rsid w:val="00E95333"/>
    <w:rsid w:val="00E9546F"/>
    <w:rsid w:val="00E95491"/>
    <w:rsid w:val="00E95629"/>
    <w:rsid w:val="00E95D70"/>
    <w:rsid w:val="00E95FC6"/>
    <w:rsid w:val="00E964DF"/>
    <w:rsid w:val="00E9654D"/>
    <w:rsid w:val="00E96673"/>
    <w:rsid w:val="00E96B45"/>
    <w:rsid w:val="00E96D8D"/>
    <w:rsid w:val="00E972B7"/>
    <w:rsid w:val="00E975AB"/>
    <w:rsid w:val="00E97808"/>
    <w:rsid w:val="00E9786A"/>
    <w:rsid w:val="00E97A71"/>
    <w:rsid w:val="00E97AD3"/>
    <w:rsid w:val="00E97C2A"/>
    <w:rsid w:val="00E97CA1"/>
    <w:rsid w:val="00E97E34"/>
    <w:rsid w:val="00EA0134"/>
    <w:rsid w:val="00EA0152"/>
    <w:rsid w:val="00EA0345"/>
    <w:rsid w:val="00EA048A"/>
    <w:rsid w:val="00EA0603"/>
    <w:rsid w:val="00EA0A0B"/>
    <w:rsid w:val="00EA0DB7"/>
    <w:rsid w:val="00EA0E9F"/>
    <w:rsid w:val="00EA0F0C"/>
    <w:rsid w:val="00EA1183"/>
    <w:rsid w:val="00EA16A9"/>
    <w:rsid w:val="00EA18C5"/>
    <w:rsid w:val="00EA190D"/>
    <w:rsid w:val="00EA1A41"/>
    <w:rsid w:val="00EA1D16"/>
    <w:rsid w:val="00EA1F74"/>
    <w:rsid w:val="00EA222F"/>
    <w:rsid w:val="00EA22F2"/>
    <w:rsid w:val="00EA25FD"/>
    <w:rsid w:val="00EA29EE"/>
    <w:rsid w:val="00EA2A18"/>
    <w:rsid w:val="00EA2BD2"/>
    <w:rsid w:val="00EA2E1D"/>
    <w:rsid w:val="00EA2FDB"/>
    <w:rsid w:val="00EA318C"/>
    <w:rsid w:val="00EA3232"/>
    <w:rsid w:val="00EA35CF"/>
    <w:rsid w:val="00EA3612"/>
    <w:rsid w:val="00EA370A"/>
    <w:rsid w:val="00EA391E"/>
    <w:rsid w:val="00EA39C2"/>
    <w:rsid w:val="00EA3AC5"/>
    <w:rsid w:val="00EA3B9B"/>
    <w:rsid w:val="00EA3C2B"/>
    <w:rsid w:val="00EA3C5E"/>
    <w:rsid w:val="00EA3F13"/>
    <w:rsid w:val="00EA3F34"/>
    <w:rsid w:val="00EA4075"/>
    <w:rsid w:val="00EA4310"/>
    <w:rsid w:val="00EA441E"/>
    <w:rsid w:val="00EA443E"/>
    <w:rsid w:val="00EA4467"/>
    <w:rsid w:val="00EA4479"/>
    <w:rsid w:val="00EA4946"/>
    <w:rsid w:val="00EA49DF"/>
    <w:rsid w:val="00EA4B38"/>
    <w:rsid w:val="00EA4D32"/>
    <w:rsid w:val="00EA4F14"/>
    <w:rsid w:val="00EA518E"/>
    <w:rsid w:val="00EA555D"/>
    <w:rsid w:val="00EA56F5"/>
    <w:rsid w:val="00EA57CF"/>
    <w:rsid w:val="00EA5B4A"/>
    <w:rsid w:val="00EA635B"/>
    <w:rsid w:val="00EA64FB"/>
    <w:rsid w:val="00EA6597"/>
    <w:rsid w:val="00EA65FB"/>
    <w:rsid w:val="00EA667C"/>
    <w:rsid w:val="00EA66C8"/>
    <w:rsid w:val="00EA6811"/>
    <w:rsid w:val="00EA68A8"/>
    <w:rsid w:val="00EA68E7"/>
    <w:rsid w:val="00EA6909"/>
    <w:rsid w:val="00EA6B15"/>
    <w:rsid w:val="00EA6D2D"/>
    <w:rsid w:val="00EA6DB1"/>
    <w:rsid w:val="00EA6EA9"/>
    <w:rsid w:val="00EA6EAA"/>
    <w:rsid w:val="00EA7245"/>
    <w:rsid w:val="00EA7594"/>
    <w:rsid w:val="00EA7C87"/>
    <w:rsid w:val="00EA7D18"/>
    <w:rsid w:val="00EA7EF7"/>
    <w:rsid w:val="00EB061D"/>
    <w:rsid w:val="00EB0956"/>
    <w:rsid w:val="00EB0980"/>
    <w:rsid w:val="00EB0BEA"/>
    <w:rsid w:val="00EB0C1B"/>
    <w:rsid w:val="00EB0C39"/>
    <w:rsid w:val="00EB0E8B"/>
    <w:rsid w:val="00EB0F81"/>
    <w:rsid w:val="00EB11D5"/>
    <w:rsid w:val="00EB157F"/>
    <w:rsid w:val="00EB1744"/>
    <w:rsid w:val="00EB1848"/>
    <w:rsid w:val="00EB19FC"/>
    <w:rsid w:val="00EB1C9E"/>
    <w:rsid w:val="00EB1CB2"/>
    <w:rsid w:val="00EB2182"/>
    <w:rsid w:val="00EB2183"/>
    <w:rsid w:val="00EB2235"/>
    <w:rsid w:val="00EB2633"/>
    <w:rsid w:val="00EB2800"/>
    <w:rsid w:val="00EB28DD"/>
    <w:rsid w:val="00EB2DC6"/>
    <w:rsid w:val="00EB2EB0"/>
    <w:rsid w:val="00EB302B"/>
    <w:rsid w:val="00EB3032"/>
    <w:rsid w:val="00EB35A8"/>
    <w:rsid w:val="00EB3814"/>
    <w:rsid w:val="00EB39D4"/>
    <w:rsid w:val="00EB3AB0"/>
    <w:rsid w:val="00EB3D99"/>
    <w:rsid w:val="00EB3DC6"/>
    <w:rsid w:val="00EB43E7"/>
    <w:rsid w:val="00EB471D"/>
    <w:rsid w:val="00EB476E"/>
    <w:rsid w:val="00EB48AD"/>
    <w:rsid w:val="00EB4B01"/>
    <w:rsid w:val="00EB4C01"/>
    <w:rsid w:val="00EB4C54"/>
    <w:rsid w:val="00EB4C7C"/>
    <w:rsid w:val="00EB4CD5"/>
    <w:rsid w:val="00EB4CDF"/>
    <w:rsid w:val="00EB4F43"/>
    <w:rsid w:val="00EB5123"/>
    <w:rsid w:val="00EB5565"/>
    <w:rsid w:val="00EB55EB"/>
    <w:rsid w:val="00EB5748"/>
    <w:rsid w:val="00EB5854"/>
    <w:rsid w:val="00EB5CD2"/>
    <w:rsid w:val="00EB62A5"/>
    <w:rsid w:val="00EB6413"/>
    <w:rsid w:val="00EB6430"/>
    <w:rsid w:val="00EB6437"/>
    <w:rsid w:val="00EB6486"/>
    <w:rsid w:val="00EB6594"/>
    <w:rsid w:val="00EB67BE"/>
    <w:rsid w:val="00EB68A7"/>
    <w:rsid w:val="00EB6973"/>
    <w:rsid w:val="00EB6C51"/>
    <w:rsid w:val="00EB6C93"/>
    <w:rsid w:val="00EB7001"/>
    <w:rsid w:val="00EB72E7"/>
    <w:rsid w:val="00EB73ED"/>
    <w:rsid w:val="00EB7559"/>
    <w:rsid w:val="00EB786E"/>
    <w:rsid w:val="00EB7C61"/>
    <w:rsid w:val="00EB7F83"/>
    <w:rsid w:val="00EC0086"/>
    <w:rsid w:val="00EC0265"/>
    <w:rsid w:val="00EC055B"/>
    <w:rsid w:val="00EC0698"/>
    <w:rsid w:val="00EC08B9"/>
    <w:rsid w:val="00EC0902"/>
    <w:rsid w:val="00EC099A"/>
    <w:rsid w:val="00EC0A48"/>
    <w:rsid w:val="00EC0B40"/>
    <w:rsid w:val="00EC0C6D"/>
    <w:rsid w:val="00EC0CEA"/>
    <w:rsid w:val="00EC0F0E"/>
    <w:rsid w:val="00EC0F43"/>
    <w:rsid w:val="00EC1186"/>
    <w:rsid w:val="00EC137B"/>
    <w:rsid w:val="00EC13ED"/>
    <w:rsid w:val="00EC1531"/>
    <w:rsid w:val="00EC1859"/>
    <w:rsid w:val="00EC1860"/>
    <w:rsid w:val="00EC1FDF"/>
    <w:rsid w:val="00EC203D"/>
    <w:rsid w:val="00EC203F"/>
    <w:rsid w:val="00EC2A33"/>
    <w:rsid w:val="00EC2AED"/>
    <w:rsid w:val="00EC2BAA"/>
    <w:rsid w:val="00EC2DA2"/>
    <w:rsid w:val="00EC2E2E"/>
    <w:rsid w:val="00EC3205"/>
    <w:rsid w:val="00EC3957"/>
    <w:rsid w:val="00EC3DC7"/>
    <w:rsid w:val="00EC3F90"/>
    <w:rsid w:val="00EC4062"/>
    <w:rsid w:val="00EC4197"/>
    <w:rsid w:val="00EC4213"/>
    <w:rsid w:val="00EC4408"/>
    <w:rsid w:val="00EC45D8"/>
    <w:rsid w:val="00EC469A"/>
    <w:rsid w:val="00EC4858"/>
    <w:rsid w:val="00EC4A27"/>
    <w:rsid w:val="00EC4B53"/>
    <w:rsid w:val="00EC50A3"/>
    <w:rsid w:val="00EC540E"/>
    <w:rsid w:val="00EC5444"/>
    <w:rsid w:val="00EC5697"/>
    <w:rsid w:val="00EC575B"/>
    <w:rsid w:val="00EC5A3F"/>
    <w:rsid w:val="00EC5B53"/>
    <w:rsid w:val="00EC5B75"/>
    <w:rsid w:val="00EC5C82"/>
    <w:rsid w:val="00EC5D83"/>
    <w:rsid w:val="00EC60D1"/>
    <w:rsid w:val="00EC62A4"/>
    <w:rsid w:val="00EC64A3"/>
    <w:rsid w:val="00EC64CE"/>
    <w:rsid w:val="00EC650C"/>
    <w:rsid w:val="00EC69B1"/>
    <w:rsid w:val="00EC6A5B"/>
    <w:rsid w:val="00EC6CFD"/>
    <w:rsid w:val="00EC6D1D"/>
    <w:rsid w:val="00EC7151"/>
    <w:rsid w:val="00EC71C1"/>
    <w:rsid w:val="00EC7378"/>
    <w:rsid w:val="00EC75DB"/>
    <w:rsid w:val="00EC7B84"/>
    <w:rsid w:val="00EC7C82"/>
    <w:rsid w:val="00EC7EE8"/>
    <w:rsid w:val="00EC7F73"/>
    <w:rsid w:val="00ED0294"/>
    <w:rsid w:val="00ED0409"/>
    <w:rsid w:val="00ED07CF"/>
    <w:rsid w:val="00ED0A11"/>
    <w:rsid w:val="00ED0C18"/>
    <w:rsid w:val="00ED0C4B"/>
    <w:rsid w:val="00ED0DAE"/>
    <w:rsid w:val="00ED0E67"/>
    <w:rsid w:val="00ED111A"/>
    <w:rsid w:val="00ED1211"/>
    <w:rsid w:val="00ED12D2"/>
    <w:rsid w:val="00ED12F0"/>
    <w:rsid w:val="00ED1471"/>
    <w:rsid w:val="00ED1855"/>
    <w:rsid w:val="00ED1D4D"/>
    <w:rsid w:val="00ED22A4"/>
    <w:rsid w:val="00ED2B2D"/>
    <w:rsid w:val="00ED2BCA"/>
    <w:rsid w:val="00ED2D97"/>
    <w:rsid w:val="00ED2E4F"/>
    <w:rsid w:val="00ED2FCE"/>
    <w:rsid w:val="00ED332A"/>
    <w:rsid w:val="00ED33B0"/>
    <w:rsid w:val="00ED352C"/>
    <w:rsid w:val="00ED35B6"/>
    <w:rsid w:val="00ED3627"/>
    <w:rsid w:val="00ED362A"/>
    <w:rsid w:val="00ED3900"/>
    <w:rsid w:val="00ED3A53"/>
    <w:rsid w:val="00ED3EB4"/>
    <w:rsid w:val="00ED4056"/>
    <w:rsid w:val="00ED4062"/>
    <w:rsid w:val="00ED4555"/>
    <w:rsid w:val="00ED47E5"/>
    <w:rsid w:val="00ED4804"/>
    <w:rsid w:val="00ED4882"/>
    <w:rsid w:val="00ED4889"/>
    <w:rsid w:val="00ED4A64"/>
    <w:rsid w:val="00ED4B2A"/>
    <w:rsid w:val="00ED4C50"/>
    <w:rsid w:val="00ED5093"/>
    <w:rsid w:val="00ED5137"/>
    <w:rsid w:val="00ED52CD"/>
    <w:rsid w:val="00ED5518"/>
    <w:rsid w:val="00ED5683"/>
    <w:rsid w:val="00ED56A8"/>
    <w:rsid w:val="00ED5B61"/>
    <w:rsid w:val="00ED5C38"/>
    <w:rsid w:val="00ED5C49"/>
    <w:rsid w:val="00ED615B"/>
    <w:rsid w:val="00ED6230"/>
    <w:rsid w:val="00ED663A"/>
    <w:rsid w:val="00ED674B"/>
    <w:rsid w:val="00ED6920"/>
    <w:rsid w:val="00ED6BF5"/>
    <w:rsid w:val="00ED7E58"/>
    <w:rsid w:val="00ED7F86"/>
    <w:rsid w:val="00EE00BF"/>
    <w:rsid w:val="00EE0120"/>
    <w:rsid w:val="00EE061C"/>
    <w:rsid w:val="00EE07F4"/>
    <w:rsid w:val="00EE0A32"/>
    <w:rsid w:val="00EE0A74"/>
    <w:rsid w:val="00EE0ADE"/>
    <w:rsid w:val="00EE0B01"/>
    <w:rsid w:val="00EE0B86"/>
    <w:rsid w:val="00EE0C58"/>
    <w:rsid w:val="00EE0E63"/>
    <w:rsid w:val="00EE1127"/>
    <w:rsid w:val="00EE117D"/>
    <w:rsid w:val="00EE118C"/>
    <w:rsid w:val="00EE12B1"/>
    <w:rsid w:val="00EE1441"/>
    <w:rsid w:val="00EE1543"/>
    <w:rsid w:val="00EE1592"/>
    <w:rsid w:val="00EE1749"/>
    <w:rsid w:val="00EE1C06"/>
    <w:rsid w:val="00EE1D6C"/>
    <w:rsid w:val="00EE1D7F"/>
    <w:rsid w:val="00EE1E2C"/>
    <w:rsid w:val="00EE1E59"/>
    <w:rsid w:val="00EE1ECD"/>
    <w:rsid w:val="00EE27A8"/>
    <w:rsid w:val="00EE2824"/>
    <w:rsid w:val="00EE2DAC"/>
    <w:rsid w:val="00EE2E98"/>
    <w:rsid w:val="00EE3290"/>
    <w:rsid w:val="00EE3599"/>
    <w:rsid w:val="00EE35AD"/>
    <w:rsid w:val="00EE3614"/>
    <w:rsid w:val="00EE36F0"/>
    <w:rsid w:val="00EE3C0D"/>
    <w:rsid w:val="00EE3D6D"/>
    <w:rsid w:val="00EE3DC7"/>
    <w:rsid w:val="00EE41E3"/>
    <w:rsid w:val="00EE43F3"/>
    <w:rsid w:val="00EE4435"/>
    <w:rsid w:val="00EE4A85"/>
    <w:rsid w:val="00EE4BE4"/>
    <w:rsid w:val="00EE4D24"/>
    <w:rsid w:val="00EE51E3"/>
    <w:rsid w:val="00EE54A6"/>
    <w:rsid w:val="00EE5561"/>
    <w:rsid w:val="00EE55D8"/>
    <w:rsid w:val="00EE56E9"/>
    <w:rsid w:val="00EE5854"/>
    <w:rsid w:val="00EE5BD6"/>
    <w:rsid w:val="00EE5C4F"/>
    <w:rsid w:val="00EE5C63"/>
    <w:rsid w:val="00EE5DDE"/>
    <w:rsid w:val="00EE5E23"/>
    <w:rsid w:val="00EE5F34"/>
    <w:rsid w:val="00EE5F93"/>
    <w:rsid w:val="00EE5F94"/>
    <w:rsid w:val="00EE625D"/>
    <w:rsid w:val="00EE6338"/>
    <w:rsid w:val="00EE660C"/>
    <w:rsid w:val="00EE66B2"/>
    <w:rsid w:val="00EE67A3"/>
    <w:rsid w:val="00EE6D6C"/>
    <w:rsid w:val="00EE6DDD"/>
    <w:rsid w:val="00EE722F"/>
    <w:rsid w:val="00EE72C8"/>
    <w:rsid w:val="00EE7733"/>
    <w:rsid w:val="00EE78DA"/>
    <w:rsid w:val="00EE7D62"/>
    <w:rsid w:val="00EE7E24"/>
    <w:rsid w:val="00EE7E3F"/>
    <w:rsid w:val="00EF01FE"/>
    <w:rsid w:val="00EF03E9"/>
    <w:rsid w:val="00EF07D7"/>
    <w:rsid w:val="00EF085F"/>
    <w:rsid w:val="00EF0870"/>
    <w:rsid w:val="00EF0B25"/>
    <w:rsid w:val="00EF0BDD"/>
    <w:rsid w:val="00EF0D39"/>
    <w:rsid w:val="00EF0D6B"/>
    <w:rsid w:val="00EF0DDF"/>
    <w:rsid w:val="00EF120E"/>
    <w:rsid w:val="00EF159A"/>
    <w:rsid w:val="00EF16A3"/>
    <w:rsid w:val="00EF1953"/>
    <w:rsid w:val="00EF19EF"/>
    <w:rsid w:val="00EF1B58"/>
    <w:rsid w:val="00EF1B61"/>
    <w:rsid w:val="00EF1DDD"/>
    <w:rsid w:val="00EF1FC3"/>
    <w:rsid w:val="00EF2601"/>
    <w:rsid w:val="00EF2744"/>
    <w:rsid w:val="00EF2B77"/>
    <w:rsid w:val="00EF2E4E"/>
    <w:rsid w:val="00EF2F39"/>
    <w:rsid w:val="00EF303E"/>
    <w:rsid w:val="00EF3078"/>
    <w:rsid w:val="00EF3444"/>
    <w:rsid w:val="00EF3491"/>
    <w:rsid w:val="00EF34CE"/>
    <w:rsid w:val="00EF3695"/>
    <w:rsid w:val="00EF3784"/>
    <w:rsid w:val="00EF382F"/>
    <w:rsid w:val="00EF3AE6"/>
    <w:rsid w:val="00EF3E45"/>
    <w:rsid w:val="00EF3EB1"/>
    <w:rsid w:val="00EF3F79"/>
    <w:rsid w:val="00EF416A"/>
    <w:rsid w:val="00EF420B"/>
    <w:rsid w:val="00EF46C0"/>
    <w:rsid w:val="00EF48D3"/>
    <w:rsid w:val="00EF4EBE"/>
    <w:rsid w:val="00EF5483"/>
    <w:rsid w:val="00EF5766"/>
    <w:rsid w:val="00EF5958"/>
    <w:rsid w:val="00EF5CEF"/>
    <w:rsid w:val="00EF60AE"/>
    <w:rsid w:val="00EF65C7"/>
    <w:rsid w:val="00EF65E3"/>
    <w:rsid w:val="00EF6A6F"/>
    <w:rsid w:val="00EF6A9C"/>
    <w:rsid w:val="00EF6B8C"/>
    <w:rsid w:val="00EF6C8E"/>
    <w:rsid w:val="00EF6E49"/>
    <w:rsid w:val="00EF70AE"/>
    <w:rsid w:val="00EF70F0"/>
    <w:rsid w:val="00EF71F1"/>
    <w:rsid w:val="00EF7319"/>
    <w:rsid w:val="00EF74E5"/>
    <w:rsid w:val="00EF7772"/>
    <w:rsid w:val="00EF7981"/>
    <w:rsid w:val="00EF7B75"/>
    <w:rsid w:val="00F000C0"/>
    <w:rsid w:val="00F000C3"/>
    <w:rsid w:val="00F001CD"/>
    <w:rsid w:val="00F003A2"/>
    <w:rsid w:val="00F00488"/>
    <w:rsid w:val="00F005E3"/>
    <w:rsid w:val="00F006AF"/>
    <w:rsid w:val="00F0084B"/>
    <w:rsid w:val="00F008E7"/>
    <w:rsid w:val="00F00B62"/>
    <w:rsid w:val="00F00DDA"/>
    <w:rsid w:val="00F00E36"/>
    <w:rsid w:val="00F011CE"/>
    <w:rsid w:val="00F0124F"/>
    <w:rsid w:val="00F01499"/>
    <w:rsid w:val="00F016B6"/>
    <w:rsid w:val="00F01E8D"/>
    <w:rsid w:val="00F021B5"/>
    <w:rsid w:val="00F02498"/>
    <w:rsid w:val="00F02858"/>
    <w:rsid w:val="00F02A80"/>
    <w:rsid w:val="00F02AC7"/>
    <w:rsid w:val="00F02B5C"/>
    <w:rsid w:val="00F02B82"/>
    <w:rsid w:val="00F02C43"/>
    <w:rsid w:val="00F02E5F"/>
    <w:rsid w:val="00F02E70"/>
    <w:rsid w:val="00F03026"/>
    <w:rsid w:val="00F03260"/>
    <w:rsid w:val="00F03267"/>
    <w:rsid w:val="00F033D3"/>
    <w:rsid w:val="00F03696"/>
    <w:rsid w:val="00F03866"/>
    <w:rsid w:val="00F03992"/>
    <w:rsid w:val="00F03B36"/>
    <w:rsid w:val="00F03ED3"/>
    <w:rsid w:val="00F03F9B"/>
    <w:rsid w:val="00F03FC2"/>
    <w:rsid w:val="00F04070"/>
    <w:rsid w:val="00F047E3"/>
    <w:rsid w:val="00F049A3"/>
    <w:rsid w:val="00F049F7"/>
    <w:rsid w:val="00F04A8B"/>
    <w:rsid w:val="00F04FE3"/>
    <w:rsid w:val="00F051A5"/>
    <w:rsid w:val="00F0535E"/>
    <w:rsid w:val="00F05415"/>
    <w:rsid w:val="00F05D65"/>
    <w:rsid w:val="00F05DFC"/>
    <w:rsid w:val="00F05E65"/>
    <w:rsid w:val="00F05E80"/>
    <w:rsid w:val="00F06280"/>
    <w:rsid w:val="00F063EF"/>
    <w:rsid w:val="00F06450"/>
    <w:rsid w:val="00F06487"/>
    <w:rsid w:val="00F065D6"/>
    <w:rsid w:val="00F065EA"/>
    <w:rsid w:val="00F06682"/>
    <w:rsid w:val="00F068D0"/>
    <w:rsid w:val="00F068F6"/>
    <w:rsid w:val="00F06945"/>
    <w:rsid w:val="00F06C2B"/>
    <w:rsid w:val="00F06D16"/>
    <w:rsid w:val="00F06E5C"/>
    <w:rsid w:val="00F06EDD"/>
    <w:rsid w:val="00F070B0"/>
    <w:rsid w:val="00F0747A"/>
    <w:rsid w:val="00F074DE"/>
    <w:rsid w:val="00F07890"/>
    <w:rsid w:val="00F07A08"/>
    <w:rsid w:val="00F07FAF"/>
    <w:rsid w:val="00F1006D"/>
    <w:rsid w:val="00F10478"/>
    <w:rsid w:val="00F10684"/>
    <w:rsid w:val="00F109DC"/>
    <w:rsid w:val="00F10F5A"/>
    <w:rsid w:val="00F1113E"/>
    <w:rsid w:val="00F111DD"/>
    <w:rsid w:val="00F11281"/>
    <w:rsid w:val="00F11298"/>
    <w:rsid w:val="00F112E1"/>
    <w:rsid w:val="00F115B1"/>
    <w:rsid w:val="00F115FC"/>
    <w:rsid w:val="00F1161C"/>
    <w:rsid w:val="00F11625"/>
    <w:rsid w:val="00F11729"/>
    <w:rsid w:val="00F1185F"/>
    <w:rsid w:val="00F120A1"/>
    <w:rsid w:val="00F120E8"/>
    <w:rsid w:val="00F123F0"/>
    <w:rsid w:val="00F12404"/>
    <w:rsid w:val="00F125B3"/>
    <w:rsid w:val="00F1274F"/>
    <w:rsid w:val="00F127DC"/>
    <w:rsid w:val="00F12845"/>
    <w:rsid w:val="00F12869"/>
    <w:rsid w:val="00F12895"/>
    <w:rsid w:val="00F12979"/>
    <w:rsid w:val="00F12AC0"/>
    <w:rsid w:val="00F12B3A"/>
    <w:rsid w:val="00F12D80"/>
    <w:rsid w:val="00F12EE8"/>
    <w:rsid w:val="00F13180"/>
    <w:rsid w:val="00F13286"/>
    <w:rsid w:val="00F135FB"/>
    <w:rsid w:val="00F138A6"/>
    <w:rsid w:val="00F13A82"/>
    <w:rsid w:val="00F13AB4"/>
    <w:rsid w:val="00F13BE3"/>
    <w:rsid w:val="00F13DB7"/>
    <w:rsid w:val="00F13F4B"/>
    <w:rsid w:val="00F143F8"/>
    <w:rsid w:val="00F14504"/>
    <w:rsid w:val="00F14805"/>
    <w:rsid w:val="00F148D3"/>
    <w:rsid w:val="00F14AFF"/>
    <w:rsid w:val="00F15037"/>
    <w:rsid w:val="00F153C2"/>
    <w:rsid w:val="00F15BD8"/>
    <w:rsid w:val="00F15CDF"/>
    <w:rsid w:val="00F15CFD"/>
    <w:rsid w:val="00F15E6F"/>
    <w:rsid w:val="00F15EC0"/>
    <w:rsid w:val="00F16691"/>
    <w:rsid w:val="00F166BF"/>
    <w:rsid w:val="00F16B2B"/>
    <w:rsid w:val="00F1702A"/>
    <w:rsid w:val="00F17240"/>
    <w:rsid w:val="00F1743A"/>
    <w:rsid w:val="00F1757C"/>
    <w:rsid w:val="00F17612"/>
    <w:rsid w:val="00F1768A"/>
    <w:rsid w:val="00F177E0"/>
    <w:rsid w:val="00F17951"/>
    <w:rsid w:val="00F17A21"/>
    <w:rsid w:val="00F17CBF"/>
    <w:rsid w:val="00F17F09"/>
    <w:rsid w:val="00F17FC8"/>
    <w:rsid w:val="00F1D9B7"/>
    <w:rsid w:val="00F20120"/>
    <w:rsid w:val="00F202A3"/>
    <w:rsid w:val="00F20501"/>
    <w:rsid w:val="00F205E4"/>
    <w:rsid w:val="00F207A7"/>
    <w:rsid w:val="00F20B98"/>
    <w:rsid w:val="00F20BD6"/>
    <w:rsid w:val="00F20E59"/>
    <w:rsid w:val="00F20EA1"/>
    <w:rsid w:val="00F20F2B"/>
    <w:rsid w:val="00F213DF"/>
    <w:rsid w:val="00F214D6"/>
    <w:rsid w:val="00F215A7"/>
    <w:rsid w:val="00F215DD"/>
    <w:rsid w:val="00F2160B"/>
    <w:rsid w:val="00F21707"/>
    <w:rsid w:val="00F219CB"/>
    <w:rsid w:val="00F21AA7"/>
    <w:rsid w:val="00F21ADD"/>
    <w:rsid w:val="00F21AE8"/>
    <w:rsid w:val="00F229DE"/>
    <w:rsid w:val="00F22ACA"/>
    <w:rsid w:val="00F22B34"/>
    <w:rsid w:val="00F22D4F"/>
    <w:rsid w:val="00F22DCC"/>
    <w:rsid w:val="00F22F97"/>
    <w:rsid w:val="00F23300"/>
    <w:rsid w:val="00F23325"/>
    <w:rsid w:val="00F23518"/>
    <w:rsid w:val="00F23B24"/>
    <w:rsid w:val="00F23D71"/>
    <w:rsid w:val="00F244BE"/>
    <w:rsid w:val="00F245CE"/>
    <w:rsid w:val="00F2499F"/>
    <w:rsid w:val="00F24A1F"/>
    <w:rsid w:val="00F24A8B"/>
    <w:rsid w:val="00F25094"/>
    <w:rsid w:val="00F251DD"/>
    <w:rsid w:val="00F2536F"/>
    <w:rsid w:val="00F253FB"/>
    <w:rsid w:val="00F25686"/>
    <w:rsid w:val="00F256F7"/>
    <w:rsid w:val="00F257A7"/>
    <w:rsid w:val="00F257F1"/>
    <w:rsid w:val="00F25AE6"/>
    <w:rsid w:val="00F25B65"/>
    <w:rsid w:val="00F25C6F"/>
    <w:rsid w:val="00F25E58"/>
    <w:rsid w:val="00F25EEF"/>
    <w:rsid w:val="00F25FB6"/>
    <w:rsid w:val="00F260D7"/>
    <w:rsid w:val="00F260EA"/>
    <w:rsid w:val="00F264AB"/>
    <w:rsid w:val="00F2681A"/>
    <w:rsid w:val="00F2682C"/>
    <w:rsid w:val="00F26884"/>
    <w:rsid w:val="00F2694A"/>
    <w:rsid w:val="00F26B45"/>
    <w:rsid w:val="00F26BD7"/>
    <w:rsid w:val="00F26C30"/>
    <w:rsid w:val="00F26D3B"/>
    <w:rsid w:val="00F26EE5"/>
    <w:rsid w:val="00F272FF"/>
    <w:rsid w:val="00F273B9"/>
    <w:rsid w:val="00F274AA"/>
    <w:rsid w:val="00F274CC"/>
    <w:rsid w:val="00F27B07"/>
    <w:rsid w:val="00F27B96"/>
    <w:rsid w:val="00F27C69"/>
    <w:rsid w:val="00F27D79"/>
    <w:rsid w:val="00F30179"/>
    <w:rsid w:val="00F301BA"/>
    <w:rsid w:val="00F301FF"/>
    <w:rsid w:val="00F30760"/>
    <w:rsid w:val="00F30B55"/>
    <w:rsid w:val="00F30B85"/>
    <w:rsid w:val="00F30FA7"/>
    <w:rsid w:val="00F3138B"/>
    <w:rsid w:val="00F3172B"/>
    <w:rsid w:val="00F319A9"/>
    <w:rsid w:val="00F31C10"/>
    <w:rsid w:val="00F3202C"/>
    <w:rsid w:val="00F32129"/>
    <w:rsid w:val="00F32538"/>
    <w:rsid w:val="00F32557"/>
    <w:rsid w:val="00F325CE"/>
    <w:rsid w:val="00F3277F"/>
    <w:rsid w:val="00F32830"/>
    <w:rsid w:val="00F3296D"/>
    <w:rsid w:val="00F32A09"/>
    <w:rsid w:val="00F32A2F"/>
    <w:rsid w:val="00F32B0E"/>
    <w:rsid w:val="00F32B17"/>
    <w:rsid w:val="00F32FCD"/>
    <w:rsid w:val="00F3307D"/>
    <w:rsid w:val="00F330B3"/>
    <w:rsid w:val="00F33257"/>
    <w:rsid w:val="00F3327C"/>
    <w:rsid w:val="00F332A9"/>
    <w:rsid w:val="00F33671"/>
    <w:rsid w:val="00F33BBD"/>
    <w:rsid w:val="00F33F05"/>
    <w:rsid w:val="00F3431C"/>
    <w:rsid w:val="00F34484"/>
    <w:rsid w:val="00F34D09"/>
    <w:rsid w:val="00F34DD7"/>
    <w:rsid w:val="00F34EEF"/>
    <w:rsid w:val="00F34FC9"/>
    <w:rsid w:val="00F351EE"/>
    <w:rsid w:val="00F353F4"/>
    <w:rsid w:val="00F353F8"/>
    <w:rsid w:val="00F35AF5"/>
    <w:rsid w:val="00F35D6F"/>
    <w:rsid w:val="00F360DA"/>
    <w:rsid w:val="00F36382"/>
    <w:rsid w:val="00F36499"/>
    <w:rsid w:val="00F367AB"/>
    <w:rsid w:val="00F368D3"/>
    <w:rsid w:val="00F36978"/>
    <w:rsid w:val="00F36A2A"/>
    <w:rsid w:val="00F36B27"/>
    <w:rsid w:val="00F36BA3"/>
    <w:rsid w:val="00F37546"/>
    <w:rsid w:val="00F37833"/>
    <w:rsid w:val="00F378E4"/>
    <w:rsid w:val="00F401F7"/>
    <w:rsid w:val="00F4020C"/>
    <w:rsid w:val="00F4027C"/>
    <w:rsid w:val="00F40321"/>
    <w:rsid w:val="00F406D4"/>
    <w:rsid w:val="00F40A01"/>
    <w:rsid w:val="00F40A0C"/>
    <w:rsid w:val="00F40A59"/>
    <w:rsid w:val="00F40B17"/>
    <w:rsid w:val="00F40BB3"/>
    <w:rsid w:val="00F40E99"/>
    <w:rsid w:val="00F4127B"/>
    <w:rsid w:val="00F4142E"/>
    <w:rsid w:val="00F415A8"/>
    <w:rsid w:val="00F418CF"/>
    <w:rsid w:val="00F41A69"/>
    <w:rsid w:val="00F41E63"/>
    <w:rsid w:val="00F42317"/>
    <w:rsid w:val="00F42424"/>
    <w:rsid w:val="00F4251C"/>
    <w:rsid w:val="00F425D1"/>
    <w:rsid w:val="00F42616"/>
    <w:rsid w:val="00F426D1"/>
    <w:rsid w:val="00F429AC"/>
    <w:rsid w:val="00F42AB6"/>
    <w:rsid w:val="00F42CC3"/>
    <w:rsid w:val="00F42D76"/>
    <w:rsid w:val="00F430D6"/>
    <w:rsid w:val="00F43276"/>
    <w:rsid w:val="00F43C1B"/>
    <w:rsid w:val="00F43C9E"/>
    <w:rsid w:val="00F43E94"/>
    <w:rsid w:val="00F43ECA"/>
    <w:rsid w:val="00F44037"/>
    <w:rsid w:val="00F4413A"/>
    <w:rsid w:val="00F445C5"/>
    <w:rsid w:val="00F4482A"/>
    <w:rsid w:val="00F448F2"/>
    <w:rsid w:val="00F44BE6"/>
    <w:rsid w:val="00F44E82"/>
    <w:rsid w:val="00F452DB"/>
    <w:rsid w:val="00F45542"/>
    <w:rsid w:val="00F457A5"/>
    <w:rsid w:val="00F4598E"/>
    <w:rsid w:val="00F45A5E"/>
    <w:rsid w:val="00F45AB7"/>
    <w:rsid w:val="00F45B7F"/>
    <w:rsid w:val="00F45DC1"/>
    <w:rsid w:val="00F45F6C"/>
    <w:rsid w:val="00F460FA"/>
    <w:rsid w:val="00F467D9"/>
    <w:rsid w:val="00F46874"/>
    <w:rsid w:val="00F4691A"/>
    <w:rsid w:val="00F46A21"/>
    <w:rsid w:val="00F47483"/>
    <w:rsid w:val="00F479BD"/>
    <w:rsid w:val="00F5004C"/>
    <w:rsid w:val="00F50138"/>
    <w:rsid w:val="00F50139"/>
    <w:rsid w:val="00F5026A"/>
    <w:rsid w:val="00F504FD"/>
    <w:rsid w:val="00F5082B"/>
    <w:rsid w:val="00F50A8B"/>
    <w:rsid w:val="00F50B06"/>
    <w:rsid w:val="00F50CD3"/>
    <w:rsid w:val="00F50DE6"/>
    <w:rsid w:val="00F50F77"/>
    <w:rsid w:val="00F51126"/>
    <w:rsid w:val="00F5122E"/>
    <w:rsid w:val="00F51251"/>
    <w:rsid w:val="00F51592"/>
    <w:rsid w:val="00F515F9"/>
    <w:rsid w:val="00F51BFA"/>
    <w:rsid w:val="00F51D4C"/>
    <w:rsid w:val="00F51E8C"/>
    <w:rsid w:val="00F5203B"/>
    <w:rsid w:val="00F52390"/>
    <w:rsid w:val="00F5253E"/>
    <w:rsid w:val="00F52744"/>
    <w:rsid w:val="00F528CC"/>
    <w:rsid w:val="00F52DE9"/>
    <w:rsid w:val="00F5309F"/>
    <w:rsid w:val="00F53466"/>
    <w:rsid w:val="00F534BA"/>
    <w:rsid w:val="00F53548"/>
    <w:rsid w:val="00F54192"/>
    <w:rsid w:val="00F54351"/>
    <w:rsid w:val="00F54848"/>
    <w:rsid w:val="00F549CB"/>
    <w:rsid w:val="00F54A62"/>
    <w:rsid w:val="00F5549F"/>
    <w:rsid w:val="00F5555F"/>
    <w:rsid w:val="00F556CE"/>
    <w:rsid w:val="00F55845"/>
    <w:rsid w:val="00F55903"/>
    <w:rsid w:val="00F55A26"/>
    <w:rsid w:val="00F55A93"/>
    <w:rsid w:val="00F55C56"/>
    <w:rsid w:val="00F55C59"/>
    <w:rsid w:val="00F55CAA"/>
    <w:rsid w:val="00F55F9D"/>
    <w:rsid w:val="00F560FD"/>
    <w:rsid w:val="00F56111"/>
    <w:rsid w:val="00F561F2"/>
    <w:rsid w:val="00F56256"/>
    <w:rsid w:val="00F562F0"/>
    <w:rsid w:val="00F56BB0"/>
    <w:rsid w:val="00F56BC6"/>
    <w:rsid w:val="00F5702A"/>
    <w:rsid w:val="00F57061"/>
    <w:rsid w:val="00F57075"/>
    <w:rsid w:val="00F571F3"/>
    <w:rsid w:val="00F576D6"/>
    <w:rsid w:val="00F57762"/>
    <w:rsid w:val="00F57B08"/>
    <w:rsid w:val="00F57D2E"/>
    <w:rsid w:val="00F60137"/>
    <w:rsid w:val="00F6019F"/>
    <w:rsid w:val="00F602C4"/>
    <w:rsid w:val="00F604DE"/>
    <w:rsid w:val="00F60AD8"/>
    <w:rsid w:val="00F60C21"/>
    <w:rsid w:val="00F60C34"/>
    <w:rsid w:val="00F60C73"/>
    <w:rsid w:val="00F60CA6"/>
    <w:rsid w:val="00F60D16"/>
    <w:rsid w:val="00F60E50"/>
    <w:rsid w:val="00F60EF6"/>
    <w:rsid w:val="00F611C0"/>
    <w:rsid w:val="00F612B9"/>
    <w:rsid w:val="00F61481"/>
    <w:rsid w:val="00F614E3"/>
    <w:rsid w:val="00F6165C"/>
    <w:rsid w:val="00F6168A"/>
    <w:rsid w:val="00F61887"/>
    <w:rsid w:val="00F6190C"/>
    <w:rsid w:val="00F61CC4"/>
    <w:rsid w:val="00F62055"/>
    <w:rsid w:val="00F6216F"/>
    <w:rsid w:val="00F62461"/>
    <w:rsid w:val="00F625D5"/>
    <w:rsid w:val="00F627EC"/>
    <w:rsid w:val="00F62A3E"/>
    <w:rsid w:val="00F62A71"/>
    <w:rsid w:val="00F62CCE"/>
    <w:rsid w:val="00F62E7D"/>
    <w:rsid w:val="00F6300E"/>
    <w:rsid w:val="00F6305B"/>
    <w:rsid w:val="00F630C2"/>
    <w:rsid w:val="00F630E5"/>
    <w:rsid w:val="00F63207"/>
    <w:rsid w:val="00F63267"/>
    <w:rsid w:val="00F6326E"/>
    <w:rsid w:val="00F633F0"/>
    <w:rsid w:val="00F634D5"/>
    <w:rsid w:val="00F634FC"/>
    <w:rsid w:val="00F63529"/>
    <w:rsid w:val="00F6358C"/>
    <w:rsid w:val="00F63698"/>
    <w:rsid w:val="00F6390C"/>
    <w:rsid w:val="00F63956"/>
    <w:rsid w:val="00F63A5A"/>
    <w:rsid w:val="00F63F0A"/>
    <w:rsid w:val="00F641D5"/>
    <w:rsid w:val="00F643A2"/>
    <w:rsid w:val="00F645EC"/>
    <w:rsid w:val="00F645FA"/>
    <w:rsid w:val="00F64803"/>
    <w:rsid w:val="00F64ABD"/>
    <w:rsid w:val="00F64F0E"/>
    <w:rsid w:val="00F65108"/>
    <w:rsid w:val="00F651B4"/>
    <w:rsid w:val="00F652D7"/>
    <w:rsid w:val="00F653B9"/>
    <w:rsid w:val="00F65458"/>
    <w:rsid w:val="00F654FB"/>
    <w:rsid w:val="00F65567"/>
    <w:rsid w:val="00F656F2"/>
    <w:rsid w:val="00F65807"/>
    <w:rsid w:val="00F6580F"/>
    <w:rsid w:val="00F65AC9"/>
    <w:rsid w:val="00F65EC5"/>
    <w:rsid w:val="00F65F4C"/>
    <w:rsid w:val="00F66298"/>
    <w:rsid w:val="00F66700"/>
    <w:rsid w:val="00F6670C"/>
    <w:rsid w:val="00F66923"/>
    <w:rsid w:val="00F66933"/>
    <w:rsid w:val="00F6694E"/>
    <w:rsid w:val="00F66C03"/>
    <w:rsid w:val="00F66D17"/>
    <w:rsid w:val="00F66E45"/>
    <w:rsid w:val="00F6711F"/>
    <w:rsid w:val="00F6714B"/>
    <w:rsid w:val="00F67171"/>
    <w:rsid w:val="00F673C9"/>
    <w:rsid w:val="00F67C04"/>
    <w:rsid w:val="00F67C4D"/>
    <w:rsid w:val="00F67D74"/>
    <w:rsid w:val="00F67DE2"/>
    <w:rsid w:val="00F67E03"/>
    <w:rsid w:val="00F67F6B"/>
    <w:rsid w:val="00F67FD3"/>
    <w:rsid w:val="00F7028A"/>
    <w:rsid w:val="00F70C1B"/>
    <w:rsid w:val="00F70F91"/>
    <w:rsid w:val="00F71532"/>
    <w:rsid w:val="00F71540"/>
    <w:rsid w:val="00F7165D"/>
    <w:rsid w:val="00F719CC"/>
    <w:rsid w:val="00F71B3E"/>
    <w:rsid w:val="00F71EA3"/>
    <w:rsid w:val="00F72038"/>
    <w:rsid w:val="00F72124"/>
    <w:rsid w:val="00F72142"/>
    <w:rsid w:val="00F725FD"/>
    <w:rsid w:val="00F72693"/>
    <w:rsid w:val="00F72715"/>
    <w:rsid w:val="00F72725"/>
    <w:rsid w:val="00F727D6"/>
    <w:rsid w:val="00F72A92"/>
    <w:rsid w:val="00F72AD5"/>
    <w:rsid w:val="00F72CFB"/>
    <w:rsid w:val="00F7307E"/>
    <w:rsid w:val="00F73109"/>
    <w:rsid w:val="00F732B9"/>
    <w:rsid w:val="00F732C5"/>
    <w:rsid w:val="00F738A5"/>
    <w:rsid w:val="00F73953"/>
    <w:rsid w:val="00F73B8E"/>
    <w:rsid w:val="00F74072"/>
    <w:rsid w:val="00F741F1"/>
    <w:rsid w:val="00F7427A"/>
    <w:rsid w:val="00F74D87"/>
    <w:rsid w:val="00F74E25"/>
    <w:rsid w:val="00F750C8"/>
    <w:rsid w:val="00F752B2"/>
    <w:rsid w:val="00F7531A"/>
    <w:rsid w:val="00F75D12"/>
    <w:rsid w:val="00F75E16"/>
    <w:rsid w:val="00F75EA5"/>
    <w:rsid w:val="00F75F15"/>
    <w:rsid w:val="00F761A0"/>
    <w:rsid w:val="00F76253"/>
    <w:rsid w:val="00F7639B"/>
    <w:rsid w:val="00F76482"/>
    <w:rsid w:val="00F765FF"/>
    <w:rsid w:val="00F76757"/>
    <w:rsid w:val="00F769F8"/>
    <w:rsid w:val="00F769F9"/>
    <w:rsid w:val="00F76B30"/>
    <w:rsid w:val="00F76B5C"/>
    <w:rsid w:val="00F7703C"/>
    <w:rsid w:val="00F77077"/>
    <w:rsid w:val="00F7741C"/>
    <w:rsid w:val="00F77715"/>
    <w:rsid w:val="00F77847"/>
    <w:rsid w:val="00F77910"/>
    <w:rsid w:val="00F77A15"/>
    <w:rsid w:val="00F77B27"/>
    <w:rsid w:val="00F77EF0"/>
    <w:rsid w:val="00F8005E"/>
    <w:rsid w:val="00F800DE"/>
    <w:rsid w:val="00F80224"/>
    <w:rsid w:val="00F80378"/>
    <w:rsid w:val="00F8039E"/>
    <w:rsid w:val="00F80DEC"/>
    <w:rsid w:val="00F80E6E"/>
    <w:rsid w:val="00F80FA4"/>
    <w:rsid w:val="00F810EC"/>
    <w:rsid w:val="00F81115"/>
    <w:rsid w:val="00F818CC"/>
    <w:rsid w:val="00F81C6D"/>
    <w:rsid w:val="00F81E09"/>
    <w:rsid w:val="00F81F27"/>
    <w:rsid w:val="00F81F7E"/>
    <w:rsid w:val="00F81F81"/>
    <w:rsid w:val="00F820C6"/>
    <w:rsid w:val="00F822A8"/>
    <w:rsid w:val="00F822B6"/>
    <w:rsid w:val="00F8233B"/>
    <w:rsid w:val="00F824BB"/>
    <w:rsid w:val="00F826EE"/>
    <w:rsid w:val="00F826F0"/>
    <w:rsid w:val="00F8276B"/>
    <w:rsid w:val="00F82CE1"/>
    <w:rsid w:val="00F82D59"/>
    <w:rsid w:val="00F830C3"/>
    <w:rsid w:val="00F83230"/>
    <w:rsid w:val="00F8324C"/>
    <w:rsid w:val="00F84090"/>
    <w:rsid w:val="00F84306"/>
    <w:rsid w:val="00F84818"/>
    <w:rsid w:val="00F84947"/>
    <w:rsid w:val="00F849CD"/>
    <w:rsid w:val="00F84BF5"/>
    <w:rsid w:val="00F84CF7"/>
    <w:rsid w:val="00F84D71"/>
    <w:rsid w:val="00F84F49"/>
    <w:rsid w:val="00F85123"/>
    <w:rsid w:val="00F85340"/>
    <w:rsid w:val="00F8541C"/>
    <w:rsid w:val="00F85702"/>
    <w:rsid w:val="00F858B1"/>
    <w:rsid w:val="00F859C5"/>
    <w:rsid w:val="00F85A88"/>
    <w:rsid w:val="00F85D3A"/>
    <w:rsid w:val="00F85D8D"/>
    <w:rsid w:val="00F86103"/>
    <w:rsid w:val="00F86156"/>
    <w:rsid w:val="00F86172"/>
    <w:rsid w:val="00F86327"/>
    <w:rsid w:val="00F863A6"/>
    <w:rsid w:val="00F86441"/>
    <w:rsid w:val="00F865B0"/>
    <w:rsid w:val="00F865CA"/>
    <w:rsid w:val="00F8672C"/>
    <w:rsid w:val="00F8684F"/>
    <w:rsid w:val="00F86895"/>
    <w:rsid w:val="00F86AD9"/>
    <w:rsid w:val="00F86BFA"/>
    <w:rsid w:val="00F8701A"/>
    <w:rsid w:val="00F870AE"/>
    <w:rsid w:val="00F87183"/>
    <w:rsid w:val="00F87270"/>
    <w:rsid w:val="00F87563"/>
    <w:rsid w:val="00F8759D"/>
    <w:rsid w:val="00F875F3"/>
    <w:rsid w:val="00F87732"/>
    <w:rsid w:val="00F8779E"/>
    <w:rsid w:val="00F878DA"/>
    <w:rsid w:val="00F878F4"/>
    <w:rsid w:val="00F87AA5"/>
    <w:rsid w:val="00F87E2A"/>
    <w:rsid w:val="00F87F07"/>
    <w:rsid w:val="00F87F72"/>
    <w:rsid w:val="00F87FC6"/>
    <w:rsid w:val="00F87FDB"/>
    <w:rsid w:val="00F90234"/>
    <w:rsid w:val="00F90240"/>
    <w:rsid w:val="00F9028D"/>
    <w:rsid w:val="00F90292"/>
    <w:rsid w:val="00F9035C"/>
    <w:rsid w:val="00F906B4"/>
    <w:rsid w:val="00F9071D"/>
    <w:rsid w:val="00F909EC"/>
    <w:rsid w:val="00F90F99"/>
    <w:rsid w:val="00F91097"/>
    <w:rsid w:val="00F91327"/>
    <w:rsid w:val="00F9134B"/>
    <w:rsid w:val="00F91399"/>
    <w:rsid w:val="00F913AC"/>
    <w:rsid w:val="00F91499"/>
    <w:rsid w:val="00F917D1"/>
    <w:rsid w:val="00F918C5"/>
    <w:rsid w:val="00F918EB"/>
    <w:rsid w:val="00F91A16"/>
    <w:rsid w:val="00F91FDC"/>
    <w:rsid w:val="00F9217C"/>
    <w:rsid w:val="00F9221F"/>
    <w:rsid w:val="00F9226D"/>
    <w:rsid w:val="00F92762"/>
    <w:rsid w:val="00F927E7"/>
    <w:rsid w:val="00F92966"/>
    <w:rsid w:val="00F92B88"/>
    <w:rsid w:val="00F92C76"/>
    <w:rsid w:val="00F92DF6"/>
    <w:rsid w:val="00F92F63"/>
    <w:rsid w:val="00F92F83"/>
    <w:rsid w:val="00F93111"/>
    <w:rsid w:val="00F931E9"/>
    <w:rsid w:val="00F935C9"/>
    <w:rsid w:val="00F9393C"/>
    <w:rsid w:val="00F93DDA"/>
    <w:rsid w:val="00F93DE0"/>
    <w:rsid w:val="00F93FF6"/>
    <w:rsid w:val="00F94251"/>
    <w:rsid w:val="00F94430"/>
    <w:rsid w:val="00F946F0"/>
    <w:rsid w:val="00F948B0"/>
    <w:rsid w:val="00F94B38"/>
    <w:rsid w:val="00F94BC6"/>
    <w:rsid w:val="00F94BE1"/>
    <w:rsid w:val="00F95087"/>
    <w:rsid w:val="00F951DF"/>
    <w:rsid w:val="00F95395"/>
    <w:rsid w:val="00F95633"/>
    <w:rsid w:val="00F956B3"/>
    <w:rsid w:val="00F958EA"/>
    <w:rsid w:val="00F958EB"/>
    <w:rsid w:val="00F9590F"/>
    <w:rsid w:val="00F95C4A"/>
    <w:rsid w:val="00F96109"/>
    <w:rsid w:val="00F961BE"/>
    <w:rsid w:val="00F96204"/>
    <w:rsid w:val="00F96550"/>
    <w:rsid w:val="00F9676E"/>
    <w:rsid w:val="00F9679C"/>
    <w:rsid w:val="00F96817"/>
    <w:rsid w:val="00F96B4B"/>
    <w:rsid w:val="00F97102"/>
    <w:rsid w:val="00F971BC"/>
    <w:rsid w:val="00F9720F"/>
    <w:rsid w:val="00F972F1"/>
    <w:rsid w:val="00F977F1"/>
    <w:rsid w:val="00F97890"/>
    <w:rsid w:val="00F979C7"/>
    <w:rsid w:val="00F97B94"/>
    <w:rsid w:val="00F97C80"/>
    <w:rsid w:val="00F97FD8"/>
    <w:rsid w:val="00FA034F"/>
    <w:rsid w:val="00FA05BD"/>
    <w:rsid w:val="00FA07DA"/>
    <w:rsid w:val="00FA080A"/>
    <w:rsid w:val="00FA09EC"/>
    <w:rsid w:val="00FA0A9A"/>
    <w:rsid w:val="00FA0ABB"/>
    <w:rsid w:val="00FA0D47"/>
    <w:rsid w:val="00FA0EB7"/>
    <w:rsid w:val="00FA1316"/>
    <w:rsid w:val="00FA1473"/>
    <w:rsid w:val="00FA1B4A"/>
    <w:rsid w:val="00FA1C27"/>
    <w:rsid w:val="00FA1D1D"/>
    <w:rsid w:val="00FA1E33"/>
    <w:rsid w:val="00FA2338"/>
    <w:rsid w:val="00FA2457"/>
    <w:rsid w:val="00FA2790"/>
    <w:rsid w:val="00FA2793"/>
    <w:rsid w:val="00FA2970"/>
    <w:rsid w:val="00FA2974"/>
    <w:rsid w:val="00FA2A7E"/>
    <w:rsid w:val="00FA2B99"/>
    <w:rsid w:val="00FA2C3E"/>
    <w:rsid w:val="00FA2CC8"/>
    <w:rsid w:val="00FA2DE9"/>
    <w:rsid w:val="00FA2F7D"/>
    <w:rsid w:val="00FA3246"/>
    <w:rsid w:val="00FA335F"/>
    <w:rsid w:val="00FA33B9"/>
    <w:rsid w:val="00FA344C"/>
    <w:rsid w:val="00FA3470"/>
    <w:rsid w:val="00FA36E6"/>
    <w:rsid w:val="00FA3770"/>
    <w:rsid w:val="00FA3798"/>
    <w:rsid w:val="00FA3A50"/>
    <w:rsid w:val="00FA3EF2"/>
    <w:rsid w:val="00FA40BF"/>
    <w:rsid w:val="00FA427D"/>
    <w:rsid w:val="00FA4409"/>
    <w:rsid w:val="00FA450F"/>
    <w:rsid w:val="00FA467B"/>
    <w:rsid w:val="00FA4A96"/>
    <w:rsid w:val="00FA4B74"/>
    <w:rsid w:val="00FA4C08"/>
    <w:rsid w:val="00FA4C40"/>
    <w:rsid w:val="00FA4CC6"/>
    <w:rsid w:val="00FA4D52"/>
    <w:rsid w:val="00FA4EE8"/>
    <w:rsid w:val="00FA4FCF"/>
    <w:rsid w:val="00FA5051"/>
    <w:rsid w:val="00FA54B0"/>
    <w:rsid w:val="00FA55C5"/>
    <w:rsid w:val="00FA579E"/>
    <w:rsid w:val="00FA5833"/>
    <w:rsid w:val="00FA5907"/>
    <w:rsid w:val="00FA6242"/>
    <w:rsid w:val="00FA641E"/>
    <w:rsid w:val="00FA64FD"/>
    <w:rsid w:val="00FA6545"/>
    <w:rsid w:val="00FA6657"/>
    <w:rsid w:val="00FA6659"/>
    <w:rsid w:val="00FA680B"/>
    <w:rsid w:val="00FA6AFF"/>
    <w:rsid w:val="00FA6B23"/>
    <w:rsid w:val="00FA6BD0"/>
    <w:rsid w:val="00FA6E72"/>
    <w:rsid w:val="00FA6EAF"/>
    <w:rsid w:val="00FA7315"/>
    <w:rsid w:val="00FA78C1"/>
    <w:rsid w:val="00FA7B86"/>
    <w:rsid w:val="00FA7B8F"/>
    <w:rsid w:val="00FA7C7D"/>
    <w:rsid w:val="00FA7E1F"/>
    <w:rsid w:val="00FA7EE7"/>
    <w:rsid w:val="00FB0308"/>
    <w:rsid w:val="00FB0A3F"/>
    <w:rsid w:val="00FB0B28"/>
    <w:rsid w:val="00FB0DFB"/>
    <w:rsid w:val="00FB0E21"/>
    <w:rsid w:val="00FB1413"/>
    <w:rsid w:val="00FB1416"/>
    <w:rsid w:val="00FB1452"/>
    <w:rsid w:val="00FB1576"/>
    <w:rsid w:val="00FB15C3"/>
    <w:rsid w:val="00FB1839"/>
    <w:rsid w:val="00FB1AEB"/>
    <w:rsid w:val="00FB1B0F"/>
    <w:rsid w:val="00FB1CD2"/>
    <w:rsid w:val="00FB1F0E"/>
    <w:rsid w:val="00FB1F78"/>
    <w:rsid w:val="00FB230D"/>
    <w:rsid w:val="00FB2317"/>
    <w:rsid w:val="00FB236C"/>
    <w:rsid w:val="00FB244B"/>
    <w:rsid w:val="00FB2770"/>
    <w:rsid w:val="00FB287F"/>
    <w:rsid w:val="00FB289C"/>
    <w:rsid w:val="00FB2954"/>
    <w:rsid w:val="00FB2A0A"/>
    <w:rsid w:val="00FB2B13"/>
    <w:rsid w:val="00FB2F33"/>
    <w:rsid w:val="00FB2F43"/>
    <w:rsid w:val="00FB2FA0"/>
    <w:rsid w:val="00FB34E0"/>
    <w:rsid w:val="00FB35B1"/>
    <w:rsid w:val="00FB386E"/>
    <w:rsid w:val="00FB3899"/>
    <w:rsid w:val="00FB3A34"/>
    <w:rsid w:val="00FB3E77"/>
    <w:rsid w:val="00FB4026"/>
    <w:rsid w:val="00FB41F5"/>
    <w:rsid w:val="00FB460A"/>
    <w:rsid w:val="00FB464E"/>
    <w:rsid w:val="00FB4C51"/>
    <w:rsid w:val="00FB4E37"/>
    <w:rsid w:val="00FB4E69"/>
    <w:rsid w:val="00FB4EF9"/>
    <w:rsid w:val="00FB5289"/>
    <w:rsid w:val="00FB5401"/>
    <w:rsid w:val="00FB5483"/>
    <w:rsid w:val="00FB54E9"/>
    <w:rsid w:val="00FB57CD"/>
    <w:rsid w:val="00FB580A"/>
    <w:rsid w:val="00FB5CB0"/>
    <w:rsid w:val="00FB6186"/>
    <w:rsid w:val="00FB62B4"/>
    <w:rsid w:val="00FB6386"/>
    <w:rsid w:val="00FB65FE"/>
    <w:rsid w:val="00FB6638"/>
    <w:rsid w:val="00FB6CF7"/>
    <w:rsid w:val="00FB7058"/>
    <w:rsid w:val="00FB71A3"/>
    <w:rsid w:val="00FB7363"/>
    <w:rsid w:val="00FB7524"/>
    <w:rsid w:val="00FB75C5"/>
    <w:rsid w:val="00FB75CA"/>
    <w:rsid w:val="00FB7802"/>
    <w:rsid w:val="00FB7A78"/>
    <w:rsid w:val="00FB7B0C"/>
    <w:rsid w:val="00FB7CE0"/>
    <w:rsid w:val="00FB7D0C"/>
    <w:rsid w:val="00FC006B"/>
    <w:rsid w:val="00FC0363"/>
    <w:rsid w:val="00FC0598"/>
    <w:rsid w:val="00FC0744"/>
    <w:rsid w:val="00FC08FB"/>
    <w:rsid w:val="00FC0DF7"/>
    <w:rsid w:val="00FC117D"/>
    <w:rsid w:val="00FC14FF"/>
    <w:rsid w:val="00FC16BF"/>
    <w:rsid w:val="00FC1702"/>
    <w:rsid w:val="00FC1767"/>
    <w:rsid w:val="00FC1BC0"/>
    <w:rsid w:val="00FC1C5D"/>
    <w:rsid w:val="00FC208B"/>
    <w:rsid w:val="00FC2207"/>
    <w:rsid w:val="00FC228E"/>
    <w:rsid w:val="00FC23ED"/>
    <w:rsid w:val="00FC24C4"/>
    <w:rsid w:val="00FC2B33"/>
    <w:rsid w:val="00FC3FC6"/>
    <w:rsid w:val="00FC402E"/>
    <w:rsid w:val="00FC4086"/>
    <w:rsid w:val="00FC415C"/>
    <w:rsid w:val="00FC431B"/>
    <w:rsid w:val="00FC4466"/>
    <w:rsid w:val="00FC48AD"/>
    <w:rsid w:val="00FC4987"/>
    <w:rsid w:val="00FC4CF9"/>
    <w:rsid w:val="00FC4D93"/>
    <w:rsid w:val="00FC51F1"/>
    <w:rsid w:val="00FC54B5"/>
    <w:rsid w:val="00FC5645"/>
    <w:rsid w:val="00FC566C"/>
    <w:rsid w:val="00FC57DD"/>
    <w:rsid w:val="00FC58A2"/>
    <w:rsid w:val="00FC59F6"/>
    <w:rsid w:val="00FC5C91"/>
    <w:rsid w:val="00FC5CD4"/>
    <w:rsid w:val="00FC5D9B"/>
    <w:rsid w:val="00FC5F81"/>
    <w:rsid w:val="00FC6089"/>
    <w:rsid w:val="00FC6183"/>
    <w:rsid w:val="00FC63EF"/>
    <w:rsid w:val="00FC64DD"/>
    <w:rsid w:val="00FC6A6E"/>
    <w:rsid w:val="00FC6C5F"/>
    <w:rsid w:val="00FC6F63"/>
    <w:rsid w:val="00FC722F"/>
    <w:rsid w:val="00FC7249"/>
    <w:rsid w:val="00FC7323"/>
    <w:rsid w:val="00FC7A00"/>
    <w:rsid w:val="00FC7FCF"/>
    <w:rsid w:val="00FD033E"/>
    <w:rsid w:val="00FD05A3"/>
    <w:rsid w:val="00FD05AF"/>
    <w:rsid w:val="00FD084B"/>
    <w:rsid w:val="00FD0889"/>
    <w:rsid w:val="00FD0B5C"/>
    <w:rsid w:val="00FD0BEB"/>
    <w:rsid w:val="00FD0D0B"/>
    <w:rsid w:val="00FD0E98"/>
    <w:rsid w:val="00FD0EEF"/>
    <w:rsid w:val="00FD0F90"/>
    <w:rsid w:val="00FD1310"/>
    <w:rsid w:val="00FD16FA"/>
    <w:rsid w:val="00FD1838"/>
    <w:rsid w:val="00FD19E4"/>
    <w:rsid w:val="00FD19FF"/>
    <w:rsid w:val="00FD1AE5"/>
    <w:rsid w:val="00FD1DBC"/>
    <w:rsid w:val="00FD1DC8"/>
    <w:rsid w:val="00FD1EB1"/>
    <w:rsid w:val="00FD2809"/>
    <w:rsid w:val="00FD2926"/>
    <w:rsid w:val="00FD33E1"/>
    <w:rsid w:val="00FD346D"/>
    <w:rsid w:val="00FD37FB"/>
    <w:rsid w:val="00FD3A86"/>
    <w:rsid w:val="00FD3D28"/>
    <w:rsid w:val="00FD41BF"/>
    <w:rsid w:val="00FD4425"/>
    <w:rsid w:val="00FD4469"/>
    <w:rsid w:val="00FD4592"/>
    <w:rsid w:val="00FD49F2"/>
    <w:rsid w:val="00FD4A3E"/>
    <w:rsid w:val="00FD4C20"/>
    <w:rsid w:val="00FD4C72"/>
    <w:rsid w:val="00FD4D0C"/>
    <w:rsid w:val="00FD4D9A"/>
    <w:rsid w:val="00FD4E4A"/>
    <w:rsid w:val="00FD4FCE"/>
    <w:rsid w:val="00FD5118"/>
    <w:rsid w:val="00FD5344"/>
    <w:rsid w:val="00FD54D9"/>
    <w:rsid w:val="00FD562E"/>
    <w:rsid w:val="00FD5EDA"/>
    <w:rsid w:val="00FD5F8B"/>
    <w:rsid w:val="00FD6115"/>
    <w:rsid w:val="00FD61F1"/>
    <w:rsid w:val="00FD65B0"/>
    <w:rsid w:val="00FD6788"/>
    <w:rsid w:val="00FD6B58"/>
    <w:rsid w:val="00FD6C5D"/>
    <w:rsid w:val="00FD6E9A"/>
    <w:rsid w:val="00FD7028"/>
    <w:rsid w:val="00FD761E"/>
    <w:rsid w:val="00FD7656"/>
    <w:rsid w:val="00FD77CD"/>
    <w:rsid w:val="00FD7D1F"/>
    <w:rsid w:val="00FD7D60"/>
    <w:rsid w:val="00FD7DDE"/>
    <w:rsid w:val="00FD7DF7"/>
    <w:rsid w:val="00FD7E55"/>
    <w:rsid w:val="00FE0120"/>
    <w:rsid w:val="00FE040D"/>
    <w:rsid w:val="00FE0649"/>
    <w:rsid w:val="00FE08AD"/>
    <w:rsid w:val="00FE09E0"/>
    <w:rsid w:val="00FE0A4B"/>
    <w:rsid w:val="00FE0C76"/>
    <w:rsid w:val="00FE0C7B"/>
    <w:rsid w:val="00FE0C99"/>
    <w:rsid w:val="00FE0F4D"/>
    <w:rsid w:val="00FE0F83"/>
    <w:rsid w:val="00FE0FDC"/>
    <w:rsid w:val="00FE16DE"/>
    <w:rsid w:val="00FE1AC4"/>
    <w:rsid w:val="00FE1EF9"/>
    <w:rsid w:val="00FE1F2E"/>
    <w:rsid w:val="00FE22B4"/>
    <w:rsid w:val="00FE2794"/>
    <w:rsid w:val="00FE2A6E"/>
    <w:rsid w:val="00FE2C7F"/>
    <w:rsid w:val="00FE3128"/>
    <w:rsid w:val="00FE314A"/>
    <w:rsid w:val="00FE3602"/>
    <w:rsid w:val="00FE3689"/>
    <w:rsid w:val="00FE36C6"/>
    <w:rsid w:val="00FE3726"/>
    <w:rsid w:val="00FE38EE"/>
    <w:rsid w:val="00FE39FF"/>
    <w:rsid w:val="00FE3D7A"/>
    <w:rsid w:val="00FE3DC0"/>
    <w:rsid w:val="00FE4077"/>
    <w:rsid w:val="00FE413B"/>
    <w:rsid w:val="00FE4424"/>
    <w:rsid w:val="00FE45F0"/>
    <w:rsid w:val="00FE467B"/>
    <w:rsid w:val="00FE472E"/>
    <w:rsid w:val="00FE4806"/>
    <w:rsid w:val="00FE4809"/>
    <w:rsid w:val="00FE48A8"/>
    <w:rsid w:val="00FE4902"/>
    <w:rsid w:val="00FE4B06"/>
    <w:rsid w:val="00FE4B93"/>
    <w:rsid w:val="00FE4DC8"/>
    <w:rsid w:val="00FE4EF8"/>
    <w:rsid w:val="00FE4F2E"/>
    <w:rsid w:val="00FE51F6"/>
    <w:rsid w:val="00FE5629"/>
    <w:rsid w:val="00FE587A"/>
    <w:rsid w:val="00FE58FC"/>
    <w:rsid w:val="00FE5AA7"/>
    <w:rsid w:val="00FE5AED"/>
    <w:rsid w:val="00FE5B1F"/>
    <w:rsid w:val="00FE5C79"/>
    <w:rsid w:val="00FE5CFE"/>
    <w:rsid w:val="00FE5D3C"/>
    <w:rsid w:val="00FE5DE3"/>
    <w:rsid w:val="00FE5E94"/>
    <w:rsid w:val="00FE5F1C"/>
    <w:rsid w:val="00FE62FB"/>
    <w:rsid w:val="00FE639F"/>
    <w:rsid w:val="00FE65FC"/>
    <w:rsid w:val="00FE662D"/>
    <w:rsid w:val="00FE6834"/>
    <w:rsid w:val="00FE6C33"/>
    <w:rsid w:val="00FE6D2A"/>
    <w:rsid w:val="00FE6DAC"/>
    <w:rsid w:val="00FE6DBE"/>
    <w:rsid w:val="00FE6DBF"/>
    <w:rsid w:val="00FE6F74"/>
    <w:rsid w:val="00FE7028"/>
    <w:rsid w:val="00FE7230"/>
    <w:rsid w:val="00FE74D1"/>
    <w:rsid w:val="00FE76AB"/>
    <w:rsid w:val="00FE77DC"/>
    <w:rsid w:val="00FE780E"/>
    <w:rsid w:val="00FE7D28"/>
    <w:rsid w:val="00FE7F17"/>
    <w:rsid w:val="00FE7F58"/>
    <w:rsid w:val="00FF0A24"/>
    <w:rsid w:val="00FF0C51"/>
    <w:rsid w:val="00FF100D"/>
    <w:rsid w:val="00FF1075"/>
    <w:rsid w:val="00FF136F"/>
    <w:rsid w:val="00FF174C"/>
    <w:rsid w:val="00FF1A6E"/>
    <w:rsid w:val="00FF1A9F"/>
    <w:rsid w:val="00FF2123"/>
    <w:rsid w:val="00FF21AC"/>
    <w:rsid w:val="00FF2470"/>
    <w:rsid w:val="00FF2599"/>
    <w:rsid w:val="00FF26B2"/>
    <w:rsid w:val="00FF26BE"/>
    <w:rsid w:val="00FF272A"/>
    <w:rsid w:val="00FF2817"/>
    <w:rsid w:val="00FF28F6"/>
    <w:rsid w:val="00FF2A01"/>
    <w:rsid w:val="00FF2BB9"/>
    <w:rsid w:val="00FF2BDA"/>
    <w:rsid w:val="00FF2D1D"/>
    <w:rsid w:val="00FF32FF"/>
    <w:rsid w:val="00FF37DA"/>
    <w:rsid w:val="00FF3A2F"/>
    <w:rsid w:val="00FF3B41"/>
    <w:rsid w:val="00FF426B"/>
    <w:rsid w:val="00FF45D1"/>
    <w:rsid w:val="00FF4AEF"/>
    <w:rsid w:val="00FF4B0A"/>
    <w:rsid w:val="00FF4CC2"/>
    <w:rsid w:val="00FF4E35"/>
    <w:rsid w:val="00FF5370"/>
    <w:rsid w:val="00FF53D6"/>
    <w:rsid w:val="00FF55A3"/>
    <w:rsid w:val="00FF5694"/>
    <w:rsid w:val="00FF57D3"/>
    <w:rsid w:val="00FF5BC0"/>
    <w:rsid w:val="00FF5C14"/>
    <w:rsid w:val="00FF5DE2"/>
    <w:rsid w:val="00FF5FD9"/>
    <w:rsid w:val="00FF6173"/>
    <w:rsid w:val="00FF619E"/>
    <w:rsid w:val="00FF6477"/>
    <w:rsid w:val="00FF67F8"/>
    <w:rsid w:val="00FF6892"/>
    <w:rsid w:val="00FF6B8B"/>
    <w:rsid w:val="00FF6BB3"/>
    <w:rsid w:val="00FF70CF"/>
    <w:rsid w:val="00FF743F"/>
    <w:rsid w:val="00FF74BF"/>
    <w:rsid w:val="00FF75B9"/>
    <w:rsid w:val="00FF79FA"/>
    <w:rsid w:val="00FF7D01"/>
    <w:rsid w:val="0103009C"/>
    <w:rsid w:val="010914E1"/>
    <w:rsid w:val="0127B2A2"/>
    <w:rsid w:val="01401833"/>
    <w:rsid w:val="01523355"/>
    <w:rsid w:val="015BB105"/>
    <w:rsid w:val="015D3264"/>
    <w:rsid w:val="01767B2F"/>
    <w:rsid w:val="018183B5"/>
    <w:rsid w:val="01853856"/>
    <w:rsid w:val="018CD248"/>
    <w:rsid w:val="019B5924"/>
    <w:rsid w:val="019ED92C"/>
    <w:rsid w:val="01A7EA90"/>
    <w:rsid w:val="01A7EEC2"/>
    <w:rsid w:val="01A7FA78"/>
    <w:rsid w:val="01B36235"/>
    <w:rsid w:val="01D9CA92"/>
    <w:rsid w:val="01DB6139"/>
    <w:rsid w:val="01DBEA97"/>
    <w:rsid w:val="01DD5849"/>
    <w:rsid w:val="01DE16AB"/>
    <w:rsid w:val="01DF4DCB"/>
    <w:rsid w:val="01E0FF02"/>
    <w:rsid w:val="01E72B1E"/>
    <w:rsid w:val="01ED4BE2"/>
    <w:rsid w:val="01F8CBD9"/>
    <w:rsid w:val="01FA8A3E"/>
    <w:rsid w:val="01FDC10A"/>
    <w:rsid w:val="01FDCA82"/>
    <w:rsid w:val="01FE2D51"/>
    <w:rsid w:val="021309CB"/>
    <w:rsid w:val="021FA7C0"/>
    <w:rsid w:val="022A1250"/>
    <w:rsid w:val="022CD2DA"/>
    <w:rsid w:val="02404D66"/>
    <w:rsid w:val="02451886"/>
    <w:rsid w:val="0263D2C4"/>
    <w:rsid w:val="026E2D01"/>
    <w:rsid w:val="026EDDDE"/>
    <w:rsid w:val="027584C5"/>
    <w:rsid w:val="02759D38"/>
    <w:rsid w:val="02844CCB"/>
    <w:rsid w:val="0294A218"/>
    <w:rsid w:val="0297A5F6"/>
    <w:rsid w:val="029AEA26"/>
    <w:rsid w:val="029B9772"/>
    <w:rsid w:val="02A9CF00"/>
    <w:rsid w:val="02C31CC3"/>
    <w:rsid w:val="02CB5E1B"/>
    <w:rsid w:val="02D288B5"/>
    <w:rsid w:val="02D42892"/>
    <w:rsid w:val="02D5508A"/>
    <w:rsid w:val="02E1E59C"/>
    <w:rsid w:val="02EAD1BB"/>
    <w:rsid w:val="030DD6DF"/>
    <w:rsid w:val="0322B149"/>
    <w:rsid w:val="03324D8F"/>
    <w:rsid w:val="03359CA7"/>
    <w:rsid w:val="0338981C"/>
    <w:rsid w:val="033A4C43"/>
    <w:rsid w:val="033B64D9"/>
    <w:rsid w:val="033ED0A7"/>
    <w:rsid w:val="0340F2D5"/>
    <w:rsid w:val="03485E42"/>
    <w:rsid w:val="034EEF12"/>
    <w:rsid w:val="03610914"/>
    <w:rsid w:val="0365C019"/>
    <w:rsid w:val="0369B900"/>
    <w:rsid w:val="036A14C8"/>
    <w:rsid w:val="036B23F6"/>
    <w:rsid w:val="036E3848"/>
    <w:rsid w:val="037EA72A"/>
    <w:rsid w:val="0385FA7B"/>
    <w:rsid w:val="03A0E386"/>
    <w:rsid w:val="03AEFB22"/>
    <w:rsid w:val="03CE0629"/>
    <w:rsid w:val="03E139EC"/>
    <w:rsid w:val="03E7B457"/>
    <w:rsid w:val="03F7378B"/>
    <w:rsid w:val="040195F2"/>
    <w:rsid w:val="04021529"/>
    <w:rsid w:val="0403A2F2"/>
    <w:rsid w:val="040E81E8"/>
    <w:rsid w:val="0413C6FE"/>
    <w:rsid w:val="0417392E"/>
    <w:rsid w:val="04180B4D"/>
    <w:rsid w:val="04371A02"/>
    <w:rsid w:val="0438E034"/>
    <w:rsid w:val="043C00E9"/>
    <w:rsid w:val="043DE657"/>
    <w:rsid w:val="044D9B5C"/>
    <w:rsid w:val="045034D9"/>
    <w:rsid w:val="04533B91"/>
    <w:rsid w:val="04596B88"/>
    <w:rsid w:val="045D604B"/>
    <w:rsid w:val="045E34A5"/>
    <w:rsid w:val="0463D094"/>
    <w:rsid w:val="04646FD4"/>
    <w:rsid w:val="04738FBC"/>
    <w:rsid w:val="04746173"/>
    <w:rsid w:val="047949AE"/>
    <w:rsid w:val="0482E255"/>
    <w:rsid w:val="0496606C"/>
    <w:rsid w:val="04B2C380"/>
    <w:rsid w:val="04B63286"/>
    <w:rsid w:val="04BFC566"/>
    <w:rsid w:val="04CF8364"/>
    <w:rsid w:val="04DD819F"/>
    <w:rsid w:val="04DFC995"/>
    <w:rsid w:val="04E3D199"/>
    <w:rsid w:val="04E52A11"/>
    <w:rsid w:val="04E921CA"/>
    <w:rsid w:val="04EAD03C"/>
    <w:rsid w:val="04EF5D2C"/>
    <w:rsid w:val="050BCB3F"/>
    <w:rsid w:val="05158FA1"/>
    <w:rsid w:val="05203349"/>
    <w:rsid w:val="052643BC"/>
    <w:rsid w:val="052A05C1"/>
    <w:rsid w:val="052A69F3"/>
    <w:rsid w:val="052BCB2B"/>
    <w:rsid w:val="052D09E4"/>
    <w:rsid w:val="05548927"/>
    <w:rsid w:val="055676B2"/>
    <w:rsid w:val="056DB897"/>
    <w:rsid w:val="056EF221"/>
    <w:rsid w:val="05795D7F"/>
    <w:rsid w:val="057D63FB"/>
    <w:rsid w:val="0583C5DA"/>
    <w:rsid w:val="0588C065"/>
    <w:rsid w:val="058E2539"/>
    <w:rsid w:val="058FD9D1"/>
    <w:rsid w:val="05A57D1F"/>
    <w:rsid w:val="05A891E0"/>
    <w:rsid w:val="05BAD278"/>
    <w:rsid w:val="05CA156D"/>
    <w:rsid w:val="05DB8D04"/>
    <w:rsid w:val="05FBA4E4"/>
    <w:rsid w:val="0602C276"/>
    <w:rsid w:val="061882AF"/>
    <w:rsid w:val="062346C8"/>
    <w:rsid w:val="063A864E"/>
    <w:rsid w:val="063A8E79"/>
    <w:rsid w:val="0643584B"/>
    <w:rsid w:val="065AADFB"/>
    <w:rsid w:val="066A6532"/>
    <w:rsid w:val="066E458D"/>
    <w:rsid w:val="0671ED1D"/>
    <w:rsid w:val="06990176"/>
    <w:rsid w:val="06995FFB"/>
    <w:rsid w:val="069F4864"/>
    <w:rsid w:val="069FE203"/>
    <w:rsid w:val="06AA2322"/>
    <w:rsid w:val="06AF2057"/>
    <w:rsid w:val="06BE7A2D"/>
    <w:rsid w:val="06C6DBB6"/>
    <w:rsid w:val="06EB75F0"/>
    <w:rsid w:val="06F17B15"/>
    <w:rsid w:val="070F65B9"/>
    <w:rsid w:val="071D2BE2"/>
    <w:rsid w:val="07200416"/>
    <w:rsid w:val="07236A08"/>
    <w:rsid w:val="0726A68F"/>
    <w:rsid w:val="07339811"/>
    <w:rsid w:val="07388557"/>
    <w:rsid w:val="073D11B8"/>
    <w:rsid w:val="0745B685"/>
    <w:rsid w:val="074B22A7"/>
    <w:rsid w:val="0760E04E"/>
    <w:rsid w:val="0768C84E"/>
    <w:rsid w:val="07751295"/>
    <w:rsid w:val="077D9C34"/>
    <w:rsid w:val="0788390F"/>
    <w:rsid w:val="078D3FFE"/>
    <w:rsid w:val="0791D38E"/>
    <w:rsid w:val="079264A4"/>
    <w:rsid w:val="079380BB"/>
    <w:rsid w:val="079390B0"/>
    <w:rsid w:val="07967FCD"/>
    <w:rsid w:val="079B6C8B"/>
    <w:rsid w:val="079F1FAB"/>
    <w:rsid w:val="07C000E0"/>
    <w:rsid w:val="07C2F71A"/>
    <w:rsid w:val="07CF0E3B"/>
    <w:rsid w:val="07D9A772"/>
    <w:rsid w:val="07EBE9BF"/>
    <w:rsid w:val="07EEB845"/>
    <w:rsid w:val="07EEF2B9"/>
    <w:rsid w:val="07F4E5FA"/>
    <w:rsid w:val="080157D6"/>
    <w:rsid w:val="08017E1E"/>
    <w:rsid w:val="081A79F7"/>
    <w:rsid w:val="083BBD80"/>
    <w:rsid w:val="083BC55C"/>
    <w:rsid w:val="083E9410"/>
    <w:rsid w:val="084087CB"/>
    <w:rsid w:val="084366F8"/>
    <w:rsid w:val="08531126"/>
    <w:rsid w:val="085C29A9"/>
    <w:rsid w:val="085CE86A"/>
    <w:rsid w:val="087BE14E"/>
    <w:rsid w:val="088037BE"/>
    <w:rsid w:val="0884385C"/>
    <w:rsid w:val="088B21B2"/>
    <w:rsid w:val="088BB6E1"/>
    <w:rsid w:val="089516F3"/>
    <w:rsid w:val="0898BBF0"/>
    <w:rsid w:val="089CA7A9"/>
    <w:rsid w:val="08ADCD3E"/>
    <w:rsid w:val="08B3CEF4"/>
    <w:rsid w:val="08B78932"/>
    <w:rsid w:val="08DFFABE"/>
    <w:rsid w:val="08E0E5AF"/>
    <w:rsid w:val="08E9B7A3"/>
    <w:rsid w:val="091BA448"/>
    <w:rsid w:val="093345A6"/>
    <w:rsid w:val="093B8F92"/>
    <w:rsid w:val="0942D29E"/>
    <w:rsid w:val="09447811"/>
    <w:rsid w:val="09543939"/>
    <w:rsid w:val="09564AA3"/>
    <w:rsid w:val="095DFDD1"/>
    <w:rsid w:val="095E6F6E"/>
    <w:rsid w:val="097CAFE7"/>
    <w:rsid w:val="097D7E74"/>
    <w:rsid w:val="0982DA42"/>
    <w:rsid w:val="0998D3C4"/>
    <w:rsid w:val="09B7B818"/>
    <w:rsid w:val="09CFCA9E"/>
    <w:rsid w:val="09D09F15"/>
    <w:rsid w:val="09D4D336"/>
    <w:rsid w:val="09D628A8"/>
    <w:rsid w:val="09EBFA63"/>
    <w:rsid w:val="09F43150"/>
    <w:rsid w:val="09FA9A23"/>
    <w:rsid w:val="0A0222DC"/>
    <w:rsid w:val="0A0EA9DE"/>
    <w:rsid w:val="0A17CA56"/>
    <w:rsid w:val="0A19E602"/>
    <w:rsid w:val="0A1EBAD0"/>
    <w:rsid w:val="0A242916"/>
    <w:rsid w:val="0A438030"/>
    <w:rsid w:val="0A465CE4"/>
    <w:rsid w:val="0A5EB0CA"/>
    <w:rsid w:val="0A666168"/>
    <w:rsid w:val="0A746E6C"/>
    <w:rsid w:val="0A8EC10E"/>
    <w:rsid w:val="0A980837"/>
    <w:rsid w:val="0A989FBC"/>
    <w:rsid w:val="0AA6A0E2"/>
    <w:rsid w:val="0AA93DC4"/>
    <w:rsid w:val="0AC9274D"/>
    <w:rsid w:val="0AD287D2"/>
    <w:rsid w:val="0AD992B1"/>
    <w:rsid w:val="0AE08E47"/>
    <w:rsid w:val="0AEBDCA7"/>
    <w:rsid w:val="0B010A03"/>
    <w:rsid w:val="0B083A61"/>
    <w:rsid w:val="0B172F26"/>
    <w:rsid w:val="0B3154BE"/>
    <w:rsid w:val="0B32091F"/>
    <w:rsid w:val="0B3522BA"/>
    <w:rsid w:val="0B389AF2"/>
    <w:rsid w:val="0B44504D"/>
    <w:rsid w:val="0B5D3CB9"/>
    <w:rsid w:val="0B6ACAA1"/>
    <w:rsid w:val="0B74BAC2"/>
    <w:rsid w:val="0B762472"/>
    <w:rsid w:val="0B7CEE73"/>
    <w:rsid w:val="0B84B1DE"/>
    <w:rsid w:val="0BAC92F4"/>
    <w:rsid w:val="0BAE1349"/>
    <w:rsid w:val="0BAE1B7B"/>
    <w:rsid w:val="0BBFEC8D"/>
    <w:rsid w:val="0BC8EEDF"/>
    <w:rsid w:val="0BD21212"/>
    <w:rsid w:val="0BD7D75D"/>
    <w:rsid w:val="0BEA31B7"/>
    <w:rsid w:val="0BF48852"/>
    <w:rsid w:val="0BFEB0CC"/>
    <w:rsid w:val="0C12B641"/>
    <w:rsid w:val="0C145C54"/>
    <w:rsid w:val="0C15B253"/>
    <w:rsid w:val="0C18BD90"/>
    <w:rsid w:val="0C2F1AA4"/>
    <w:rsid w:val="0C338823"/>
    <w:rsid w:val="0C415A23"/>
    <w:rsid w:val="0C50E2F2"/>
    <w:rsid w:val="0C538162"/>
    <w:rsid w:val="0C556269"/>
    <w:rsid w:val="0C58B333"/>
    <w:rsid w:val="0C6CB877"/>
    <w:rsid w:val="0C6F6F60"/>
    <w:rsid w:val="0C7BD9D0"/>
    <w:rsid w:val="0C944EF6"/>
    <w:rsid w:val="0C9AC030"/>
    <w:rsid w:val="0C9F78DF"/>
    <w:rsid w:val="0CB7E9D2"/>
    <w:rsid w:val="0CC012AD"/>
    <w:rsid w:val="0CC5FDA3"/>
    <w:rsid w:val="0CDA9339"/>
    <w:rsid w:val="0CE7C1A2"/>
    <w:rsid w:val="0CE9F5D6"/>
    <w:rsid w:val="0CEAFDEC"/>
    <w:rsid w:val="0CEB3613"/>
    <w:rsid w:val="0CEFE184"/>
    <w:rsid w:val="0D113796"/>
    <w:rsid w:val="0D19B653"/>
    <w:rsid w:val="0D1C33F9"/>
    <w:rsid w:val="0D2978B8"/>
    <w:rsid w:val="0D2B02FC"/>
    <w:rsid w:val="0D301D9B"/>
    <w:rsid w:val="0D33DD08"/>
    <w:rsid w:val="0D36E26F"/>
    <w:rsid w:val="0D3E5F53"/>
    <w:rsid w:val="0D4095DE"/>
    <w:rsid w:val="0D5C35AE"/>
    <w:rsid w:val="0D6B3E7A"/>
    <w:rsid w:val="0D6C0928"/>
    <w:rsid w:val="0D6DDB64"/>
    <w:rsid w:val="0D77D4A2"/>
    <w:rsid w:val="0D7F1CA7"/>
    <w:rsid w:val="0D7F7CC8"/>
    <w:rsid w:val="0D82FEA0"/>
    <w:rsid w:val="0D862D1C"/>
    <w:rsid w:val="0D883D81"/>
    <w:rsid w:val="0D95249D"/>
    <w:rsid w:val="0DA0C37A"/>
    <w:rsid w:val="0DB1B60F"/>
    <w:rsid w:val="0DBA84B5"/>
    <w:rsid w:val="0DD2812E"/>
    <w:rsid w:val="0DE4542D"/>
    <w:rsid w:val="0DF6F372"/>
    <w:rsid w:val="0E02A866"/>
    <w:rsid w:val="0E21E3FE"/>
    <w:rsid w:val="0E27028A"/>
    <w:rsid w:val="0E4263AE"/>
    <w:rsid w:val="0E429F80"/>
    <w:rsid w:val="0E4BEA41"/>
    <w:rsid w:val="0E4EB5BF"/>
    <w:rsid w:val="0E523054"/>
    <w:rsid w:val="0E66FC41"/>
    <w:rsid w:val="0E67097A"/>
    <w:rsid w:val="0E783D07"/>
    <w:rsid w:val="0E7906C2"/>
    <w:rsid w:val="0E8512D5"/>
    <w:rsid w:val="0E9546DD"/>
    <w:rsid w:val="0EBE9ED6"/>
    <w:rsid w:val="0EC7E428"/>
    <w:rsid w:val="0EC7EA89"/>
    <w:rsid w:val="0ECA5419"/>
    <w:rsid w:val="0ECA664D"/>
    <w:rsid w:val="0ED220F9"/>
    <w:rsid w:val="0ED6C784"/>
    <w:rsid w:val="0EF55DAF"/>
    <w:rsid w:val="0EF97383"/>
    <w:rsid w:val="0F085C96"/>
    <w:rsid w:val="0F192656"/>
    <w:rsid w:val="0F1B70BF"/>
    <w:rsid w:val="0F31BC2E"/>
    <w:rsid w:val="0F393DF7"/>
    <w:rsid w:val="0F41A0A0"/>
    <w:rsid w:val="0F4DEFED"/>
    <w:rsid w:val="0F54C2FB"/>
    <w:rsid w:val="0F568700"/>
    <w:rsid w:val="0F69DC2A"/>
    <w:rsid w:val="0F7AEA61"/>
    <w:rsid w:val="0F86821F"/>
    <w:rsid w:val="0F8995E3"/>
    <w:rsid w:val="0F98BF7A"/>
    <w:rsid w:val="0F9E5420"/>
    <w:rsid w:val="0F9FD920"/>
    <w:rsid w:val="0F9FE3A4"/>
    <w:rsid w:val="0FA0E04B"/>
    <w:rsid w:val="0FB3B995"/>
    <w:rsid w:val="0FB851A8"/>
    <w:rsid w:val="0FBA0523"/>
    <w:rsid w:val="0FC1959D"/>
    <w:rsid w:val="0FE4072E"/>
    <w:rsid w:val="0FE913EC"/>
    <w:rsid w:val="0FFC35D5"/>
    <w:rsid w:val="10046DD7"/>
    <w:rsid w:val="1008DED9"/>
    <w:rsid w:val="100D1A5F"/>
    <w:rsid w:val="101D21DE"/>
    <w:rsid w:val="102271C0"/>
    <w:rsid w:val="102D30D8"/>
    <w:rsid w:val="103D42D3"/>
    <w:rsid w:val="103FBA86"/>
    <w:rsid w:val="1057FF97"/>
    <w:rsid w:val="10586D09"/>
    <w:rsid w:val="105DEA88"/>
    <w:rsid w:val="107AE44E"/>
    <w:rsid w:val="1082A03A"/>
    <w:rsid w:val="108AA578"/>
    <w:rsid w:val="10912D63"/>
    <w:rsid w:val="109D7075"/>
    <w:rsid w:val="10ABD5A9"/>
    <w:rsid w:val="10AC035C"/>
    <w:rsid w:val="10B6D31B"/>
    <w:rsid w:val="10BE5C07"/>
    <w:rsid w:val="10C0517B"/>
    <w:rsid w:val="10C684B1"/>
    <w:rsid w:val="10E66747"/>
    <w:rsid w:val="10F1E469"/>
    <w:rsid w:val="10F8B0FD"/>
    <w:rsid w:val="11049508"/>
    <w:rsid w:val="11070490"/>
    <w:rsid w:val="110976AB"/>
    <w:rsid w:val="110BA8D9"/>
    <w:rsid w:val="110ED7E8"/>
    <w:rsid w:val="1123EEE2"/>
    <w:rsid w:val="11241128"/>
    <w:rsid w:val="113DAED1"/>
    <w:rsid w:val="1153B068"/>
    <w:rsid w:val="115B0DE9"/>
    <w:rsid w:val="1177FCE9"/>
    <w:rsid w:val="11821800"/>
    <w:rsid w:val="119E486E"/>
    <w:rsid w:val="11A93829"/>
    <w:rsid w:val="11B75676"/>
    <w:rsid w:val="11CF1446"/>
    <w:rsid w:val="11D37324"/>
    <w:rsid w:val="11D3F1D0"/>
    <w:rsid w:val="11D866A7"/>
    <w:rsid w:val="11DBFD78"/>
    <w:rsid w:val="11DE681F"/>
    <w:rsid w:val="11E85E1D"/>
    <w:rsid w:val="11EC1145"/>
    <w:rsid w:val="11F8AC0E"/>
    <w:rsid w:val="11FD15F2"/>
    <w:rsid w:val="11FF94F9"/>
    <w:rsid w:val="120860FA"/>
    <w:rsid w:val="120FECB6"/>
    <w:rsid w:val="121E0BF4"/>
    <w:rsid w:val="12208DCF"/>
    <w:rsid w:val="1221DCC8"/>
    <w:rsid w:val="1222275B"/>
    <w:rsid w:val="1227EB37"/>
    <w:rsid w:val="122B9B5C"/>
    <w:rsid w:val="123A6B2D"/>
    <w:rsid w:val="123A80D9"/>
    <w:rsid w:val="12508F63"/>
    <w:rsid w:val="1253EE6C"/>
    <w:rsid w:val="125945A0"/>
    <w:rsid w:val="125D3E67"/>
    <w:rsid w:val="12612A9A"/>
    <w:rsid w:val="1265AA1F"/>
    <w:rsid w:val="126E0A39"/>
    <w:rsid w:val="1274EE3C"/>
    <w:rsid w:val="1282C6C6"/>
    <w:rsid w:val="12906CB9"/>
    <w:rsid w:val="12911CC1"/>
    <w:rsid w:val="1294E201"/>
    <w:rsid w:val="12975C0C"/>
    <w:rsid w:val="12AFEEC3"/>
    <w:rsid w:val="12BCFAC9"/>
    <w:rsid w:val="12C9D458"/>
    <w:rsid w:val="12DBA27B"/>
    <w:rsid w:val="12E0E9EA"/>
    <w:rsid w:val="12E2C0D1"/>
    <w:rsid w:val="12E59A74"/>
    <w:rsid w:val="12EACA98"/>
    <w:rsid w:val="12ED1D6B"/>
    <w:rsid w:val="12EDA5E2"/>
    <w:rsid w:val="12EDC17F"/>
    <w:rsid w:val="12F4AC51"/>
    <w:rsid w:val="12FA9D6B"/>
    <w:rsid w:val="13029F60"/>
    <w:rsid w:val="130774C2"/>
    <w:rsid w:val="130DFE62"/>
    <w:rsid w:val="1312B739"/>
    <w:rsid w:val="131D73AE"/>
    <w:rsid w:val="1324479F"/>
    <w:rsid w:val="1341A15F"/>
    <w:rsid w:val="1342CF8A"/>
    <w:rsid w:val="1344A49D"/>
    <w:rsid w:val="134708D8"/>
    <w:rsid w:val="1348F463"/>
    <w:rsid w:val="1351C9F7"/>
    <w:rsid w:val="13542011"/>
    <w:rsid w:val="1358B93F"/>
    <w:rsid w:val="135C3B02"/>
    <w:rsid w:val="135D2447"/>
    <w:rsid w:val="13647899"/>
    <w:rsid w:val="136598D0"/>
    <w:rsid w:val="13675905"/>
    <w:rsid w:val="13846525"/>
    <w:rsid w:val="1391C078"/>
    <w:rsid w:val="13949ABE"/>
    <w:rsid w:val="139BC99A"/>
    <w:rsid w:val="139D7B15"/>
    <w:rsid w:val="13A8A4E7"/>
    <w:rsid w:val="13A9534F"/>
    <w:rsid w:val="13AAF1BA"/>
    <w:rsid w:val="13AE6F45"/>
    <w:rsid w:val="13AF87DB"/>
    <w:rsid w:val="13B94CEA"/>
    <w:rsid w:val="13BDC5E6"/>
    <w:rsid w:val="13BE1F13"/>
    <w:rsid w:val="13C53AA5"/>
    <w:rsid w:val="13C76DCF"/>
    <w:rsid w:val="13C8C3C6"/>
    <w:rsid w:val="13D00447"/>
    <w:rsid w:val="13F5A100"/>
    <w:rsid w:val="140622CE"/>
    <w:rsid w:val="1407497F"/>
    <w:rsid w:val="1407CA33"/>
    <w:rsid w:val="140BD6BB"/>
    <w:rsid w:val="14116714"/>
    <w:rsid w:val="141C6BA9"/>
    <w:rsid w:val="142E526A"/>
    <w:rsid w:val="142F576F"/>
    <w:rsid w:val="143479E9"/>
    <w:rsid w:val="1445A0A9"/>
    <w:rsid w:val="1454AECD"/>
    <w:rsid w:val="1456151F"/>
    <w:rsid w:val="1456A482"/>
    <w:rsid w:val="145B37F7"/>
    <w:rsid w:val="145B3C87"/>
    <w:rsid w:val="145B94DA"/>
    <w:rsid w:val="145CCB85"/>
    <w:rsid w:val="145D4EF5"/>
    <w:rsid w:val="1461821C"/>
    <w:rsid w:val="1463CF3A"/>
    <w:rsid w:val="1466BA1D"/>
    <w:rsid w:val="1468DA41"/>
    <w:rsid w:val="146CE8E3"/>
    <w:rsid w:val="146F43DF"/>
    <w:rsid w:val="1470CFA0"/>
    <w:rsid w:val="14724E67"/>
    <w:rsid w:val="147E573B"/>
    <w:rsid w:val="148B3F7A"/>
    <w:rsid w:val="148F183E"/>
    <w:rsid w:val="14955FC3"/>
    <w:rsid w:val="149C6B83"/>
    <w:rsid w:val="149CF5BE"/>
    <w:rsid w:val="14A4F1FD"/>
    <w:rsid w:val="14B63496"/>
    <w:rsid w:val="14CE03C6"/>
    <w:rsid w:val="14D6C6A7"/>
    <w:rsid w:val="14D76721"/>
    <w:rsid w:val="14F0B435"/>
    <w:rsid w:val="14F717D3"/>
    <w:rsid w:val="150699CE"/>
    <w:rsid w:val="151402B7"/>
    <w:rsid w:val="15216133"/>
    <w:rsid w:val="152B7C17"/>
    <w:rsid w:val="15436B3E"/>
    <w:rsid w:val="154B7D19"/>
    <w:rsid w:val="1553731C"/>
    <w:rsid w:val="155422A8"/>
    <w:rsid w:val="155873D9"/>
    <w:rsid w:val="155AADE3"/>
    <w:rsid w:val="155C641D"/>
    <w:rsid w:val="15621703"/>
    <w:rsid w:val="156747C5"/>
    <w:rsid w:val="15695E01"/>
    <w:rsid w:val="156BB864"/>
    <w:rsid w:val="15786D35"/>
    <w:rsid w:val="157E9179"/>
    <w:rsid w:val="15860DA7"/>
    <w:rsid w:val="158B010B"/>
    <w:rsid w:val="158D917D"/>
    <w:rsid w:val="159822AF"/>
    <w:rsid w:val="15A8680B"/>
    <w:rsid w:val="15B52D35"/>
    <w:rsid w:val="15BFEFFB"/>
    <w:rsid w:val="15C17BB8"/>
    <w:rsid w:val="15C379C3"/>
    <w:rsid w:val="15EC617F"/>
    <w:rsid w:val="15F908CE"/>
    <w:rsid w:val="15FA6415"/>
    <w:rsid w:val="15FAD7D8"/>
    <w:rsid w:val="16001411"/>
    <w:rsid w:val="160674A5"/>
    <w:rsid w:val="162BC640"/>
    <w:rsid w:val="16335C3F"/>
    <w:rsid w:val="1663DF11"/>
    <w:rsid w:val="16684222"/>
    <w:rsid w:val="1671AA80"/>
    <w:rsid w:val="167C035D"/>
    <w:rsid w:val="167F614F"/>
    <w:rsid w:val="167FB92A"/>
    <w:rsid w:val="16A66DD8"/>
    <w:rsid w:val="16AD1F76"/>
    <w:rsid w:val="16B4346B"/>
    <w:rsid w:val="16BBE870"/>
    <w:rsid w:val="16D10782"/>
    <w:rsid w:val="16D25D4D"/>
    <w:rsid w:val="16D4F71E"/>
    <w:rsid w:val="16DC3439"/>
    <w:rsid w:val="16DD1C70"/>
    <w:rsid w:val="16DED3F6"/>
    <w:rsid w:val="16E81CD6"/>
    <w:rsid w:val="16EAF1D8"/>
    <w:rsid w:val="16EC8A56"/>
    <w:rsid w:val="16F9CDFA"/>
    <w:rsid w:val="170938AC"/>
    <w:rsid w:val="170C6E8E"/>
    <w:rsid w:val="171262DB"/>
    <w:rsid w:val="1718B441"/>
    <w:rsid w:val="171E7257"/>
    <w:rsid w:val="171F3F6E"/>
    <w:rsid w:val="171F4794"/>
    <w:rsid w:val="1727CD4A"/>
    <w:rsid w:val="172F7EEF"/>
    <w:rsid w:val="1739968E"/>
    <w:rsid w:val="173B0BD1"/>
    <w:rsid w:val="174054F5"/>
    <w:rsid w:val="176641D5"/>
    <w:rsid w:val="176AE3C3"/>
    <w:rsid w:val="176D5AED"/>
    <w:rsid w:val="176F1D9A"/>
    <w:rsid w:val="1771B4EC"/>
    <w:rsid w:val="1777EA9E"/>
    <w:rsid w:val="177A892F"/>
    <w:rsid w:val="17866212"/>
    <w:rsid w:val="17890D7F"/>
    <w:rsid w:val="178CE823"/>
    <w:rsid w:val="17979AEC"/>
    <w:rsid w:val="17A61FCA"/>
    <w:rsid w:val="17A69A6C"/>
    <w:rsid w:val="17A98E5C"/>
    <w:rsid w:val="17AC44E1"/>
    <w:rsid w:val="17B2FBF2"/>
    <w:rsid w:val="17B54146"/>
    <w:rsid w:val="17B68B8F"/>
    <w:rsid w:val="17D0CA8C"/>
    <w:rsid w:val="17D2494A"/>
    <w:rsid w:val="17D42E6A"/>
    <w:rsid w:val="17E02DEF"/>
    <w:rsid w:val="17E99B9A"/>
    <w:rsid w:val="17F04A08"/>
    <w:rsid w:val="17F2B88E"/>
    <w:rsid w:val="17F634AE"/>
    <w:rsid w:val="17FDADA3"/>
    <w:rsid w:val="17FEE251"/>
    <w:rsid w:val="1802C39C"/>
    <w:rsid w:val="1806D24C"/>
    <w:rsid w:val="18076B04"/>
    <w:rsid w:val="180781E4"/>
    <w:rsid w:val="1808765A"/>
    <w:rsid w:val="180CC699"/>
    <w:rsid w:val="1814B9FF"/>
    <w:rsid w:val="1815F935"/>
    <w:rsid w:val="181A5E05"/>
    <w:rsid w:val="18324E56"/>
    <w:rsid w:val="18386215"/>
    <w:rsid w:val="183CCAC9"/>
    <w:rsid w:val="183E17D5"/>
    <w:rsid w:val="183E8F83"/>
    <w:rsid w:val="1840324A"/>
    <w:rsid w:val="1845DC1C"/>
    <w:rsid w:val="18518423"/>
    <w:rsid w:val="1851CE9B"/>
    <w:rsid w:val="18559A50"/>
    <w:rsid w:val="1865FCAF"/>
    <w:rsid w:val="18689D78"/>
    <w:rsid w:val="186A7210"/>
    <w:rsid w:val="186B226C"/>
    <w:rsid w:val="1878A542"/>
    <w:rsid w:val="188CC783"/>
    <w:rsid w:val="189F83FA"/>
    <w:rsid w:val="18AAB37B"/>
    <w:rsid w:val="18B1E972"/>
    <w:rsid w:val="18BBF1BF"/>
    <w:rsid w:val="18BCBBD9"/>
    <w:rsid w:val="18CB6A56"/>
    <w:rsid w:val="18CEB1E5"/>
    <w:rsid w:val="18D0BC9C"/>
    <w:rsid w:val="18DAB256"/>
    <w:rsid w:val="18DC0D59"/>
    <w:rsid w:val="18E17F5D"/>
    <w:rsid w:val="18E2C62A"/>
    <w:rsid w:val="18F109CE"/>
    <w:rsid w:val="191993F3"/>
    <w:rsid w:val="19264DD0"/>
    <w:rsid w:val="192E9876"/>
    <w:rsid w:val="19312BD9"/>
    <w:rsid w:val="19437D70"/>
    <w:rsid w:val="194DB798"/>
    <w:rsid w:val="194E17B0"/>
    <w:rsid w:val="194E2C9E"/>
    <w:rsid w:val="19570271"/>
    <w:rsid w:val="195AC6C9"/>
    <w:rsid w:val="1964A633"/>
    <w:rsid w:val="19653389"/>
    <w:rsid w:val="1973F5E4"/>
    <w:rsid w:val="1981FC76"/>
    <w:rsid w:val="1990B6D1"/>
    <w:rsid w:val="19AC87E5"/>
    <w:rsid w:val="19AFDE47"/>
    <w:rsid w:val="19C9447D"/>
    <w:rsid w:val="19CD0851"/>
    <w:rsid w:val="19D81ECD"/>
    <w:rsid w:val="19F07051"/>
    <w:rsid w:val="19F3AAAC"/>
    <w:rsid w:val="19F77AD8"/>
    <w:rsid w:val="1A0D5C0B"/>
    <w:rsid w:val="1A125B69"/>
    <w:rsid w:val="1A1F753D"/>
    <w:rsid w:val="1A20809B"/>
    <w:rsid w:val="1A288661"/>
    <w:rsid w:val="1A33FBB0"/>
    <w:rsid w:val="1A44F818"/>
    <w:rsid w:val="1A4F4A8A"/>
    <w:rsid w:val="1A5324A0"/>
    <w:rsid w:val="1A5608DD"/>
    <w:rsid w:val="1A5F2D1B"/>
    <w:rsid w:val="1A66C31A"/>
    <w:rsid w:val="1A6D10E8"/>
    <w:rsid w:val="1A74805C"/>
    <w:rsid w:val="1A8E9358"/>
    <w:rsid w:val="1A92C153"/>
    <w:rsid w:val="1A9751FA"/>
    <w:rsid w:val="1AA0ABA8"/>
    <w:rsid w:val="1AA3CC3F"/>
    <w:rsid w:val="1AB066B3"/>
    <w:rsid w:val="1AB14DE5"/>
    <w:rsid w:val="1AB4A9AD"/>
    <w:rsid w:val="1AB5260C"/>
    <w:rsid w:val="1AB9F38D"/>
    <w:rsid w:val="1ABB9AE0"/>
    <w:rsid w:val="1AC5249C"/>
    <w:rsid w:val="1ACF8532"/>
    <w:rsid w:val="1AD6EE87"/>
    <w:rsid w:val="1AEC5DF0"/>
    <w:rsid w:val="1AF88FC1"/>
    <w:rsid w:val="1AFEBB15"/>
    <w:rsid w:val="1B020B59"/>
    <w:rsid w:val="1B04342D"/>
    <w:rsid w:val="1B0C4B2C"/>
    <w:rsid w:val="1B115A16"/>
    <w:rsid w:val="1B118CCF"/>
    <w:rsid w:val="1B124DEB"/>
    <w:rsid w:val="1B284747"/>
    <w:rsid w:val="1B2C00B1"/>
    <w:rsid w:val="1B3B3F83"/>
    <w:rsid w:val="1B3C7014"/>
    <w:rsid w:val="1B47624D"/>
    <w:rsid w:val="1B5211B0"/>
    <w:rsid w:val="1B5F2D05"/>
    <w:rsid w:val="1B69666E"/>
    <w:rsid w:val="1B6B70D2"/>
    <w:rsid w:val="1B72F176"/>
    <w:rsid w:val="1B788F5A"/>
    <w:rsid w:val="1B79E43A"/>
    <w:rsid w:val="1B843771"/>
    <w:rsid w:val="1B8C5C8C"/>
    <w:rsid w:val="1B961E90"/>
    <w:rsid w:val="1BA19C97"/>
    <w:rsid w:val="1BAAFB3D"/>
    <w:rsid w:val="1BB96FBA"/>
    <w:rsid w:val="1BC05632"/>
    <w:rsid w:val="1BCB9FEB"/>
    <w:rsid w:val="1BCDB360"/>
    <w:rsid w:val="1BD6BFB4"/>
    <w:rsid w:val="1BDB7413"/>
    <w:rsid w:val="1C19EFE5"/>
    <w:rsid w:val="1C1A490D"/>
    <w:rsid w:val="1C3377D9"/>
    <w:rsid w:val="1C3436CF"/>
    <w:rsid w:val="1C36B4AD"/>
    <w:rsid w:val="1C376FA3"/>
    <w:rsid w:val="1C465130"/>
    <w:rsid w:val="1C4D2513"/>
    <w:rsid w:val="1C563AB4"/>
    <w:rsid w:val="1C5FD375"/>
    <w:rsid w:val="1C64A53F"/>
    <w:rsid w:val="1C67C489"/>
    <w:rsid w:val="1C6A1C4E"/>
    <w:rsid w:val="1C6CC6BC"/>
    <w:rsid w:val="1C7E2444"/>
    <w:rsid w:val="1C7EB1C1"/>
    <w:rsid w:val="1C8101C6"/>
    <w:rsid w:val="1C93F3FC"/>
    <w:rsid w:val="1C9FE35E"/>
    <w:rsid w:val="1CA071E2"/>
    <w:rsid w:val="1CA23BF9"/>
    <w:rsid w:val="1CA349B1"/>
    <w:rsid w:val="1CA59F34"/>
    <w:rsid w:val="1CB174D8"/>
    <w:rsid w:val="1CBCC484"/>
    <w:rsid w:val="1CCA32DD"/>
    <w:rsid w:val="1CD5F802"/>
    <w:rsid w:val="1CE8632C"/>
    <w:rsid w:val="1CEAF771"/>
    <w:rsid w:val="1CF5E0A3"/>
    <w:rsid w:val="1D103BEC"/>
    <w:rsid w:val="1D15B278"/>
    <w:rsid w:val="1D2B8183"/>
    <w:rsid w:val="1D2CE270"/>
    <w:rsid w:val="1D59F679"/>
    <w:rsid w:val="1D7ABC60"/>
    <w:rsid w:val="1D7D04AB"/>
    <w:rsid w:val="1D97FD6C"/>
    <w:rsid w:val="1D99E518"/>
    <w:rsid w:val="1DA11F5F"/>
    <w:rsid w:val="1DA29D2A"/>
    <w:rsid w:val="1DC3EFA1"/>
    <w:rsid w:val="1DEB1559"/>
    <w:rsid w:val="1DEC7939"/>
    <w:rsid w:val="1DEDB6E8"/>
    <w:rsid w:val="1E08AEEF"/>
    <w:rsid w:val="1E152CB5"/>
    <w:rsid w:val="1E2064A9"/>
    <w:rsid w:val="1E24FAF3"/>
    <w:rsid w:val="1E2BEF0D"/>
    <w:rsid w:val="1E33536F"/>
    <w:rsid w:val="1E3361EE"/>
    <w:rsid w:val="1E3C2AA5"/>
    <w:rsid w:val="1E3C67CB"/>
    <w:rsid w:val="1E45B617"/>
    <w:rsid w:val="1E4BD1E5"/>
    <w:rsid w:val="1E52B35E"/>
    <w:rsid w:val="1E5D38F1"/>
    <w:rsid w:val="1E6552D0"/>
    <w:rsid w:val="1E680358"/>
    <w:rsid w:val="1E6E3B93"/>
    <w:rsid w:val="1E755452"/>
    <w:rsid w:val="1E7E3F64"/>
    <w:rsid w:val="1E808D46"/>
    <w:rsid w:val="1E809163"/>
    <w:rsid w:val="1E8C6B5D"/>
    <w:rsid w:val="1E921D70"/>
    <w:rsid w:val="1E9BEA65"/>
    <w:rsid w:val="1EA10582"/>
    <w:rsid w:val="1EA3A1DA"/>
    <w:rsid w:val="1EA7CDC1"/>
    <w:rsid w:val="1EA95B1C"/>
    <w:rsid w:val="1EB1DDA3"/>
    <w:rsid w:val="1EBC7DB1"/>
    <w:rsid w:val="1EC0D4FF"/>
    <w:rsid w:val="1EC875D4"/>
    <w:rsid w:val="1EE05FAF"/>
    <w:rsid w:val="1EE43BEB"/>
    <w:rsid w:val="1EFA01F5"/>
    <w:rsid w:val="1EFA65D7"/>
    <w:rsid w:val="1EFBD1FE"/>
    <w:rsid w:val="1EFC8217"/>
    <w:rsid w:val="1F04DF88"/>
    <w:rsid w:val="1F2012DD"/>
    <w:rsid w:val="1F307BF2"/>
    <w:rsid w:val="1F3B147F"/>
    <w:rsid w:val="1F466319"/>
    <w:rsid w:val="1F4EAEF5"/>
    <w:rsid w:val="1F504617"/>
    <w:rsid w:val="1F67DFFE"/>
    <w:rsid w:val="1F69A8C9"/>
    <w:rsid w:val="1F714441"/>
    <w:rsid w:val="1F7EC3AE"/>
    <w:rsid w:val="1F8BB53C"/>
    <w:rsid w:val="1F9A9A65"/>
    <w:rsid w:val="1FAC85AE"/>
    <w:rsid w:val="1FAC90BF"/>
    <w:rsid w:val="1FB310AF"/>
    <w:rsid w:val="1FC4B40B"/>
    <w:rsid w:val="1FCB357B"/>
    <w:rsid w:val="1FCFC106"/>
    <w:rsid w:val="1FD95771"/>
    <w:rsid w:val="1FDEC487"/>
    <w:rsid w:val="1FE8D2FB"/>
    <w:rsid w:val="1FE90170"/>
    <w:rsid w:val="1FF58979"/>
    <w:rsid w:val="20050F8E"/>
    <w:rsid w:val="20106F83"/>
    <w:rsid w:val="2010D211"/>
    <w:rsid w:val="202861C4"/>
    <w:rsid w:val="20316C6A"/>
    <w:rsid w:val="203842A1"/>
    <w:rsid w:val="204A694E"/>
    <w:rsid w:val="2050FD0E"/>
    <w:rsid w:val="205CB572"/>
    <w:rsid w:val="20617059"/>
    <w:rsid w:val="20679D27"/>
    <w:rsid w:val="2069DE05"/>
    <w:rsid w:val="206EFFA4"/>
    <w:rsid w:val="207053E3"/>
    <w:rsid w:val="207E5816"/>
    <w:rsid w:val="208E655F"/>
    <w:rsid w:val="2097FB18"/>
    <w:rsid w:val="20B85356"/>
    <w:rsid w:val="20C5AF4B"/>
    <w:rsid w:val="20C8B050"/>
    <w:rsid w:val="20CA1D1E"/>
    <w:rsid w:val="20CC4C47"/>
    <w:rsid w:val="20D0C38D"/>
    <w:rsid w:val="20D10170"/>
    <w:rsid w:val="20D4D14A"/>
    <w:rsid w:val="20DB0B9A"/>
    <w:rsid w:val="20E7373B"/>
    <w:rsid w:val="20FC94EF"/>
    <w:rsid w:val="20FD58DA"/>
    <w:rsid w:val="21003437"/>
    <w:rsid w:val="2105A908"/>
    <w:rsid w:val="2114F112"/>
    <w:rsid w:val="211A90AE"/>
    <w:rsid w:val="2129B46D"/>
    <w:rsid w:val="212EC324"/>
    <w:rsid w:val="2132B5B9"/>
    <w:rsid w:val="21383028"/>
    <w:rsid w:val="213959C3"/>
    <w:rsid w:val="213CC36E"/>
    <w:rsid w:val="21412424"/>
    <w:rsid w:val="2144AD2B"/>
    <w:rsid w:val="2151ABE1"/>
    <w:rsid w:val="2165AF76"/>
    <w:rsid w:val="2171751E"/>
    <w:rsid w:val="2181A289"/>
    <w:rsid w:val="218E9517"/>
    <w:rsid w:val="2195B71A"/>
    <w:rsid w:val="2199B0F5"/>
    <w:rsid w:val="21A3CBCA"/>
    <w:rsid w:val="21A3F034"/>
    <w:rsid w:val="21A6230F"/>
    <w:rsid w:val="21AB7F42"/>
    <w:rsid w:val="21C600B1"/>
    <w:rsid w:val="21CA84B2"/>
    <w:rsid w:val="21D9329A"/>
    <w:rsid w:val="22071299"/>
    <w:rsid w:val="221CC0E4"/>
    <w:rsid w:val="22380027"/>
    <w:rsid w:val="22437564"/>
    <w:rsid w:val="22470192"/>
    <w:rsid w:val="22493DDE"/>
    <w:rsid w:val="225DC757"/>
    <w:rsid w:val="22733972"/>
    <w:rsid w:val="2290A363"/>
    <w:rsid w:val="2299C498"/>
    <w:rsid w:val="22A084F6"/>
    <w:rsid w:val="22AE8A53"/>
    <w:rsid w:val="22B67615"/>
    <w:rsid w:val="22BEAD3F"/>
    <w:rsid w:val="22CA6BBA"/>
    <w:rsid w:val="22D95D16"/>
    <w:rsid w:val="22E4E5B4"/>
    <w:rsid w:val="22E84C5F"/>
    <w:rsid w:val="22F1CB88"/>
    <w:rsid w:val="23038BAD"/>
    <w:rsid w:val="2309BAA9"/>
    <w:rsid w:val="231372DE"/>
    <w:rsid w:val="2326CA86"/>
    <w:rsid w:val="232C9E11"/>
    <w:rsid w:val="2339EEF5"/>
    <w:rsid w:val="23413AA9"/>
    <w:rsid w:val="2347092E"/>
    <w:rsid w:val="23483434"/>
    <w:rsid w:val="2348983C"/>
    <w:rsid w:val="2348EE70"/>
    <w:rsid w:val="234AB935"/>
    <w:rsid w:val="2350549C"/>
    <w:rsid w:val="235627B5"/>
    <w:rsid w:val="235D83F7"/>
    <w:rsid w:val="23621B37"/>
    <w:rsid w:val="236860A8"/>
    <w:rsid w:val="23720B7D"/>
    <w:rsid w:val="23732E41"/>
    <w:rsid w:val="23747C8D"/>
    <w:rsid w:val="2374F3A6"/>
    <w:rsid w:val="2376773F"/>
    <w:rsid w:val="2376F226"/>
    <w:rsid w:val="23791A29"/>
    <w:rsid w:val="237C0C94"/>
    <w:rsid w:val="23852E02"/>
    <w:rsid w:val="238FF77D"/>
    <w:rsid w:val="23910AD1"/>
    <w:rsid w:val="23914F67"/>
    <w:rsid w:val="2399F2F3"/>
    <w:rsid w:val="239A8DFF"/>
    <w:rsid w:val="239C42B8"/>
    <w:rsid w:val="23A06957"/>
    <w:rsid w:val="23A79E9D"/>
    <w:rsid w:val="23AD1B13"/>
    <w:rsid w:val="23B1A92C"/>
    <w:rsid w:val="23B5A370"/>
    <w:rsid w:val="23C87A48"/>
    <w:rsid w:val="23CDA8EE"/>
    <w:rsid w:val="23D82C9B"/>
    <w:rsid w:val="23F02BB7"/>
    <w:rsid w:val="23F100DE"/>
    <w:rsid w:val="23F46A5D"/>
    <w:rsid w:val="23F786F1"/>
    <w:rsid w:val="240121BA"/>
    <w:rsid w:val="240229D6"/>
    <w:rsid w:val="24163752"/>
    <w:rsid w:val="24182755"/>
    <w:rsid w:val="241AACA0"/>
    <w:rsid w:val="241D7F19"/>
    <w:rsid w:val="2427CE3C"/>
    <w:rsid w:val="24288405"/>
    <w:rsid w:val="242A1186"/>
    <w:rsid w:val="24322BC2"/>
    <w:rsid w:val="24475CDF"/>
    <w:rsid w:val="244C78F7"/>
    <w:rsid w:val="244FF4F5"/>
    <w:rsid w:val="2458CAC3"/>
    <w:rsid w:val="2471DF28"/>
    <w:rsid w:val="247833F2"/>
    <w:rsid w:val="247F487C"/>
    <w:rsid w:val="2481D668"/>
    <w:rsid w:val="2488FB24"/>
    <w:rsid w:val="248F2327"/>
    <w:rsid w:val="24916DEB"/>
    <w:rsid w:val="2498D108"/>
    <w:rsid w:val="24BA4F15"/>
    <w:rsid w:val="24C4ED45"/>
    <w:rsid w:val="24C79D03"/>
    <w:rsid w:val="24D55055"/>
    <w:rsid w:val="24EBBB80"/>
    <w:rsid w:val="24F82475"/>
    <w:rsid w:val="25134DD7"/>
    <w:rsid w:val="25196448"/>
    <w:rsid w:val="251BDADB"/>
    <w:rsid w:val="252F4930"/>
    <w:rsid w:val="253519E4"/>
    <w:rsid w:val="25388739"/>
    <w:rsid w:val="253A93E5"/>
    <w:rsid w:val="2541A651"/>
    <w:rsid w:val="255322C8"/>
    <w:rsid w:val="2556E02C"/>
    <w:rsid w:val="2570D18E"/>
    <w:rsid w:val="2572A247"/>
    <w:rsid w:val="2573E45F"/>
    <w:rsid w:val="2583B61F"/>
    <w:rsid w:val="258642FC"/>
    <w:rsid w:val="2589586B"/>
    <w:rsid w:val="258B77E7"/>
    <w:rsid w:val="25A610A6"/>
    <w:rsid w:val="25AAABCB"/>
    <w:rsid w:val="25BAF5AD"/>
    <w:rsid w:val="25DD2B88"/>
    <w:rsid w:val="25E3FD8F"/>
    <w:rsid w:val="25E9F90F"/>
    <w:rsid w:val="25F7AC5E"/>
    <w:rsid w:val="26162263"/>
    <w:rsid w:val="263C05DB"/>
    <w:rsid w:val="264993E1"/>
    <w:rsid w:val="265A7134"/>
    <w:rsid w:val="265C91AB"/>
    <w:rsid w:val="2666D18F"/>
    <w:rsid w:val="2669A6F2"/>
    <w:rsid w:val="268134AD"/>
    <w:rsid w:val="2684D468"/>
    <w:rsid w:val="268577C7"/>
    <w:rsid w:val="268A4C1E"/>
    <w:rsid w:val="268FD560"/>
    <w:rsid w:val="26A4628B"/>
    <w:rsid w:val="26B365B2"/>
    <w:rsid w:val="26B5D6DB"/>
    <w:rsid w:val="26BBC193"/>
    <w:rsid w:val="26CA1C00"/>
    <w:rsid w:val="26CE1F7E"/>
    <w:rsid w:val="26EAED31"/>
    <w:rsid w:val="26EB996B"/>
    <w:rsid w:val="26F78EC1"/>
    <w:rsid w:val="26FF130D"/>
    <w:rsid w:val="270952B2"/>
    <w:rsid w:val="270E5791"/>
    <w:rsid w:val="2719C5E2"/>
    <w:rsid w:val="271FFF62"/>
    <w:rsid w:val="27220D45"/>
    <w:rsid w:val="2731CAAD"/>
    <w:rsid w:val="2735762C"/>
    <w:rsid w:val="27444B3C"/>
    <w:rsid w:val="27541D10"/>
    <w:rsid w:val="277514C4"/>
    <w:rsid w:val="278347FF"/>
    <w:rsid w:val="27864B56"/>
    <w:rsid w:val="27B327E2"/>
    <w:rsid w:val="27BB39C9"/>
    <w:rsid w:val="27CBE1A1"/>
    <w:rsid w:val="27D7CD44"/>
    <w:rsid w:val="27E7216A"/>
    <w:rsid w:val="28091049"/>
    <w:rsid w:val="28160F91"/>
    <w:rsid w:val="28315A43"/>
    <w:rsid w:val="2832D4A5"/>
    <w:rsid w:val="284EF822"/>
    <w:rsid w:val="28583672"/>
    <w:rsid w:val="28601313"/>
    <w:rsid w:val="28709F0E"/>
    <w:rsid w:val="287D342D"/>
    <w:rsid w:val="288395EC"/>
    <w:rsid w:val="2886F269"/>
    <w:rsid w:val="2893FC55"/>
    <w:rsid w:val="28A584D4"/>
    <w:rsid w:val="28B00DF7"/>
    <w:rsid w:val="28C4271C"/>
    <w:rsid w:val="28CB8DED"/>
    <w:rsid w:val="28D30731"/>
    <w:rsid w:val="28D6C5F0"/>
    <w:rsid w:val="28E1DA94"/>
    <w:rsid w:val="28F40DC2"/>
    <w:rsid w:val="28F8E357"/>
    <w:rsid w:val="290BAB8D"/>
    <w:rsid w:val="290CF171"/>
    <w:rsid w:val="291A70ED"/>
    <w:rsid w:val="291AD172"/>
    <w:rsid w:val="291CA88B"/>
    <w:rsid w:val="2926DB89"/>
    <w:rsid w:val="292E8BC3"/>
    <w:rsid w:val="292ED90B"/>
    <w:rsid w:val="29377F0E"/>
    <w:rsid w:val="293B6F97"/>
    <w:rsid w:val="293C279F"/>
    <w:rsid w:val="29415024"/>
    <w:rsid w:val="2946A0E0"/>
    <w:rsid w:val="295F8079"/>
    <w:rsid w:val="2961675F"/>
    <w:rsid w:val="2964BAEC"/>
    <w:rsid w:val="2964E0F0"/>
    <w:rsid w:val="296F6C31"/>
    <w:rsid w:val="2982E3CA"/>
    <w:rsid w:val="298E0023"/>
    <w:rsid w:val="2990D260"/>
    <w:rsid w:val="29A43E87"/>
    <w:rsid w:val="29AD78FD"/>
    <w:rsid w:val="29B9AD08"/>
    <w:rsid w:val="29C188A5"/>
    <w:rsid w:val="29C3AF55"/>
    <w:rsid w:val="29C59BF0"/>
    <w:rsid w:val="29CBA223"/>
    <w:rsid w:val="29D776EB"/>
    <w:rsid w:val="29DE9A44"/>
    <w:rsid w:val="29DEDBAE"/>
    <w:rsid w:val="29EAB752"/>
    <w:rsid w:val="29EBEC08"/>
    <w:rsid w:val="29EDF2BE"/>
    <w:rsid w:val="29FF0451"/>
    <w:rsid w:val="2A05EF3A"/>
    <w:rsid w:val="2A1478B0"/>
    <w:rsid w:val="2A277C3D"/>
    <w:rsid w:val="2A342D1C"/>
    <w:rsid w:val="2A3741E2"/>
    <w:rsid w:val="2A4521DD"/>
    <w:rsid w:val="2A45BED7"/>
    <w:rsid w:val="2A4D6793"/>
    <w:rsid w:val="2A5C8A34"/>
    <w:rsid w:val="2A6804CF"/>
    <w:rsid w:val="2A718BBA"/>
    <w:rsid w:val="2A775D76"/>
    <w:rsid w:val="2A7CD5CE"/>
    <w:rsid w:val="2A81122F"/>
    <w:rsid w:val="2A9127B6"/>
    <w:rsid w:val="2A9F9A11"/>
    <w:rsid w:val="2AA48CE4"/>
    <w:rsid w:val="2AABC23E"/>
    <w:rsid w:val="2AB0D898"/>
    <w:rsid w:val="2AB4F2C9"/>
    <w:rsid w:val="2AB768EA"/>
    <w:rsid w:val="2AC97CBE"/>
    <w:rsid w:val="2AD2E687"/>
    <w:rsid w:val="2AD4342E"/>
    <w:rsid w:val="2AD7188D"/>
    <w:rsid w:val="2AD99E69"/>
    <w:rsid w:val="2ADA0757"/>
    <w:rsid w:val="2AEFC3A7"/>
    <w:rsid w:val="2AFA8DFC"/>
    <w:rsid w:val="2AFCE41E"/>
    <w:rsid w:val="2B08CF5E"/>
    <w:rsid w:val="2B0C19E9"/>
    <w:rsid w:val="2B2456E5"/>
    <w:rsid w:val="2B29D0BF"/>
    <w:rsid w:val="2B2CD3D3"/>
    <w:rsid w:val="2B2EF5BF"/>
    <w:rsid w:val="2B3093E0"/>
    <w:rsid w:val="2B342E0C"/>
    <w:rsid w:val="2B4EE19A"/>
    <w:rsid w:val="2B4EEDD5"/>
    <w:rsid w:val="2B5EE1AA"/>
    <w:rsid w:val="2B63E72E"/>
    <w:rsid w:val="2B686628"/>
    <w:rsid w:val="2B699A3A"/>
    <w:rsid w:val="2B6A1AD4"/>
    <w:rsid w:val="2B72676C"/>
    <w:rsid w:val="2B8ACAD0"/>
    <w:rsid w:val="2B8DB008"/>
    <w:rsid w:val="2BA0F555"/>
    <w:rsid w:val="2BA8BB2B"/>
    <w:rsid w:val="2BB120C9"/>
    <w:rsid w:val="2BB58E05"/>
    <w:rsid w:val="2BBCDEA6"/>
    <w:rsid w:val="2BC752D8"/>
    <w:rsid w:val="2BD0D64D"/>
    <w:rsid w:val="2BD95E89"/>
    <w:rsid w:val="2BE5BA5F"/>
    <w:rsid w:val="2BE71E02"/>
    <w:rsid w:val="2BEF5C8C"/>
    <w:rsid w:val="2BF43126"/>
    <w:rsid w:val="2C006B69"/>
    <w:rsid w:val="2C0FF526"/>
    <w:rsid w:val="2C11003D"/>
    <w:rsid w:val="2C1270B8"/>
    <w:rsid w:val="2C20EBA7"/>
    <w:rsid w:val="2C218A30"/>
    <w:rsid w:val="2C251624"/>
    <w:rsid w:val="2C278BD8"/>
    <w:rsid w:val="2C2D4B3E"/>
    <w:rsid w:val="2C2DD95F"/>
    <w:rsid w:val="2C44C02F"/>
    <w:rsid w:val="2C5569B1"/>
    <w:rsid w:val="2C56DF54"/>
    <w:rsid w:val="2C58DCD4"/>
    <w:rsid w:val="2C5CFE03"/>
    <w:rsid w:val="2C5E5153"/>
    <w:rsid w:val="2C6D8FB3"/>
    <w:rsid w:val="2C6FC5A9"/>
    <w:rsid w:val="2C754AA9"/>
    <w:rsid w:val="2C7B7D70"/>
    <w:rsid w:val="2CACF3AF"/>
    <w:rsid w:val="2CB07FB0"/>
    <w:rsid w:val="2CB24902"/>
    <w:rsid w:val="2CC155D4"/>
    <w:rsid w:val="2CCE54BB"/>
    <w:rsid w:val="2CD4C9D8"/>
    <w:rsid w:val="2CD94671"/>
    <w:rsid w:val="2CE1F466"/>
    <w:rsid w:val="2CE7D810"/>
    <w:rsid w:val="2CFB89F8"/>
    <w:rsid w:val="2D063E41"/>
    <w:rsid w:val="2D0A6597"/>
    <w:rsid w:val="2D0FC772"/>
    <w:rsid w:val="2D1AAA6F"/>
    <w:rsid w:val="2D1EBA90"/>
    <w:rsid w:val="2D357B7E"/>
    <w:rsid w:val="2D37F044"/>
    <w:rsid w:val="2D433D5A"/>
    <w:rsid w:val="2D49556E"/>
    <w:rsid w:val="2D55DA6D"/>
    <w:rsid w:val="2D7018DC"/>
    <w:rsid w:val="2D7A02D2"/>
    <w:rsid w:val="2D7B4C87"/>
    <w:rsid w:val="2D800FFF"/>
    <w:rsid w:val="2D845E66"/>
    <w:rsid w:val="2D87DB80"/>
    <w:rsid w:val="2D8E6C86"/>
    <w:rsid w:val="2D96E881"/>
    <w:rsid w:val="2D98618D"/>
    <w:rsid w:val="2D99F47C"/>
    <w:rsid w:val="2D9C94CB"/>
    <w:rsid w:val="2DA26DC0"/>
    <w:rsid w:val="2DA6BBFE"/>
    <w:rsid w:val="2DB1FB9D"/>
    <w:rsid w:val="2DB2D8DD"/>
    <w:rsid w:val="2DB5C115"/>
    <w:rsid w:val="2DB708EA"/>
    <w:rsid w:val="2DBCC198"/>
    <w:rsid w:val="2DBF6698"/>
    <w:rsid w:val="2DEEE54D"/>
    <w:rsid w:val="2DEFCD9C"/>
    <w:rsid w:val="2DF42FB1"/>
    <w:rsid w:val="2DF88B36"/>
    <w:rsid w:val="2DFB46A3"/>
    <w:rsid w:val="2E0D2555"/>
    <w:rsid w:val="2E1F157C"/>
    <w:rsid w:val="2E210FCA"/>
    <w:rsid w:val="2E247131"/>
    <w:rsid w:val="2E2CB801"/>
    <w:rsid w:val="2E32F5F1"/>
    <w:rsid w:val="2E3FB066"/>
    <w:rsid w:val="2E4AA1B2"/>
    <w:rsid w:val="2E4B8276"/>
    <w:rsid w:val="2E5D5CE4"/>
    <w:rsid w:val="2E6DFA35"/>
    <w:rsid w:val="2E6F9A70"/>
    <w:rsid w:val="2E7BDA08"/>
    <w:rsid w:val="2E918757"/>
    <w:rsid w:val="2EAE4459"/>
    <w:rsid w:val="2EAF3D52"/>
    <w:rsid w:val="2EBDA46B"/>
    <w:rsid w:val="2ECD9847"/>
    <w:rsid w:val="2ECEFDCD"/>
    <w:rsid w:val="2EE2BD80"/>
    <w:rsid w:val="2EE50444"/>
    <w:rsid w:val="2EE83A69"/>
    <w:rsid w:val="2EE9B378"/>
    <w:rsid w:val="2EEBA1AB"/>
    <w:rsid w:val="2EF47096"/>
    <w:rsid w:val="2EF57C1F"/>
    <w:rsid w:val="2F04058A"/>
    <w:rsid w:val="2F066769"/>
    <w:rsid w:val="2F177321"/>
    <w:rsid w:val="2F1BFD1F"/>
    <w:rsid w:val="2F1F0814"/>
    <w:rsid w:val="2F1F750E"/>
    <w:rsid w:val="2F230667"/>
    <w:rsid w:val="2F26F2B6"/>
    <w:rsid w:val="2F4398F7"/>
    <w:rsid w:val="2F4D1240"/>
    <w:rsid w:val="2F51554F"/>
    <w:rsid w:val="2F5835B0"/>
    <w:rsid w:val="2F618B2F"/>
    <w:rsid w:val="2F661A1F"/>
    <w:rsid w:val="2F67CFCC"/>
    <w:rsid w:val="2F73419C"/>
    <w:rsid w:val="2F7A5CCD"/>
    <w:rsid w:val="2F7F4B3F"/>
    <w:rsid w:val="2F92FF07"/>
    <w:rsid w:val="2FAD2744"/>
    <w:rsid w:val="2FD27495"/>
    <w:rsid w:val="2FD508A9"/>
    <w:rsid w:val="2FD541B4"/>
    <w:rsid w:val="2FEB8EAA"/>
    <w:rsid w:val="2FF6318C"/>
    <w:rsid w:val="3010206A"/>
    <w:rsid w:val="301725CA"/>
    <w:rsid w:val="301A6444"/>
    <w:rsid w:val="3022C017"/>
    <w:rsid w:val="302DAEAA"/>
    <w:rsid w:val="30332E22"/>
    <w:rsid w:val="30373AA1"/>
    <w:rsid w:val="30437D48"/>
    <w:rsid w:val="3045FFF3"/>
    <w:rsid w:val="304CB369"/>
    <w:rsid w:val="305023CA"/>
    <w:rsid w:val="305B84B4"/>
    <w:rsid w:val="306517CA"/>
    <w:rsid w:val="3065D1E1"/>
    <w:rsid w:val="307462BC"/>
    <w:rsid w:val="307AE3A1"/>
    <w:rsid w:val="308A24FC"/>
    <w:rsid w:val="30959C8E"/>
    <w:rsid w:val="309E4A96"/>
    <w:rsid w:val="30B7DC0B"/>
    <w:rsid w:val="30BE4735"/>
    <w:rsid w:val="30C5138C"/>
    <w:rsid w:val="30C9490C"/>
    <w:rsid w:val="30D9F7E6"/>
    <w:rsid w:val="30DE9E2F"/>
    <w:rsid w:val="30F35542"/>
    <w:rsid w:val="30FB264C"/>
    <w:rsid w:val="31138E63"/>
    <w:rsid w:val="31213D0C"/>
    <w:rsid w:val="31516021"/>
    <w:rsid w:val="315981AA"/>
    <w:rsid w:val="315FC8D2"/>
    <w:rsid w:val="3163B558"/>
    <w:rsid w:val="316B4B48"/>
    <w:rsid w:val="319E1235"/>
    <w:rsid w:val="319E5AAB"/>
    <w:rsid w:val="31B5BBC4"/>
    <w:rsid w:val="31B9FD49"/>
    <w:rsid w:val="31BC74E2"/>
    <w:rsid w:val="31CA6B97"/>
    <w:rsid w:val="31CC4F83"/>
    <w:rsid w:val="31D7D817"/>
    <w:rsid w:val="31D84CDC"/>
    <w:rsid w:val="31D8F143"/>
    <w:rsid w:val="31E8C689"/>
    <w:rsid w:val="31F46100"/>
    <w:rsid w:val="31F4FEBE"/>
    <w:rsid w:val="32084D1C"/>
    <w:rsid w:val="32091C37"/>
    <w:rsid w:val="32096010"/>
    <w:rsid w:val="32154477"/>
    <w:rsid w:val="3222C608"/>
    <w:rsid w:val="3229975D"/>
    <w:rsid w:val="3232F9A0"/>
    <w:rsid w:val="3238D21D"/>
    <w:rsid w:val="324057BC"/>
    <w:rsid w:val="325222E4"/>
    <w:rsid w:val="3254B18B"/>
    <w:rsid w:val="32648A1E"/>
    <w:rsid w:val="327A515F"/>
    <w:rsid w:val="328E6034"/>
    <w:rsid w:val="329B592F"/>
    <w:rsid w:val="329C32A2"/>
    <w:rsid w:val="329C3F0A"/>
    <w:rsid w:val="32ABF794"/>
    <w:rsid w:val="32B9EF90"/>
    <w:rsid w:val="32BCC0AD"/>
    <w:rsid w:val="32DC5C0E"/>
    <w:rsid w:val="32E61F56"/>
    <w:rsid w:val="32F5C1AC"/>
    <w:rsid w:val="32FBB237"/>
    <w:rsid w:val="33075699"/>
    <w:rsid w:val="3308C537"/>
    <w:rsid w:val="33103A07"/>
    <w:rsid w:val="33123CB8"/>
    <w:rsid w:val="33194A74"/>
    <w:rsid w:val="331AD886"/>
    <w:rsid w:val="331DA82D"/>
    <w:rsid w:val="3321D9EF"/>
    <w:rsid w:val="33221FD5"/>
    <w:rsid w:val="333DC28B"/>
    <w:rsid w:val="3349421B"/>
    <w:rsid w:val="334CC44E"/>
    <w:rsid w:val="335A3776"/>
    <w:rsid w:val="335DC294"/>
    <w:rsid w:val="336AC440"/>
    <w:rsid w:val="337093D0"/>
    <w:rsid w:val="33886028"/>
    <w:rsid w:val="33897187"/>
    <w:rsid w:val="33984676"/>
    <w:rsid w:val="33BA6CD5"/>
    <w:rsid w:val="33BDD946"/>
    <w:rsid w:val="33BE3D4A"/>
    <w:rsid w:val="33CBC8D4"/>
    <w:rsid w:val="3400F7D4"/>
    <w:rsid w:val="3411DEC9"/>
    <w:rsid w:val="34184FE1"/>
    <w:rsid w:val="3423FE1C"/>
    <w:rsid w:val="3425C8D3"/>
    <w:rsid w:val="34281E23"/>
    <w:rsid w:val="342A9A8E"/>
    <w:rsid w:val="34333E96"/>
    <w:rsid w:val="343DFD9E"/>
    <w:rsid w:val="3445640F"/>
    <w:rsid w:val="344B6723"/>
    <w:rsid w:val="344F8A6F"/>
    <w:rsid w:val="344FA8ED"/>
    <w:rsid w:val="3451ED49"/>
    <w:rsid w:val="346A157E"/>
    <w:rsid w:val="346C0277"/>
    <w:rsid w:val="3474A69A"/>
    <w:rsid w:val="347CAB40"/>
    <w:rsid w:val="3495E092"/>
    <w:rsid w:val="349E9373"/>
    <w:rsid w:val="34AFE069"/>
    <w:rsid w:val="34C84F48"/>
    <w:rsid w:val="34CB9852"/>
    <w:rsid w:val="34D8EBDD"/>
    <w:rsid w:val="34E83044"/>
    <w:rsid w:val="34E8A387"/>
    <w:rsid w:val="34EEE27C"/>
    <w:rsid w:val="34F425AE"/>
    <w:rsid w:val="34F99DB0"/>
    <w:rsid w:val="34FA8A38"/>
    <w:rsid w:val="3507E103"/>
    <w:rsid w:val="350A7A8B"/>
    <w:rsid w:val="351425AE"/>
    <w:rsid w:val="351585D8"/>
    <w:rsid w:val="3525A684"/>
    <w:rsid w:val="35311A50"/>
    <w:rsid w:val="353A76A9"/>
    <w:rsid w:val="3549065D"/>
    <w:rsid w:val="356CE522"/>
    <w:rsid w:val="35755425"/>
    <w:rsid w:val="357928D4"/>
    <w:rsid w:val="35814CF5"/>
    <w:rsid w:val="35816867"/>
    <w:rsid w:val="3583BA07"/>
    <w:rsid w:val="35883AC4"/>
    <w:rsid w:val="358A68E0"/>
    <w:rsid w:val="358DCE9C"/>
    <w:rsid w:val="359895C1"/>
    <w:rsid w:val="35A0093B"/>
    <w:rsid w:val="35A3913D"/>
    <w:rsid w:val="35B6FB8A"/>
    <w:rsid w:val="35C96223"/>
    <w:rsid w:val="35CB6F9A"/>
    <w:rsid w:val="35D6EC68"/>
    <w:rsid w:val="35D717B6"/>
    <w:rsid w:val="35DFF5F9"/>
    <w:rsid w:val="35E31638"/>
    <w:rsid w:val="35E9A50B"/>
    <w:rsid w:val="35EBD414"/>
    <w:rsid w:val="35F4DCCA"/>
    <w:rsid w:val="35FEF8C4"/>
    <w:rsid w:val="3603F87C"/>
    <w:rsid w:val="36095190"/>
    <w:rsid w:val="360E4962"/>
    <w:rsid w:val="362BB0A3"/>
    <w:rsid w:val="362DB90C"/>
    <w:rsid w:val="3634CB59"/>
    <w:rsid w:val="366E8F01"/>
    <w:rsid w:val="3683B7C9"/>
    <w:rsid w:val="3689558D"/>
    <w:rsid w:val="368B8099"/>
    <w:rsid w:val="368C916D"/>
    <w:rsid w:val="3692580F"/>
    <w:rsid w:val="36961A9C"/>
    <w:rsid w:val="3696F4D5"/>
    <w:rsid w:val="36A15384"/>
    <w:rsid w:val="36A5B129"/>
    <w:rsid w:val="36A64789"/>
    <w:rsid w:val="36AF6D3B"/>
    <w:rsid w:val="36B9C47F"/>
    <w:rsid w:val="36BB6C0E"/>
    <w:rsid w:val="36C5E43A"/>
    <w:rsid w:val="36DC19C4"/>
    <w:rsid w:val="36DC2B4F"/>
    <w:rsid w:val="36DDD5C9"/>
    <w:rsid w:val="36EB0102"/>
    <w:rsid w:val="36ED44A7"/>
    <w:rsid w:val="36F8761D"/>
    <w:rsid w:val="36F8CFDA"/>
    <w:rsid w:val="36FAFBD6"/>
    <w:rsid w:val="36FC10DA"/>
    <w:rsid w:val="370737AD"/>
    <w:rsid w:val="370C15C0"/>
    <w:rsid w:val="37164D47"/>
    <w:rsid w:val="372ACF50"/>
    <w:rsid w:val="3731A31C"/>
    <w:rsid w:val="37417031"/>
    <w:rsid w:val="3754A5CB"/>
    <w:rsid w:val="3754D1FA"/>
    <w:rsid w:val="375D71F3"/>
    <w:rsid w:val="3761D733"/>
    <w:rsid w:val="376FAEC5"/>
    <w:rsid w:val="37762D4E"/>
    <w:rsid w:val="377EE699"/>
    <w:rsid w:val="3784AC8E"/>
    <w:rsid w:val="37970DE9"/>
    <w:rsid w:val="37A99F9F"/>
    <w:rsid w:val="37AA27C7"/>
    <w:rsid w:val="37AC4576"/>
    <w:rsid w:val="37BFAEA8"/>
    <w:rsid w:val="37C37A5D"/>
    <w:rsid w:val="37C9BC73"/>
    <w:rsid w:val="37CC4C13"/>
    <w:rsid w:val="37D0D204"/>
    <w:rsid w:val="37DCC2DB"/>
    <w:rsid w:val="37DCF75E"/>
    <w:rsid w:val="37E5B087"/>
    <w:rsid w:val="380CB48E"/>
    <w:rsid w:val="38143009"/>
    <w:rsid w:val="381D939C"/>
    <w:rsid w:val="381F264F"/>
    <w:rsid w:val="3822F7F8"/>
    <w:rsid w:val="383EE83C"/>
    <w:rsid w:val="384C3293"/>
    <w:rsid w:val="385CD73B"/>
    <w:rsid w:val="385E17B8"/>
    <w:rsid w:val="3867CB27"/>
    <w:rsid w:val="386832F8"/>
    <w:rsid w:val="38711973"/>
    <w:rsid w:val="387A2D7E"/>
    <w:rsid w:val="38813EE4"/>
    <w:rsid w:val="3889679A"/>
    <w:rsid w:val="38991CC5"/>
    <w:rsid w:val="389E4D90"/>
    <w:rsid w:val="38A971EB"/>
    <w:rsid w:val="38AF155B"/>
    <w:rsid w:val="38B0EAEA"/>
    <w:rsid w:val="38BC6290"/>
    <w:rsid w:val="38C51378"/>
    <w:rsid w:val="38DE03AF"/>
    <w:rsid w:val="38E401F6"/>
    <w:rsid w:val="38F37AB4"/>
    <w:rsid w:val="39125BE8"/>
    <w:rsid w:val="39292C9C"/>
    <w:rsid w:val="392F4C8F"/>
    <w:rsid w:val="39357E07"/>
    <w:rsid w:val="3939030A"/>
    <w:rsid w:val="394C0449"/>
    <w:rsid w:val="394C32AC"/>
    <w:rsid w:val="39566BB1"/>
    <w:rsid w:val="39615D4F"/>
    <w:rsid w:val="396BC320"/>
    <w:rsid w:val="397B4320"/>
    <w:rsid w:val="39859F87"/>
    <w:rsid w:val="398618E2"/>
    <w:rsid w:val="398F15CF"/>
    <w:rsid w:val="39A835C0"/>
    <w:rsid w:val="39B4CB90"/>
    <w:rsid w:val="39B664AF"/>
    <w:rsid w:val="39DA78BC"/>
    <w:rsid w:val="39DC089B"/>
    <w:rsid w:val="39E50CA0"/>
    <w:rsid w:val="39EF80A7"/>
    <w:rsid w:val="39F66202"/>
    <w:rsid w:val="39FF6EC6"/>
    <w:rsid w:val="3A067B22"/>
    <w:rsid w:val="3A115E3F"/>
    <w:rsid w:val="3A26ACFD"/>
    <w:rsid w:val="3A4C7A76"/>
    <w:rsid w:val="3A50FCA0"/>
    <w:rsid w:val="3A519932"/>
    <w:rsid w:val="3A54FA9F"/>
    <w:rsid w:val="3A56FC93"/>
    <w:rsid w:val="3A60FEA9"/>
    <w:rsid w:val="3A65E363"/>
    <w:rsid w:val="3A70A62C"/>
    <w:rsid w:val="3A71D886"/>
    <w:rsid w:val="3A896F4E"/>
    <w:rsid w:val="3A964B71"/>
    <w:rsid w:val="3A97C0E6"/>
    <w:rsid w:val="3AA48C77"/>
    <w:rsid w:val="3AB343B6"/>
    <w:rsid w:val="3AB48E66"/>
    <w:rsid w:val="3ABA4AEC"/>
    <w:rsid w:val="3AC2D8C9"/>
    <w:rsid w:val="3AC49F64"/>
    <w:rsid w:val="3AD5D117"/>
    <w:rsid w:val="3ADA6D71"/>
    <w:rsid w:val="3AE4228A"/>
    <w:rsid w:val="3AFEDC44"/>
    <w:rsid w:val="3B105269"/>
    <w:rsid w:val="3B18D9D6"/>
    <w:rsid w:val="3B58863A"/>
    <w:rsid w:val="3B58C0A3"/>
    <w:rsid w:val="3B62D7CD"/>
    <w:rsid w:val="3B679C6A"/>
    <w:rsid w:val="3B7ED7E1"/>
    <w:rsid w:val="3B81D5C6"/>
    <w:rsid w:val="3B8713D8"/>
    <w:rsid w:val="3B878555"/>
    <w:rsid w:val="3B90C517"/>
    <w:rsid w:val="3B94A7D7"/>
    <w:rsid w:val="3B96708C"/>
    <w:rsid w:val="3B97CC7D"/>
    <w:rsid w:val="3B9D805E"/>
    <w:rsid w:val="3BA4EFCD"/>
    <w:rsid w:val="3BB85405"/>
    <w:rsid w:val="3BD65207"/>
    <w:rsid w:val="3BF4DCF7"/>
    <w:rsid w:val="3BF8BD5A"/>
    <w:rsid w:val="3BF9AA64"/>
    <w:rsid w:val="3BFAFD81"/>
    <w:rsid w:val="3BFBDC5C"/>
    <w:rsid w:val="3C09A629"/>
    <w:rsid w:val="3C1203A4"/>
    <w:rsid w:val="3C17EC21"/>
    <w:rsid w:val="3C239F08"/>
    <w:rsid w:val="3C29D60F"/>
    <w:rsid w:val="3C2F0005"/>
    <w:rsid w:val="3C3049F0"/>
    <w:rsid w:val="3C316B4E"/>
    <w:rsid w:val="3C3E1E27"/>
    <w:rsid w:val="3C3E5B05"/>
    <w:rsid w:val="3C49E7AE"/>
    <w:rsid w:val="3C4C5935"/>
    <w:rsid w:val="3C54BF96"/>
    <w:rsid w:val="3C5BFE05"/>
    <w:rsid w:val="3C621C89"/>
    <w:rsid w:val="3C64822A"/>
    <w:rsid w:val="3C6C28FB"/>
    <w:rsid w:val="3C7366FD"/>
    <w:rsid w:val="3C927BE3"/>
    <w:rsid w:val="3C9307A8"/>
    <w:rsid w:val="3C938301"/>
    <w:rsid w:val="3C98EFCF"/>
    <w:rsid w:val="3C9DD0C7"/>
    <w:rsid w:val="3CA2F255"/>
    <w:rsid w:val="3CB0864C"/>
    <w:rsid w:val="3CB7FF4A"/>
    <w:rsid w:val="3CB827FC"/>
    <w:rsid w:val="3CB95E39"/>
    <w:rsid w:val="3CBAC375"/>
    <w:rsid w:val="3CBC0911"/>
    <w:rsid w:val="3CC671B7"/>
    <w:rsid w:val="3CC8FF95"/>
    <w:rsid w:val="3CDBA576"/>
    <w:rsid w:val="3CE04F7C"/>
    <w:rsid w:val="3CE17D24"/>
    <w:rsid w:val="3CE5434A"/>
    <w:rsid w:val="3CE7A821"/>
    <w:rsid w:val="3CFF3A37"/>
    <w:rsid w:val="3D04105D"/>
    <w:rsid w:val="3D12204C"/>
    <w:rsid w:val="3D22F27B"/>
    <w:rsid w:val="3D246033"/>
    <w:rsid w:val="3D27D7FD"/>
    <w:rsid w:val="3D316247"/>
    <w:rsid w:val="3D3397DB"/>
    <w:rsid w:val="3D33AD24"/>
    <w:rsid w:val="3D3651F4"/>
    <w:rsid w:val="3D365D06"/>
    <w:rsid w:val="3D392214"/>
    <w:rsid w:val="3D53429E"/>
    <w:rsid w:val="3D56DE0A"/>
    <w:rsid w:val="3D6CA413"/>
    <w:rsid w:val="3D955D8F"/>
    <w:rsid w:val="3D994950"/>
    <w:rsid w:val="3DC00EB8"/>
    <w:rsid w:val="3DD3A9FC"/>
    <w:rsid w:val="3DE9EF0D"/>
    <w:rsid w:val="3DEB486A"/>
    <w:rsid w:val="3DF31283"/>
    <w:rsid w:val="3DF88E76"/>
    <w:rsid w:val="3DFE0DCC"/>
    <w:rsid w:val="3E1ADF44"/>
    <w:rsid w:val="3E252751"/>
    <w:rsid w:val="3E515D69"/>
    <w:rsid w:val="3E595FE3"/>
    <w:rsid w:val="3E625A61"/>
    <w:rsid w:val="3E65F6DC"/>
    <w:rsid w:val="3E7AC49F"/>
    <w:rsid w:val="3E7BFF1A"/>
    <w:rsid w:val="3E7C5BB6"/>
    <w:rsid w:val="3E7D2747"/>
    <w:rsid w:val="3E839E7D"/>
    <w:rsid w:val="3E8FD7FE"/>
    <w:rsid w:val="3EA07463"/>
    <w:rsid w:val="3EAD418A"/>
    <w:rsid w:val="3EB0178D"/>
    <w:rsid w:val="3EB65FAA"/>
    <w:rsid w:val="3EC7190A"/>
    <w:rsid w:val="3ECC817E"/>
    <w:rsid w:val="3ECDFF08"/>
    <w:rsid w:val="3ED4665D"/>
    <w:rsid w:val="3ED7137E"/>
    <w:rsid w:val="3EEA3F02"/>
    <w:rsid w:val="3EF1B92B"/>
    <w:rsid w:val="3EFF6DBC"/>
    <w:rsid w:val="3F0B2831"/>
    <w:rsid w:val="3F0CE52E"/>
    <w:rsid w:val="3F1D7F98"/>
    <w:rsid w:val="3F1E183B"/>
    <w:rsid w:val="3F21E44F"/>
    <w:rsid w:val="3F22D523"/>
    <w:rsid w:val="3F30AE7F"/>
    <w:rsid w:val="3F4FDE14"/>
    <w:rsid w:val="3F5A5370"/>
    <w:rsid w:val="3F67B696"/>
    <w:rsid w:val="3F69FD03"/>
    <w:rsid w:val="3F86ABDD"/>
    <w:rsid w:val="3F891399"/>
    <w:rsid w:val="3F8C7CA1"/>
    <w:rsid w:val="3F98980C"/>
    <w:rsid w:val="3F9A5975"/>
    <w:rsid w:val="3FA32A4E"/>
    <w:rsid w:val="3FABBAA5"/>
    <w:rsid w:val="3FB75052"/>
    <w:rsid w:val="3FBC0F27"/>
    <w:rsid w:val="3FCF0714"/>
    <w:rsid w:val="3FCFE799"/>
    <w:rsid w:val="3FD242EE"/>
    <w:rsid w:val="3FD40963"/>
    <w:rsid w:val="3FE2EC5E"/>
    <w:rsid w:val="3FEA364B"/>
    <w:rsid w:val="3FEC8438"/>
    <w:rsid w:val="3FEF03D9"/>
    <w:rsid w:val="3FF340E0"/>
    <w:rsid w:val="3FF64C8D"/>
    <w:rsid w:val="3FF97091"/>
    <w:rsid w:val="3FFB14CE"/>
    <w:rsid w:val="400BCC8B"/>
    <w:rsid w:val="4019C89F"/>
    <w:rsid w:val="404A9075"/>
    <w:rsid w:val="40570359"/>
    <w:rsid w:val="406297E5"/>
    <w:rsid w:val="406BA8BA"/>
    <w:rsid w:val="407987CD"/>
    <w:rsid w:val="4084F55F"/>
    <w:rsid w:val="409266F3"/>
    <w:rsid w:val="409D1E8A"/>
    <w:rsid w:val="40A73BD4"/>
    <w:rsid w:val="40A7F858"/>
    <w:rsid w:val="40B4F526"/>
    <w:rsid w:val="40B5EEEB"/>
    <w:rsid w:val="40BA31F1"/>
    <w:rsid w:val="40BFE513"/>
    <w:rsid w:val="40C37201"/>
    <w:rsid w:val="40C3FD0C"/>
    <w:rsid w:val="40CBF4BE"/>
    <w:rsid w:val="40CDFC68"/>
    <w:rsid w:val="40CE2D0E"/>
    <w:rsid w:val="40CEABEA"/>
    <w:rsid w:val="40D26B01"/>
    <w:rsid w:val="40D46CD9"/>
    <w:rsid w:val="40EAADE0"/>
    <w:rsid w:val="40EAEE76"/>
    <w:rsid w:val="40FBE348"/>
    <w:rsid w:val="40FF02DD"/>
    <w:rsid w:val="410174C6"/>
    <w:rsid w:val="4107C53D"/>
    <w:rsid w:val="410D2BB9"/>
    <w:rsid w:val="411EEF1F"/>
    <w:rsid w:val="41276874"/>
    <w:rsid w:val="412EB9BE"/>
    <w:rsid w:val="41312FA3"/>
    <w:rsid w:val="413AB4E4"/>
    <w:rsid w:val="413C9647"/>
    <w:rsid w:val="413EFAAF"/>
    <w:rsid w:val="414DF7CF"/>
    <w:rsid w:val="414EBD89"/>
    <w:rsid w:val="41543D94"/>
    <w:rsid w:val="415D78D0"/>
    <w:rsid w:val="415F8B66"/>
    <w:rsid w:val="4176596F"/>
    <w:rsid w:val="418009B0"/>
    <w:rsid w:val="41849461"/>
    <w:rsid w:val="418592DE"/>
    <w:rsid w:val="41926776"/>
    <w:rsid w:val="41987F17"/>
    <w:rsid w:val="419C2BC9"/>
    <w:rsid w:val="419E59DE"/>
    <w:rsid w:val="41A1C16F"/>
    <w:rsid w:val="41AE07FC"/>
    <w:rsid w:val="41B14921"/>
    <w:rsid w:val="41B57839"/>
    <w:rsid w:val="41CF4216"/>
    <w:rsid w:val="41D2C5A6"/>
    <w:rsid w:val="41E83EF0"/>
    <w:rsid w:val="41FD21DB"/>
    <w:rsid w:val="41FFBBA1"/>
    <w:rsid w:val="4215A010"/>
    <w:rsid w:val="4232F232"/>
    <w:rsid w:val="4235FC60"/>
    <w:rsid w:val="423AD7A3"/>
    <w:rsid w:val="4248C34F"/>
    <w:rsid w:val="424A9E15"/>
    <w:rsid w:val="424FB792"/>
    <w:rsid w:val="4272D694"/>
    <w:rsid w:val="427E63A7"/>
    <w:rsid w:val="42814248"/>
    <w:rsid w:val="428D315D"/>
    <w:rsid w:val="42988348"/>
    <w:rsid w:val="42A06B6C"/>
    <w:rsid w:val="42A1FD08"/>
    <w:rsid w:val="42B5E995"/>
    <w:rsid w:val="42BA82F8"/>
    <w:rsid w:val="42BAEA72"/>
    <w:rsid w:val="42BB84DD"/>
    <w:rsid w:val="42BD2A2A"/>
    <w:rsid w:val="42BF486F"/>
    <w:rsid w:val="42C033A5"/>
    <w:rsid w:val="42C4DA85"/>
    <w:rsid w:val="42CFED16"/>
    <w:rsid w:val="42DFA963"/>
    <w:rsid w:val="42E7CB09"/>
    <w:rsid w:val="42E9A42D"/>
    <w:rsid w:val="42EC38E2"/>
    <w:rsid w:val="42F049DB"/>
    <w:rsid w:val="42F4227F"/>
    <w:rsid w:val="42F4FE84"/>
    <w:rsid w:val="42F70B9E"/>
    <w:rsid w:val="4302D831"/>
    <w:rsid w:val="4308E3B4"/>
    <w:rsid w:val="431DF800"/>
    <w:rsid w:val="4326C27F"/>
    <w:rsid w:val="4337D87F"/>
    <w:rsid w:val="434F6E71"/>
    <w:rsid w:val="43504DD8"/>
    <w:rsid w:val="4350BBF0"/>
    <w:rsid w:val="4351F7FC"/>
    <w:rsid w:val="4359D85D"/>
    <w:rsid w:val="43621E70"/>
    <w:rsid w:val="4387C63E"/>
    <w:rsid w:val="439A844C"/>
    <w:rsid w:val="439A863A"/>
    <w:rsid w:val="43A03BF9"/>
    <w:rsid w:val="43B0E43C"/>
    <w:rsid w:val="43B2E2D1"/>
    <w:rsid w:val="43B32D34"/>
    <w:rsid w:val="43B3DC24"/>
    <w:rsid w:val="43B3FBC5"/>
    <w:rsid w:val="43B5BBDB"/>
    <w:rsid w:val="43B5FFBF"/>
    <w:rsid w:val="43BB065E"/>
    <w:rsid w:val="43C29FE5"/>
    <w:rsid w:val="43C88454"/>
    <w:rsid w:val="43CC8FB7"/>
    <w:rsid w:val="43D1E82C"/>
    <w:rsid w:val="43EA6C88"/>
    <w:rsid w:val="43F43CD0"/>
    <w:rsid w:val="43FF12FA"/>
    <w:rsid w:val="440102E5"/>
    <w:rsid w:val="44045961"/>
    <w:rsid w:val="440CB64D"/>
    <w:rsid w:val="440F64B6"/>
    <w:rsid w:val="44102FBE"/>
    <w:rsid w:val="44130A4A"/>
    <w:rsid w:val="44214FDC"/>
    <w:rsid w:val="4423933E"/>
    <w:rsid w:val="442397DC"/>
    <w:rsid w:val="44254318"/>
    <w:rsid w:val="442FC415"/>
    <w:rsid w:val="442FD99B"/>
    <w:rsid w:val="443D7C38"/>
    <w:rsid w:val="444B9DCA"/>
    <w:rsid w:val="444FD59A"/>
    <w:rsid w:val="4450F599"/>
    <w:rsid w:val="4453DE9F"/>
    <w:rsid w:val="445B9057"/>
    <w:rsid w:val="446CF734"/>
    <w:rsid w:val="4477F1FA"/>
    <w:rsid w:val="447B3655"/>
    <w:rsid w:val="447DDA48"/>
    <w:rsid w:val="44873A7D"/>
    <w:rsid w:val="448F940E"/>
    <w:rsid w:val="449D1D8C"/>
    <w:rsid w:val="44A52695"/>
    <w:rsid w:val="44AC0332"/>
    <w:rsid w:val="44BF022E"/>
    <w:rsid w:val="44C85A6E"/>
    <w:rsid w:val="44DE76E0"/>
    <w:rsid w:val="44E18DAB"/>
    <w:rsid w:val="44F9BFC4"/>
    <w:rsid w:val="44FF32E6"/>
    <w:rsid w:val="450773E2"/>
    <w:rsid w:val="450DE754"/>
    <w:rsid w:val="452048BC"/>
    <w:rsid w:val="4529B325"/>
    <w:rsid w:val="4531A3A3"/>
    <w:rsid w:val="45347264"/>
    <w:rsid w:val="453E0A20"/>
    <w:rsid w:val="4545A97E"/>
    <w:rsid w:val="455C74C2"/>
    <w:rsid w:val="456E21A7"/>
    <w:rsid w:val="4572F61B"/>
    <w:rsid w:val="457F1560"/>
    <w:rsid w:val="4588E7F2"/>
    <w:rsid w:val="4591E3AD"/>
    <w:rsid w:val="4592F5D5"/>
    <w:rsid w:val="459927BA"/>
    <w:rsid w:val="45A43884"/>
    <w:rsid w:val="45AB683C"/>
    <w:rsid w:val="45BB9A75"/>
    <w:rsid w:val="45C4479D"/>
    <w:rsid w:val="45CBBCF2"/>
    <w:rsid w:val="45D04829"/>
    <w:rsid w:val="45D74E64"/>
    <w:rsid w:val="45DB1DD7"/>
    <w:rsid w:val="45DBFE33"/>
    <w:rsid w:val="461466B1"/>
    <w:rsid w:val="4622D819"/>
    <w:rsid w:val="4632EB15"/>
    <w:rsid w:val="46344F63"/>
    <w:rsid w:val="463A5A82"/>
    <w:rsid w:val="46492F81"/>
    <w:rsid w:val="46542C26"/>
    <w:rsid w:val="466091F8"/>
    <w:rsid w:val="4664C143"/>
    <w:rsid w:val="466D2C6C"/>
    <w:rsid w:val="467360B7"/>
    <w:rsid w:val="4686CB5C"/>
    <w:rsid w:val="4686E57B"/>
    <w:rsid w:val="4697F39F"/>
    <w:rsid w:val="4699F9A0"/>
    <w:rsid w:val="469E34DB"/>
    <w:rsid w:val="46A881FE"/>
    <w:rsid w:val="46AEF7A5"/>
    <w:rsid w:val="46AF8224"/>
    <w:rsid w:val="46B4990B"/>
    <w:rsid w:val="46BDABC0"/>
    <w:rsid w:val="46BEA630"/>
    <w:rsid w:val="46C35FC9"/>
    <w:rsid w:val="46CA4484"/>
    <w:rsid w:val="46CA7F55"/>
    <w:rsid w:val="46DBAF04"/>
    <w:rsid w:val="46EE6AAF"/>
    <w:rsid w:val="46FDB178"/>
    <w:rsid w:val="46FF1199"/>
    <w:rsid w:val="4702F85D"/>
    <w:rsid w:val="470DA1A3"/>
    <w:rsid w:val="471270DA"/>
    <w:rsid w:val="47143EEB"/>
    <w:rsid w:val="47168490"/>
    <w:rsid w:val="472E51A4"/>
    <w:rsid w:val="4736E4DE"/>
    <w:rsid w:val="473A1D95"/>
    <w:rsid w:val="475D8EF6"/>
    <w:rsid w:val="4768B43D"/>
    <w:rsid w:val="4769F8FB"/>
    <w:rsid w:val="47771509"/>
    <w:rsid w:val="47847DC5"/>
    <w:rsid w:val="4792EBD0"/>
    <w:rsid w:val="47944A73"/>
    <w:rsid w:val="4798ABF1"/>
    <w:rsid w:val="47A65B6B"/>
    <w:rsid w:val="47ABF8E3"/>
    <w:rsid w:val="47AD91D1"/>
    <w:rsid w:val="47AF7D9E"/>
    <w:rsid w:val="47BBFF43"/>
    <w:rsid w:val="47CC2A22"/>
    <w:rsid w:val="47DD2443"/>
    <w:rsid w:val="47E5D169"/>
    <w:rsid w:val="47E6803D"/>
    <w:rsid w:val="47E6998D"/>
    <w:rsid w:val="47EC77BF"/>
    <w:rsid w:val="47F2CA54"/>
    <w:rsid w:val="47FDA1F7"/>
    <w:rsid w:val="47FFC60A"/>
    <w:rsid w:val="480E1FD7"/>
    <w:rsid w:val="4813BA8B"/>
    <w:rsid w:val="48163B3F"/>
    <w:rsid w:val="481734B3"/>
    <w:rsid w:val="48179D5F"/>
    <w:rsid w:val="4825FC8C"/>
    <w:rsid w:val="482833F0"/>
    <w:rsid w:val="483BB720"/>
    <w:rsid w:val="4849E19F"/>
    <w:rsid w:val="484BAF52"/>
    <w:rsid w:val="484D32F8"/>
    <w:rsid w:val="484DF577"/>
    <w:rsid w:val="485E99DD"/>
    <w:rsid w:val="48620934"/>
    <w:rsid w:val="486468C4"/>
    <w:rsid w:val="486CBC18"/>
    <w:rsid w:val="486E3EAE"/>
    <w:rsid w:val="4875D2D1"/>
    <w:rsid w:val="4875F3D1"/>
    <w:rsid w:val="4876D539"/>
    <w:rsid w:val="487FAD46"/>
    <w:rsid w:val="48813CF0"/>
    <w:rsid w:val="488958DF"/>
    <w:rsid w:val="488C5B2B"/>
    <w:rsid w:val="489CEACB"/>
    <w:rsid w:val="48A95A02"/>
    <w:rsid w:val="48AD563A"/>
    <w:rsid w:val="48B04A43"/>
    <w:rsid w:val="48B29090"/>
    <w:rsid w:val="48B37A07"/>
    <w:rsid w:val="48B87589"/>
    <w:rsid w:val="48B96C59"/>
    <w:rsid w:val="48BEA2A1"/>
    <w:rsid w:val="48DF3584"/>
    <w:rsid w:val="48E7D41C"/>
    <w:rsid w:val="48F14E84"/>
    <w:rsid w:val="48F90A7C"/>
    <w:rsid w:val="4907E105"/>
    <w:rsid w:val="49160F39"/>
    <w:rsid w:val="4916B080"/>
    <w:rsid w:val="491D2AA0"/>
    <w:rsid w:val="491D4DCD"/>
    <w:rsid w:val="4924D637"/>
    <w:rsid w:val="49299076"/>
    <w:rsid w:val="49301101"/>
    <w:rsid w:val="493BFB8C"/>
    <w:rsid w:val="493F8AA8"/>
    <w:rsid w:val="4941B5E4"/>
    <w:rsid w:val="49480798"/>
    <w:rsid w:val="4954DAA3"/>
    <w:rsid w:val="49555FBA"/>
    <w:rsid w:val="495BDDB8"/>
    <w:rsid w:val="4963F45C"/>
    <w:rsid w:val="496A2587"/>
    <w:rsid w:val="4971453D"/>
    <w:rsid w:val="49753675"/>
    <w:rsid w:val="49819413"/>
    <w:rsid w:val="4982D31E"/>
    <w:rsid w:val="498E6D14"/>
    <w:rsid w:val="49910CEF"/>
    <w:rsid w:val="499B3B1F"/>
    <w:rsid w:val="49A0F0CD"/>
    <w:rsid w:val="49A63A7C"/>
    <w:rsid w:val="49A9E768"/>
    <w:rsid w:val="49B210D3"/>
    <w:rsid w:val="49CC234E"/>
    <w:rsid w:val="49CEDD20"/>
    <w:rsid w:val="49CFD276"/>
    <w:rsid w:val="49E24393"/>
    <w:rsid w:val="49E44514"/>
    <w:rsid w:val="49E84272"/>
    <w:rsid w:val="49F3FD7D"/>
    <w:rsid w:val="49F6B8E7"/>
    <w:rsid w:val="49F92DD2"/>
    <w:rsid w:val="49F98BAA"/>
    <w:rsid w:val="4A2C43D3"/>
    <w:rsid w:val="4A50139A"/>
    <w:rsid w:val="4A540B09"/>
    <w:rsid w:val="4A5BF8AA"/>
    <w:rsid w:val="4A5FE7E6"/>
    <w:rsid w:val="4A65D739"/>
    <w:rsid w:val="4A6E2A19"/>
    <w:rsid w:val="4A7FF972"/>
    <w:rsid w:val="4A863B86"/>
    <w:rsid w:val="4A86FB7C"/>
    <w:rsid w:val="4A8FFDE1"/>
    <w:rsid w:val="4A920195"/>
    <w:rsid w:val="4AA09DDE"/>
    <w:rsid w:val="4AC3FF72"/>
    <w:rsid w:val="4AF430A8"/>
    <w:rsid w:val="4AFB9716"/>
    <w:rsid w:val="4AFE727D"/>
    <w:rsid w:val="4B223259"/>
    <w:rsid w:val="4B279CC3"/>
    <w:rsid w:val="4B2B6FFF"/>
    <w:rsid w:val="4B2F8A49"/>
    <w:rsid w:val="4B380221"/>
    <w:rsid w:val="4B447F47"/>
    <w:rsid w:val="4B4F1DA4"/>
    <w:rsid w:val="4B613BB9"/>
    <w:rsid w:val="4B7212B2"/>
    <w:rsid w:val="4B7BD2F5"/>
    <w:rsid w:val="4B7FCC58"/>
    <w:rsid w:val="4B839161"/>
    <w:rsid w:val="4B8712C3"/>
    <w:rsid w:val="4B8CE53B"/>
    <w:rsid w:val="4B8E9F6C"/>
    <w:rsid w:val="4B90D675"/>
    <w:rsid w:val="4B936939"/>
    <w:rsid w:val="4B93E047"/>
    <w:rsid w:val="4B9ADD2B"/>
    <w:rsid w:val="4B9E0C08"/>
    <w:rsid w:val="4B9FC982"/>
    <w:rsid w:val="4BB544A4"/>
    <w:rsid w:val="4BC8ECA1"/>
    <w:rsid w:val="4BC98536"/>
    <w:rsid w:val="4BCDB01B"/>
    <w:rsid w:val="4BD0C7B1"/>
    <w:rsid w:val="4BE38353"/>
    <w:rsid w:val="4BECEBC9"/>
    <w:rsid w:val="4BED8E36"/>
    <w:rsid w:val="4BFFF14F"/>
    <w:rsid w:val="4C0D340A"/>
    <w:rsid w:val="4C1998BD"/>
    <w:rsid w:val="4C1A1E4B"/>
    <w:rsid w:val="4C1B5FB6"/>
    <w:rsid w:val="4C1B8FF4"/>
    <w:rsid w:val="4C2437FD"/>
    <w:rsid w:val="4C3D6F3E"/>
    <w:rsid w:val="4C559CE2"/>
    <w:rsid w:val="4C59D8C2"/>
    <w:rsid w:val="4C647DA2"/>
    <w:rsid w:val="4C74940A"/>
    <w:rsid w:val="4C7E2390"/>
    <w:rsid w:val="4C8374C3"/>
    <w:rsid w:val="4C8843A6"/>
    <w:rsid w:val="4C95FFEE"/>
    <w:rsid w:val="4CA8E34E"/>
    <w:rsid w:val="4CC65597"/>
    <w:rsid w:val="4CCBB136"/>
    <w:rsid w:val="4CCEEB65"/>
    <w:rsid w:val="4CD83551"/>
    <w:rsid w:val="4CE0110A"/>
    <w:rsid w:val="4CEB8FE6"/>
    <w:rsid w:val="4CED717C"/>
    <w:rsid w:val="4CEF538C"/>
    <w:rsid w:val="4CF25C70"/>
    <w:rsid w:val="4CFB5A94"/>
    <w:rsid w:val="4D06AA2C"/>
    <w:rsid w:val="4D11418C"/>
    <w:rsid w:val="4D186F1D"/>
    <w:rsid w:val="4D1F4A95"/>
    <w:rsid w:val="4D4B262F"/>
    <w:rsid w:val="4D4D6B62"/>
    <w:rsid w:val="4D4DFC90"/>
    <w:rsid w:val="4D4E4A55"/>
    <w:rsid w:val="4D4F22FC"/>
    <w:rsid w:val="4D54846C"/>
    <w:rsid w:val="4D5AFF53"/>
    <w:rsid w:val="4D6E60BC"/>
    <w:rsid w:val="4D709DC7"/>
    <w:rsid w:val="4D71333A"/>
    <w:rsid w:val="4D72F79F"/>
    <w:rsid w:val="4D74892B"/>
    <w:rsid w:val="4D7B68EC"/>
    <w:rsid w:val="4D81227B"/>
    <w:rsid w:val="4D85CB15"/>
    <w:rsid w:val="4D888133"/>
    <w:rsid w:val="4D8FFE02"/>
    <w:rsid w:val="4DAAB58A"/>
    <w:rsid w:val="4DAE966F"/>
    <w:rsid w:val="4DBE685A"/>
    <w:rsid w:val="4DC57178"/>
    <w:rsid w:val="4DE60E8C"/>
    <w:rsid w:val="4DE7AF5C"/>
    <w:rsid w:val="4DEFA6DB"/>
    <w:rsid w:val="4DF29641"/>
    <w:rsid w:val="4DF8D5E6"/>
    <w:rsid w:val="4DFD0199"/>
    <w:rsid w:val="4DFFACA3"/>
    <w:rsid w:val="4E094BE7"/>
    <w:rsid w:val="4E24D3D8"/>
    <w:rsid w:val="4E2B76A0"/>
    <w:rsid w:val="4E2F4DE7"/>
    <w:rsid w:val="4E3112A5"/>
    <w:rsid w:val="4E5039FA"/>
    <w:rsid w:val="4E6BBF05"/>
    <w:rsid w:val="4E7F9E25"/>
    <w:rsid w:val="4EA8731C"/>
    <w:rsid w:val="4EB10C84"/>
    <w:rsid w:val="4EB7325F"/>
    <w:rsid w:val="4EBC3477"/>
    <w:rsid w:val="4EBE188A"/>
    <w:rsid w:val="4EC60610"/>
    <w:rsid w:val="4EC96329"/>
    <w:rsid w:val="4ED356F7"/>
    <w:rsid w:val="4ED36E4A"/>
    <w:rsid w:val="4EE4DD0B"/>
    <w:rsid w:val="4EEC74FF"/>
    <w:rsid w:val="4EEE38FC"/>
    <w:rsid w:val="4EF82FF4"/>
    <w:rsid w:val="4EF91F07"/>
    <w:rsid w:val="4F0030D6"/>
    <w:rsid w:val="4F03CB61"/>
    <w:rsid w:val="4F06B433"/>
    <w:rsid w:val="4F0A4147"/>
    <w:rsid w:val="4F0AFE84"/>
    <w:rsid w:val="4F16CDAD"/>
    <w:rsid w:val="4F1D143E"/>
    <w:rsid w:val="4F1D89F6"/>
    <w:rsid w:val="4F24F328"/>
    <w:rsid w:val="4F27D0CF"/>
    <w:rsid w:val="4F294750"/>
    <w:rsid w:val="4F2AE6A4"/>
    <w:rsid w:val="4F3E2B03"/>
    <w:rsid w:val="4F3ECA75"/>
    <w:rsid w:val="4F4E29D6"/>
    <w:rsid w:val="4F5F99D2"/>
    <w:rsid w:val="4F622FF4"/>
    <w:rsid w:val="4F6B5646"/>
    <w:rsid w:val="4F70FFCB"/>
    <w:rsid w:val="4F802819"/>
    <w:rsid w:val="4F89878D"/>
    <w:rsid w:val="4F8CFFDF"/>
    <w:rsid w:val="4F8E02D2"/>
    <w:rsid w:val="4F8F7300"/>
    <w:rsid w:val="4F9A3FA2"/>
    <w:rsid w:val="4F9CB054"/>
    <w:rsid w:val="4F9D7492"/>
    <w:rsid w:val="4FA2FABD"/>
    <w:rsid w:val="4FA84CFA"/>
    <w:rsid w:val="4FAE8D11"/>
    <w:rsid w:val="4FAFE9E4"/>
    <w:rsid w:val="4FB57A6C"/>
    <w:rsid w:val="4FDD817F"/>
    <w:rsid w:val="4FDEB1DA"/>
    <w:rsid w:val="4FE42E1A"/>
    <w:rsid w:val="4FFB0DE6"/>
    <w:rsid w:val="5011F2EE"/>
    <w:rsid w:val="5013DBB6"/>
    <w:rsid w:val="5017B226"/>
    <w:rsid w:val="501F186B"/>
    <w:rsid w:val="50293C53"/>
    <w:rsid w:val="5029D362"/>
    <w:rsid w:val="502FC50C"/>
    <w:rsid w:val="5030FB8E"/>
    <w:rsid w:val="50353E1C"/>
    <w:rsid w:val="503AFAA2"/>
    <w:rsid w:val="504467E9"/>
    <w:rsid w:val="5044D4E0"/>
    <w:rsid w:val="5044F77E"/>
    <w:rsid w:val="505620F0"/>
    <w:rsid w:val="50603F90"/>
    <w:rsid w:val="50609AC6"/>
    <w:rsid w:val="5066F661"/>
    <w:rsid w:val="506C0EF8"/>
    <w:rsid w:val="508C731F"/>
    <w:rsid w:val="508D6D32"/>
    <w:rsid w:val="509B69C7"/>
    <w:rsid w:val="509ED997"/>
    <w:rsid w:val="50AA8747"/>
    <w:rsid w:val="50B57F19"/>
    <w:rsid w:val="50C00159"/>
    <w:rsid w:val="50CD4F04"/>
    <w:rsid w:val="50D96173"/>
    <w:rsid w:val="50DBEAD2"/>
    <w:rsid w:val="50E4468E"/>
    <w:rsid w:val="50F2E144"/>
    <w:rsid w:val="5104FA39"/>
    <w:rsid w:val="510CF18D"/>
    <w:rsid w:val="51277D3C"/>
    <w:rsid w:val="513AB2B4"/>
    <w:rsid w:val="513CD931"/>
    <w:rsid w:val="514A5D72"/>
    <w:rsid w:val="514B3AA6"/>
    <w:rsid w:val="514FBCCF"/>
    <w:rsid w:val="5151C343"/>
    <w:rsid w:val="51549BC1"/>
    <w:rsid w:val="515716B5"/>
    <w:rsid w:val="516CA850"/>
    <w:rsid w:val="51713108"/>
    <w:rsid w:val="5178E3F0"/>
    <w:rsid w:val="5184A155"/>
    <w:rsid w:val="51872283"/>
    <w:rsid w:val="519001D2"/>
    <w:rsid w:val="5192F7A7"/>
    <w:rsid w:val="5196CDE4"/>
    <w:rsid w:val="51A03678"/>
    <w:rsid w:val="51B17E7A"/>
    <w:rsid w:val="51B6EF6D"/>
    <w:rsid w:val="51BE45C1"/>
    <w:rsid w:val="51D40E0D"/>
    <w:rsid w:val="51DF0FA3"/>
    <w:rsid w:val="51E67679"/>
    <w:rsid w:val="51E9F2C4"/>
    <w:rsid w:val="51F69C36"/>
    <w:rsid w:val="51F9D8D5"/>
    <w:rsid w:val="51FE8E31"/>
    <w:rsid w:val="52052BE8"/>
    <w:rsid w:val="520C2768"/>
    <w:rsid w:val="520F7ED3"/>
    <w:rsid w:val="520F9887"/>
    <w:rsid w:val="5222667E"/>
    <w:rsid w:val="5227C8ED"/>
    <w:rsid w:val="522B2AFD"/>
    <w:rsid w:val="522B9FA7"/>
    <w:rsid w:val="523CA783"/>
    <w:rsid w:val="523DDAEC"/>
    <w:rsid w:val="52433FFD"/>
    <w:rsid w:val="52481E1D"/>
    <w:rsid w:val="52542083"/>
    <w:rsid w:val="52601C7A"/>
    <w:rsid w:val="526208CE"/>
    <w:rsid w:val="526B5277"/>
    <w:rsid w:val="52738829"/>
    <w:rsid w:val="52769FA1"/>
    <w:rsid w:val="52809262"/>
    <w:rsid w:val="528285E0"/>
    <w:rsid w:val="5282DE32"/>
    <w:rsid w:val="528D5377"/>
    <w:rsid w:val="52AA0C1D"/>
    <w:rsid w:val="52ADCD4B"/>
    <w:rsid w:val="52B79FE1"/>
    <w:rsid w:val="52C7F119"/>
    <w:rsid w:val="52D07EA3"/>
    <w:rsid w:val="52E28582"/>
    <w:rsid w:val="52ED1A11"/>
    <w:rsid w:val="5306F8BF"/>
    <w:rsid w:val="5314060D"/>
    <w:rsid w:val="531498DF"/>
    <w:rsid w:val="53164A73"/>
    <w:rsid w:val="532607A9"/>
    <w:rsid w:val="532E47E4"/>
    <w:rsid w:val="5353B75F"/>
    <w:rsid w:val="535A263F"/>
    <w:rsid w:val="536599CA"/>
    <w:rsid w:val="536BF534"/>
    <w:rsid w:val="53731038"/>
    <w:rsid w:val="537D3301"/>
    <w:rsid w:val="537EF797"/>
    <w:rsid w:val="53852C42"/>
    <w:rsid w:val="538A9769"/>
    <w:rsid w:val="538E5FA7"/>
    <w:rsid w:val="53925938"/>
    <w:rsid w:val="53ADDF87"/>
    <w:rsid w:val="53B08C55"/>
    <w:rsid w:val="53B66B56"/>
    <w:rsid w:val="53C2EB03"/>
    <w:rsid w:val="53C2ED6D"/>
    <w:rsid w:val="53CB2A21"/>
    <w:rsid w:val="53D13794"/>
    <w:rsid w:val="53D4BAC5"/>
    <w:rsid w:val="53E5A1BB"/>
    <w:rsid w:val="53E778F7"/>
    <w:rsid w:val="53EA7C94"/>
    <w:rsid w:val="53EFC8DE"/>
    <w:rsid w:val="5403AD70"/>
    <w:rsid w:val="540A128F"/>
    <w:rsid w:val="540D493E"/>
    <w:rsid w:val="54130C62"/>
    <w:rsid w:val="541DCB75"/>
    <w:rsid w:val="54257748"/>
    <w:rsid w:val="542665EF"/>
    <w:rsid w:val="54391E47"/>
    <w:rsid w:val="543B7DF2"/>
    <w:rsid w:val="5445FD5C"/>
    <w:rsid w:val="54474D50"/>
    <w:rsid w:val="544E42FE"/>
    <w:rsid w:val="5452D17B"/>
    <w:rsid w:val="545BDEB9"/>
    <w:rsid w:val="5466DADE"/>
    <w:rsid w:val="546A5B23"/>
    <w:rsid w:val="547DF2C0"/>
    <w:rsid w:val="54844DB3"/>
    <w:rsid w:val="549F06D7"/>
    <w:rsid w:val="54B22A6B"/>
    <w:rsid w:val="54B5AF1A"/>
    <w:rsid w:val="54C39A3A"/>
    <w:rsid w:val="54C3B25B"/>
    <w:rsid w:val="54C742CC"/>
    <w:rsid w:val="54CB89B3"/>
    <w:rsid w:val="54D885B2"/>
    <w:rsid w:val="54E39AD7"/>
    <w:rsid w:val="54E949E6"/>
    <w:rsid w:val="54E9DED8"/>
    <w:rsid w:val="54EFE3EE"/>
    <w:rsid w:val="54F6AD1C"/>
    <w:rsid w:val="54FFE95D"/>
    <w:rsid w:val="5508836F"/>
    <w:rsid w:val="550B5348"/>
    <w:rsid w:val="550E7232"/>
    <w:rsid w:val="5524F52F"/>
    <w:rsid w:val="55276844"/>
    <w:rsid w:val="5529D6BA"/>
    <w:rsid w:val="5533BD80"/>
    <w:rsid w:val="5533EAC7"/>
    <w:rsid w:val="5547B426"/>
    <w:rsid w:val="554B8CA9"/>
    <w:rsid w:val="5550A49D"/>
    <w:rsid w:val="5552CEC6"/>
    <w:rsid w:val="555A979D"/>
    <w:rsid w:val="5579797C"/>
    <w:rsid w:val="557A15B7"/>
    <w:rsid w:val="5582C50E"/>
    <w:rsid w:val="55841E37"/>
    <w:rsid w:val="558702BD"/>
    <w:rsid w:val="559912CB"/>
    <w:rsid w:val="559B3467"/>
    <w:rsid w:val="55A02B2B"/>
    <w:rsid w:val="55A26CD5"/>
    <w:rsid w:val="55ABAE67"/>
    <w:rsid w:val="55ABFDAD"/>
    <w:rsid w:val="55B35EF7"/>
    <w:rsid w:val="55B7297D"/>
    <w:rsid w:val="55F44B05"/>
    <w:rsid w:val="55F69B82"/>
    <w:rsid w:val="55F6B07A"/>
    <w:rsid w:val="5621875A"/>
    <w:rsid w:val="5630E410"/>
    <w:rsid w:val="563EFF02"/>
    <w:rsid w:val="5649FEBD"/>
    <w:rsid w:val="564CBDB0"/>
    <w:rsid w:val="565424B9"/>
    <w:rsid w:val="5660509C"/>
    <w:rsid w:val="56631491"/>
    <w:rsid w:val="56723CF0"/>
    <w:rsid w:val="567B8D81"/>
    <w:rsid w:val="56829786"/>
    <w:rsid w:val="56860DC8"/>
    <w:rsid w:val="5687C5CC"/>
    <w:rsid w:val="5690385B"/>
    <w:rsid w:val="56A1562E"/>
    <w:rsid w:val="56A1E626"/>
    <w:rsid w:val="56A42E51"/>
    <w:rsid w:val="56A5B7DF"/>
    <w:rsid w:val="56AA7367"/>
    <w:rsid w:val="56AA7D96"/>
    <w:rsid w:val="56C4C06C"/>
    <w:rsid w:val="56C94606"/>
    <w:rsid w:val="56C9F740"/>
    <w:rsid w:val="56D1D668"/>
    <w:rsid w:val="56D29FBC"/>
    <w:rsid w:val="56DA74C9"/>
    <w:rsid w:val="56DCB3BC"/>
    <w:rsid w:val="56E5F20A"/>
    <w:rsid w:val="56E78635"/>
    <w:rsid w:val="56FD0093"/>
    <w:rsid w:val="570CC5B0"/>
    <w:rsid w:val="570CE78E"/>
    <w:rsid w:val="57285278"/>
    <w:rsid w:val="57291BBE"/>
    <w:rsid w:val="5734E39E"/>
    <w:rsid w:val="573B593D"/>
    <w:rsid w:val="57447FD4"/>
    <w:rsid w:val="5748071C"/>
    <w:rsid w:val="574A34AF"/>
    <w:rsid w:val="574B5E1C"/>
    <w:rsid w:val="574F7640"/>
    <w:rsid w:val="574FDB58"/>
    <w:rsid w:val="57500D15"/>
    <w:rsid w:val="57548A6A"/>
    <w:rsid w:val="57554143"/>
    <w:rsid w:val="5757376D"/>
    <w:rsid w:val="575A984E"/>
    <w:rsid w:val="575B27C1"/>
    <w:rsid w:val="576051D9"/>
    <w:rsid w:val="5760F1AB"/>
    <w:rsid w:val="57651B95"/>
    <w:rsid w:val="5784243B"/>
    <w:rsid w:val="57A23BAF"/>
    <w:rsid w:val="57A6131A"/>
    <w:rsid w:val="57B11DD4"/>
    <w:rsid w:val="57BBA4C9"/>
    <w:rsid w:val="57BCFB7D"/>
    <w:rsid w:val="57BD523F"/>
    <w:rsid w:val="57C2378F"/>
    <w:rsid w:val="57C29E4E"/>
    <w:rsid w:val="57C960F8"/>
    <w:rsid w:val="57CFD94F"/>
    <w:rsid w:val="57D19457"/>
    <w:rsid w:val="57E1BE51"/>
    <w:rsid w:val="57F80A07"/>
    <w:rsid w:val="57F92177"/>
    <w:rsid w:val="57FB91E2"/>
    <w:rsid w:val="581150C6"/>
    <w:rsid w:val="58170DE5"/>
    <w:rsid w:val="581EEF2E"/>
    <w:rsid w:val="582C1011"/>
    <w:rsid w:val="582D8D09"/>
    <w:rsid w:val="5830DAA0"/>
    <w:rsid w:val="583D5213"/>
    <w:rsid w:val="583D888B"/>
    <w:rsid w:val="58447C4F"/>
    <w:rsid w:val="584BB7A7"/>
    <w:rsid w:val="58573EC4"/>
    <w:rsid w:val="585B9B61"/>
    <w:rsid w:val="5864EDF5"/>
    <w:rsid w:val="5867066B"/>
    <w:rsid w:val="586C46D7"/>
    <w:rsid w:val="5877C38C"/>
    <w:rsid w:val="5883D9A7"/>
    <w:rsid w:val="588B27CC"/>
    <w:rsid w:val="588D0634"/>
    <w:rsid w:val="588F9DF5"/>
    <w:rsid w:val="5895542E"/>
    <w:rsid w:val="5897DBC0"/>
    <w:rsid w:val="589A18C7"/>
    <w:rsid w:val="589A32A7"/>
    <w:rsid w:val="589CCC0C"/>
    <w:rsid w:val="58A7A69C"/>
    <w:rsid w:val="58ACF78D"/>
    <w:rsid w:val="58BD6A63"/>
    <w:rsid w:val="58C30B39"/>
    <w:rsid w:val="58D63921"/>
    <w:rsid w:val="58DA1B5E"/>
    <w:rsid w:val="58DB8919"/>
    <w:rsid w:val="58F29235"/>
    <w:rsid w:val="58FBE14D"/>
    <w:rsid w:val="58FEFF89"/>
    <w:rsid w:val="590567A7"/>
    <w:rsid w:val="5906EC5F"/>
    <w:rsid w:val="59095D94"/>
    <w:rsid w:val="590B4D69"/>
    <w:rsid w:val="590D1CD7"/>
    <w:rsid w:val="59252C10"/>
    <w:rsid w:val="592A50CB"/>
    <w:rsid w:val="5931825C"/>
    <w:rsid w:val="59477D0F"/>
    <w:rsid w:val="59498C6F"/>
    <w:rsid w:val="594ACC2C"/>
    <w:rsid w:val="5952A109"/>
    <w:rsid w:val="5953C18F"/>
    <w:rsid w:val="595A1958"/>
    <w:rsid w:val="595A7DDA"/>
    <w:rsid w:val="59601525"/>
    <w:rsid w:val="5964325F"/>
    <w:rsid w:val="5979EB5E"/>
    <w:rsid w:val="59851AF4"/>
    <w:rsid w:val="59873B0B"/>
    <w:rsid w:val="5987457D"/>
    <w:rsid w:val="5987B340"/>
    <w:rsid w:val="598C198E"/>
    <w:rsid w:val="598C48D7"/>
    <w:rsid w:val="598DE341"/>
    <w:rsid w:val="59993259"/>
    <w:rsid w:val="599A83BD"/>
    <w:rsid w:val="599C3825"/>
    <w:rsid w:val="59A052AD"/>
    <w:rsid w:val="59B5D79A"/>
    <w:rsid w:val="59BBEA43"/>
    <w:rsid w:val="59BFA3A0"/>
    <w:rsid w:val="59C3212A"/>
    <w:rsid w:val="59C3BDD5"/>
    <w:rsid w:val="59CE3205"/>
    <w:rsid w:val="59D26520"/>
    <w:rsid w:val="59E13C2E"/>
    <w:rsid w:val="59E2B8C1"/>
    <w:rsid w:val="59E49B56"/>
    <w:rsid w:val="59F4900F"/>
    <w:rsid w:val="5A085730"/>
    <w:rsid w:val="5A0EC4A1"/>
    <w:rsid w:val="5A2D5366"/>
    <w:rsid w:val="5A3188EB"/>
    <w:rsid w:val="5A38697D"/>
    <w:rsid w:val="5A4FF06C"/>
    <w:rsid w:val="5A67883F"/>
    <w:rsid w:val="5A72C9CA"/>
    <w:rsid w:val="5A81CE80"/>
    <w:rsid w:val="5A83CB28"/>
    <w:rsid w:val="5A8767D5"/>
    <w:rsid w:val="5A8B632F"/>
    <w:rsid w:val="5A935CDF"/>
    <w:rsid w:val="5A9A7969"/>
    <w:rsid w:val="5A9B2288"/>
    <w:rsid w:val="5AA7E02D"/>
    <w:rsid w:val="5AA83CC5"/>
    <w:rsid w:val="5AAFA730"/>
    <w:rsid w:val="5AB5CBFF"/>
    <w:rsid w:val="5AC032E5"/>
    <w:rsid w:val="5AD21F1B"/>
    <w:rsid w:val="5AD39B52"/>
    <w:rsid w:val="5AD3A961"/>
    <w:rsid w:val="5AD73C84"/>
    <w:rsid w:val="5ADD3D1A"/>
    <w:rsid w:val="5AE4DAE8"/>
    <w:rsid w:val="5AE583AE"/>
    <w:rsid w:val="5AF03630"/>
    <w:rsid w:val="5AF26775"/>
    <w:rsid w:val="5AFEAB1C"/>
    <w:rsid w:val="5B058D2B"/>
    <w:rsid w:val="5B08FB0F"/>
    <w:rsid w:val="5B1AD0A8"/>
    <w:rsid w:val="5B1B935A"/>
    <w:rsid w:val="5B2BC7FC"/>
    <w:rsid w:val="5B535E7F"/>
    <w:rsid w:val="5B53D833"/>
    <w:rsid w:val="5B574C58"/>
    <w:rsid w:val="5B6AE110"/>
    <w:rsid w:val="5B844F4E"/>
    <w:rsid w:val="5B85B203"/>
    <w:rsid w:val="5B9EA515"/>
    <w:rsid w:val="5BA0A172"/>
    <w:rsid w:val="5BB2922B"/>
    <w:rsid w:val="5BB37566"/>
    <w:rsid w:val="5BBB197C"/>
    <w:rsid w:val="5BC15F19"/>
    <w:rsid w:val="5BC214DD"/>
    <w:rsid w:val="5BE3035F"/>
    <w:rsid w:val="5BED6AAC"/>
    <w:rsid w:val="5BEE4D04"/>
    <w:rsid w:val="5BEE5C15"/>
    <w:rsid w:val="5BF3C77E"/>
    <w:rsid w:val="5C04A089"/>
    <w:rsid w:val="5C071B1C"/>
    <w:rsid w:val="5C0B0C25"/>
    <w:rsid w:val="5C19D3F5"/>
    <w:rsid w:val="5C1E3328"/>
    <w:rsid w:val="5C2924B9"/>
    <w:rsid w:val="5C2EC536"/>
    <w:rsid w:val="5C2F2712"/>
    <w:rsid w:val="5C2FEFEE"/>
    <w:rsid w:val="5C30ADB1"/>
    <w:rsid w:val="5C31B202"/>
    <w:rsid w:val="5C339101"/>
    <w:rsid w:val="5C3612E9"/>
    <w:rsid w:val="5C52A3FB"/>
    <w:rsid w:val="5C6B0AAB"/>
    <w:rsid w:val="5C74E2D7"/>
    <w:rsid w:val="5C7F7658"/>
    <w:rsid w:val="5C882866"/>
    <w:rsid w:val="5C8CA333"/>
    <w:rsid w:val="5C8F1816"/>
    <w:rsid w:val="5C921CDD"/>
    <w:rsid w:val="5C94E554"/>
    <w:rsid w:val="5C97D4B2"/>
    <w:rsid w:val="5CC74453"/>
    <w:rsid w:val="5CCC3DFD"/>
    <w:rsid w:val="5CE24C65"/>
    <w:rsid w:val="5CEA3C4D"/>
    <w:rsid w:val="5CEBF380"/>
    <w:rsid w:val="5CFBB077"/>
    <w:rsid w:val="5D005843"/>
    <w:rsid w:val="5D0EF300"/>
    <w:rsid w:val="5D21CD97"/>
    <w:rsid w:val="5D290558"/>
    <w:rsid w:val="5D29A81F"/>
    <w:rsid w:val="5D392C7E"/>
    <w:rsid w:val="5D39883B"/>
    <w:rsid w:val="5D39BB7C"/>
    <w:rsid w:val="5D471C30"/>
    <w:rsid w:val="5D610E61"/>
    <w:rsid w:val="5D62179C"/>
    <w:rsid w:val="5D6635C0"/>
    <w:rsid w:val="5D6E9171"/>
    <w:rsid w:val="5D7F71D6"/>
    <w:rsid w:val="5D843397"/>
    <w:rsid w:val="5D8E0B07"/>
    <w:rsid w:val="5D9FB234"/>
    <w:rsid w:val="5DAAF168"/>
    <w:rsid w:val="5DABAB34"/>
    <w:rsid w:val="5DACDCF8"/>
    <w:rsid w:val="5DAE18D1"/>
    <w:rsid w:val="5DC25E78"/>
    <w:rsid w:val="5DCD8716"/>
    <w:rsid w:val="5DE68E47"/>
    <w:rsid w:val="5DEC4E98"/>
    <w:rsid w:val="5E0E9B21"/>
    <w:rsid w:val="5E183A65"/>
    <w:rsid w:val="5E18E917"/>
    <w:rsid w:val="5E1FAA42"/>
    <w:rsid w:val="5E326E31"/>
    <w:rsid w:val="5E469595"/>
    <w:rsid w:val="5E58C66F"/>
    <w:rsid w:val="5E5C3F54"/>
    <w:rsid w:val="5E5C9EF7"/>
    <w:rsid w:val="5E63E03D"/>
    <w:rsid w:val="5E6979D5"/>
    <w:rsid w:val="5E72D066"/>
    <w:rsid w:val="5E77C622"/>
    <w:rsid w:val="5E784644"/>
    <w:rsid w:val="5E951511"/>
    <w:rsid w:val="5E96B3A0"/>
    <w:rsid w:val="5E97A22A"/>
    <w:rsid w:val="5E9C0732"/>
    <w:rsid w:val="5EA8E8A9"/>
    <w:rsid w:val="5EC8AC2F"/>
    <w:rsid w:val="5ECFF6C1"/>
    <w:rsid w:val="5EE131E2"/>
    <w:rsid w:val="5EEC504C"/>
    <w:rsid w:val="5F01EDD2"/>
    <w:rsid w:val="5F02FDB6"/>
    <w:rsid w:val="5F0436E2"/>
    <w:rsid w:val="5F07F668"/>
    <w:rsid w:val="5F0A94AF"/>
    <w:rsid w:val="5F1708BA"/>
    <w:rsid w:val="5F1B84EC"/>
    <w:rsid w:val="5F232CC1"/>
    <w:rsid w:val="5F24A7EF"/>
    <w:rsid w:val="5F27A5D6"/>
    <w:rsid w:val="5F2C7C83"/>
    <w:rsid w:val="5F2D90A5"/>
    <w:rsid w:val="5F319B7F"/>
    <w:rsid w:val="5F3B70E0"/>
    <w:rsid w:val="5F41C842"/>
    <w:rsid w:val="5F5131DC"/>
    <w:rsid w:val="5F644C9E"/>
    <w:rsid w:val="5F68A8CC"/>
    <w:rsid w:val="5F707D2C"/>
    <w:rsid w:val="5F761B8F"/>
    <w:rsid w:val="5F7AB889"/>
    <w:rsid w:val="5F821D63"/>
    <w:rsid w:val="5F8B93E8"/>
    <w:rsid w:val="5F8FD05C"/>
    <w:rsid w:val="5FA0932A"/>
    <w:rsid w:val="5FA15E3C"/>
    <w:rsid w:val="5FBD258A"/>
    <w:rsid w:val="5FBE4444"/>
    <w:rsid w:val="5FC23610"/>
    <w:rsid w:val="5FE5DDFE"/>
    <w:rsid w:val="5FF15BD5"/>
    <w:rsid w:val="5FF83F87"/>
    <w:rsid w:val="600D7903"/>
    <w:rsid w:val="6011C3B9"/>
    <w:rsid w:val="60242C73"/>
    <w:rsid w:val="602B12F8"/>
    <w:rsid w:val="604348C2"/>
    <w:rsid w:val="604521A6"/>
    <w:rsid w:val="60467EF6"/>
    <w:rsid w:val="6056EA13"/>
    <w:rsid w:val="606254F5"/>
    <w:rsid w:val="606343A7"/>
    <w:rsid w:val="6065E6D7"/>
    <w:rsid w:val="607C235F"/>
    <w:rsid w:val="608DF63A"/>
    <w:rsid w:val="60B4DC66"/>
    <w:rsid w:val="60CDAF14"/>
    <w:rsid w:val="60DE977C"/>
    <w:rsid w:val="60DF79D2"/>
    <w:rsid w:val="60E09A0F"/>
    <w:rsid w:val="60E1388C"/>
    <w:rsid w:val="60FAF0D8"/>
    <w:rsid w:val="6111E483"/>
    <w:rsid w:val="61162335"/>
    <w:rsid w:val="61289376"/>
    <w:rsid w:val="612ED73A"/>
    <w:rsid w:val="61357EEF"/>
    <w:rsid w:val="6141414D"/>
    <w:rsid w:val="614A4811"/>
    <w:rsid w:val="614D081B"/>
    <w:rsid w:val="614F0F5E"/>
    <w:rsid w:val="6151E738"/>
    <w:rsid w:val="6157F970"/>
    <w:rsid w:val="6161416E"/>
    <w:rsid w:val="61616242"/>
    <w:rsid w:val="6176E883"/>
    <w:rsid w:val="6177A9C8"/>
    <w:rsid w:val="6187C8E6"/>
    <w:rsid w:val="61894D03"/>
    <w:rsid w:val="61A3C63F"/>
    <w:rsid w:val="61AE73C5"/>
    <w:rsid w:val="61B93DD2"/>
    <w:rsid w:val="61BC0AF1"/>
    <w:rsid w:val="61BCAEAC"/>
    <w:rsid w:val="61BFA34B"/>
    <w:rsid w:val="61D41127"/>
    <w:rsid w:val="61D7646B"/>
    <w:rsid w:val="61E2C04C"/>
    <w:rsid w:val="61F6D0F1"/>
    <w:rsid w:val="61FBB7BA"/>
    <w:rsid w:val="620DF500"/>
    <w:rsid w:val="622B2CB8"/>
    <w:rsid w:val="622E32E3"/>
    <w:rsid w:val="62321A46"/>
    <w:rsid w:val="6249DD59"/>
    <w:rsid w:val="624ED0B0"/>
    <w:rsid w:val="62584AF6"/>
    <w:rsid w:val="625A24D9"/>
    <w:rsid w:val="626B2C0A"/>
    <w:rsid w:val="626D9355"/>
    <w:rsid w:val="62735571"/>
    <w:rsid w:val="6279E777"/>
    <w:rsid w:val="6284989D"/>
    <w:rsid w:val="6284A22E"/>
    <w:rsid w:val="628A0429"/>
    <w:rsid w:val="62947BEF"/>
    <w:rsid w:val="62AB3E2D"/>
    <w:rsid w:val="62B1C692"/>
    <w:rsid w:val="62B43516"/>
    <w:rsid w:val="62CEF051"/>
    <w:rsid w:val="62D3C818"/>
    <w:rsid w:val="62DBDB4D"/>
    <w:rsid w:val="62E0E9F2"/>
    <w:rsid w:val="62E34969"/>
    <w:rsid w:val="62E80E69"/>
    <w:rsid w:val="62ECB6F7"/>
    <w:rsid w:val="62F2043C"/>
    <w:rsid w:val="62F25E25"/>
    <w:rsid w:val="62F3D9F7"/>
    <w:rsid w:val="630D2C6A"/>
    <w:rsid w:val="631B6575"/>
    <w:rsid w:val="632E5D56"/>
    <w:rsid w:val="63390C75"/>
    <w:rsid w:val="6358E34B"/>
    <w:rsid w:val="637827CF"/>
    <w:rsid w:val="63889820"/>
    <w:rsid w:val="638C2AEC"/>
    <w:rsid w:val="63928F01"/>
    <w:rsid w:val="63A29879"/>
    <w:rsid w:val="63B1A385"/>
    <w:rsid w:val="63C21726"/>
    <w:rsid w:val="63E0EBB9"/>
    <w:rsid w:val="63E94DEA"/>
    <w:rsid w:val="63EFD6E3"/>
    <w:rsid w:val="6402D7D9"/>
    <w:rsid w:val="6417CE13"/>
    <w:rsid w:val="641EEAE5"/>
    <w:rsid w:val="64228D44"/>
    <w:rsid w:val="6422EB75"/>
    <w:rsid w:val="6429D72F"/>
    <w:rsid w:val="642A0602"/>
    <w:rsid w:val="642B7F78"/>
    <w:rsid w:val="6436FBAD"/>
    <w:rsid w:val="643FEB66"/>
    <w:rsid w:val="6440AFEF"/>
    <w:rsid w:val="6446E972"/>
    <w:rsid w:val="644FFEFB"/>
    <w:rsid w:val="645D8385"/>
    <w:rsid w:val="6462635C"/>
    <w:rsid w:val="6467EA5D"/>
    <w:rsid w:val="64711859"/>
    <w:rsid w:val="6471F8F5"/>
    <w:rsid w:val="6474A560"/>
    <w:rsid w:val="649B4CD0"/>
    <w:rsid w:val="64A64B10"/>
    <w:rsid w:val="64B74A4C"/>
    <w:rsid w:val="64BB13CD"/>
    <w:rsid w:val="64BEF987"/>
    <w:rsid w:val="64C194B7"/>
    <w:rsid w:val="64C2C1A0"/>
    <w:rsid w:val="64D11FAF"/>
    <w:rsid w:val="64D999AD"/>
    <w:rsid w:val="64D9B687"/>
    <w:rsid w:val="64E3F50E"/>
    <w:rsid w:val="64ECDCBA"/>
    <w:rsid w:val="64ED8774"/>
    <w:rsid w:val="64F1B0BB"/>
    <w:rsid w:val="64F42014"/>
    <w:rsid w:val="64FF9F89"/>
    <w:rsid w:val="6505F524"/>
    <w:rsid w:val="652A5DFD"/>
    <w:rsid w:val="652AAA76"/>
    <w:rsid w:val="652F6D3B"/>
    <w:rsid w:val="653A921B"/>
    <w:rsid w:val="654F440A"/>
    <w:rsid w:val="655A191F"/>
    <w:rsid w:val="655AEB60"/>
    <w:rsid w:val="6567380E"/>
    <w:rsid w:val="65708122"/>
    <w:rsid w:val="6570AEAF"/>
    <w:rsid w:val="6573509F"/>
    <w:rsid w:val="65742057"/>
    <w:rsid w:val="65866A2D"/>
    <w:rsid w:val="659578F0"/>
    <w:rsid w:val="65974187"/>
    <w:rsid w:val="65A00CEF"/>
    <w:rsid w:val="65A46E90"/>
    <w:rsid w:val="65A4FF48"/>
    <w:rsid w:val="65BB0D69"/>
    <w:rsid w:val="65CFBC4F"/>
    <w:rsid w:val="65D1D829"/>
    <w:rsid w:val="65DB8DA4"/>
    <w:rsid w:val="65EDEF69"/>
    <w:rsid w:val="65F64467"/>
    <w:rsid w:val="660A446A"/>
    <w:rsid w:val="66178E70"/>
    <w:rsid w:val="661D008D"/>
    <w:rsid w:val="66282705"/>
    <w:rsid w:val="664D2F9D"/>
    <w:rsid w:val="665A5069"/>
    <w:rsid w:val="6664B4A6"/>
    <w:rsid w:val="66697290"/>
    <w:rsid w:val="6677E923"/>
    <w:rsid w:val="667F3FFA"/>
    <w:rsid w:val="667F4553"/>
    <w:rsid w:val="6684C6C6"/>
    <w:rsid w:val="6695452F"/>
    <w:rsid w:val="669A1B76"/>
    <w:rsid w:val="669F45C2"/>
    <w:rsid w:val="66A8B581"/>
    <w:rsid w:val="66ACB2FF"/>
    <w:rsid w:val="66C2621C"/>
    <w:rsid w:val="66C71A1D"/>
    <w:rsid w:val="66D0C30C"/>
    <w:rsid w:val="66DB3AA5"/>
    <w:rsid w:val="66DF992C"/>
    <w:rsid w:val="66E8FC65"/>
    <w:rsid w:val="66F5370C"/>
    <w:rsid w:val="67060F79"/>
    <w:rsid w:val="671810C4"/>
    <w:rsid w:val="671962A8"/>
    <w:rsid w:val="6720D030"/>
    <w:rsid w:val="67364488"/>
    <w:rsid w:val="6738AF3D"/>
    <w:rsid w:val="673C1B04"/>
    <w:rsid w:val="673D8A12"/>
    <w:rsid w:val="67498E83"/>
    <w:rsid w:val="6753CEBE"/>
    <w:rsid w:val="675B3D2A"/>
    <w:rsid w:val="675E92B4"/>
    <w:rsid w:val="675FB39D"/>
    <w:rsid w:val="6766E128"/>
    <w:rsid w:val="677747B0"/>
    <w:rsid w:val="677D8826"/>
    <w:rsid w:val="6782CE98"/>
    <w:rsid w:val="6785DA05"/>
    <w:rsid w:val="6788C42F"/>
    <w:rsid w:val="6789D346"/>
    <w:rsid w:val="678A3307"/>
    <w:rsid w:val="6794F393"/>
    <w:rsid w:val="67B23507"/>
    <w:rsid w:val="67B731DB"/>
    <w:rsid w:val="67C73EDF"/>
    <w:rsid w:val="67DB9439"/>
    <w:rsid w:val="67DCFFCB"/>
    <w:rsid w:val="67F55E63"/>
    <w:rsid w:val="68048F6F"/>
    <w:rsid w:val="680DE189"/>
    <w:rsid w:val="6815C92C"/>
    <w:rsid w:val="68187E07"/>
    <w:rsid w:val="6822A614"/>
    <w:rsid w:val="68272F24"/>
    <w:rsid w:val="6847858F"/>
    <w:rsid w:val="685D2290"/>
    <w:rsid w:val="685F63BA"/>
    <w:rsid w:val="686140B0"/>
    <w:rsid w:val="6868CEB3"/>
    <w:rsid w:val="686957C9"/>
    <w:rsid w:val="68723156"/>
    <w:rsid w:val="68795F1F"/>
    <w:rsid w:val="687EBC14"/>
    <w:rsid w:val="689B8E5D"/>
    <w:rsid w:val="68ABDCAC"/>
    <w:rsid w:val="68AD1333"/>
    <w:rsid w:val="68B282BD"/>
    <w:rsid w:val="68C643A8"/>
    <w:rsid w:val="68D27BFB"/>
    <w:rsid w:val="68D28B1C"/>
    <w:rsid w:val="68E58224"/>
    <w:rsid w:val="68EF68B3"/>
    <w:rsid w:val="68F276C0"/>
    <w:rsid w:val="6908F374"/>
    <w:rsid w:val="690E02D3"/>
    <w:rsid w:val="69111D7D"/>
    <w:rsid w:val="69127C52"/>
    <w:rsid w:val="691C3D66"/>
    <w:rsid w:val="691FD0B4"/>
    <w:rsid w:val="692BDD6E"/>
    <w:rsid w:val="693158D9"/>
    <w:rsid w:val="6935EF70"/>
    <w:rsid w:val="693FEE69"/>
    <w:rsid w:val="6940674C"/>
    <w:rsid w:val="6945D769"/>
    <w:rsid w:val="694A095D"/>
    <w:rsid w:val="6959E48F"/>
    <w:rsid w:val="695BB51D"/>
    <w:rsid w:val="695E74AB"/>
    <w:rsid w:val="695ED868"/>
    <w:rsid w:val="69636E3D"/>
    <w:rsid w:val="69656B70"/>
    <w:rsid w:val="6969AFE9"/>
    <w:rsid w:val="6971E92E"/>
    <w:rsid w:val="697BA0C6"/>
    <w:rsid w:val="698300FD"/>
    <w:rsid w:val="698C3908"/>
    <w:rsid w:val="6992B133"/>
    <w:rsid w:val="699B5212"/>
    <w:rsid w:val="699B69C2"/>
    <w:rsid w:val="69AF0561"/>
    <w:rsid w:val="69AF7F90"/>
    <w:rsid w:val="69B1B2DC"/>
    <w:rsid w:val="69C5D24E"/>
    <w:rsid w:val="69D2C2F5"/>
    <w:rsid w:val="69D4F64D"/>
    <w:rsid w:val="69E72ACE"/>
    <w:rsid w:val="69F2835C"/>
    <w:rsid w:val="6A0FE565"/>
    <w:rsid w:val="6A148DA1"/>
    <w:rsid w:val="6A15210A"/>
    <w:rsid w:val="6A1CC678"/>
    <w:rsid w:val="6A210D3F"/>
    <w:rsid w:val="6A233A69"/>
    <w:rsid w:val="6A3598DD"/>
    <w:rsid w:val="6A383930"/>
    <w:rsid w:val="6A3B44E9"/>
    <w:rsid w:val="6A4B45F0"/>
    <w:rsid w:val="6A4BA8EC"/>
    <w:rsid w:val="6A52D4F3"/>
    <w:rsid w:val="6A58C9AB"/>
    <w:rsid w:val="6A62727B"/>
    <w:rsid w:val="6A84BAD9"/>
    <w:rsid w:val="6A864664"/>
    <w:rsid w:val="6A8DBB35"/>
    <w:rsid w:val="6A9471A0"/>
    <w:rsid w:val="6A9518A7"/>
    <w:rsid w:val="6A996D65"/>
    <w:rsid w:val="6A9A7967"/>
    <w:rsid w:val="6AA06667"/>
    <w:rsid w:val="6AA71FE7"/>
    <w:rsid w:val="6AD478F9"/>
    <w:rsid w:val="6ADC2EF0"/>
    <w:rsid w:val="6ADF38CC"/>
    <w:rsid w:val="6AF52B3A"/>
    <w:rsid w:val="6AF63F56"/>
    <w:rsid w:val="6B14B564"/>
    <w:rsid w:val="6B265506"/>
    <w:rsid w:val="6B2B6271"/>
    <w:rsid w:val="6B2CB636"/>
    <w:rsid w:val="6B2F8165"/>
    <w:rsid w:val="6B3038D1"/>
    <w:rsid w:val="6B342313"/>
    <w:rsid w:val="6B3F9C81"/>
    <w:rsid w:val="6B4925B0"/>
    <w:rsid w:val="6B4E4221"/>
    <w:rsid w:val="6B4F819F"/>
    <w:rsid w:val="6B52679B"/>
    <w:rsid w:val="6B598393"/>
    <w:rsid w:val="6B6C91C9"/>
    <w:rsid w:val="6B760ECD"/>
    <w:rsid w:val="6B81E1A8"/>
    <w:rsid w:val="6B87B1B1"/>
    <w:rsid w:val="6B8C2F7B"/>
    <w:rsid w:val="6B99D54A"/>
    <w:rsid w:val="6BA18560"/>
    <w:rsid w:val="6BA2E3D4"/>
    <w:rsid w:val="6BB30A73"/>
    <w:rsid w:val="6BB43456"/>
    <w:rsid w:val="6BB877D5"/>
    <w:rsid w:val="6BBB1394"/>
    <w:rsid w:val="6BC6BB29"/>
    <w:rsid w:val="6BCCF9EA"/>
    <w:rsid w:val="6BE1E641"/>
    <w:rsid w:val="6C18F80F"/>
    <w:rsid w:val="6C1E4DA8"/>
    <w:rsid w:val="6C26BFAB"/>
    <w:rsid w:val="6C29BF75"/>
    <w:rsid w:val="6C2E748F"/>
    <w:rsid w:val="6C2FF144"/>
    <w:rsid w:val="6C32ABCB"/>
    <w:rsid w:val="6C3F8D35"/>
    <w:rsid w:val="6C5010FA"/>
    <w:rsid w:val="6C58548E"/>
    <w:rsid w:val="6C5A8389"/>
    <w:rsid w:val="6C5B6A83"/>
    <w:rsid w:val="6C613058"/>
    <w:rsid w:val="6C64A953"/>
    <w:rsid w:val="6C677632"/>
    <w:rsid w:val="6C692248"/>
    <w:rsid w:val="6C71C4DC"/>
    <w:rsid w:val="6C746F93"/>
    <w:rsid w:val="6C920E12"/>
    <w:rsid w:val="6C9B4606"/>
    <w:rsid w:val="6CA070D6"/>
    <w:rsid w:val="6CA2351B"/>
    <w:rsid w:val="6CAEE387"/>
    <w:rsid w:val="6CB06DE3"/>
    <w:rsid w:val="6CB43D7D"/>
    <w:rsid w:val="6CC7AD8C"/>
    <w:rsid w:val="6CD0B81E"/>
    <w:rsid w:val="6CD3FFDA"/>
    <w:rsid w:val="6CD55683"/>
    <w:rsid w:val="6CE4327E"/>
    <w:rsid w:val="6CE94F11"/>
    <w:rsid w:val="6CE994E6"/>
    <w:rsid w:val="6CEF95D4"/>
    <w:rsid w:val="6CFBB528"/>
    <w:rsid w:val="6D11C1E6"/>
    <w:rsid w:val="6D224372"/>
    <w:rsid w:val="6D228012"/>
    <w:rsid w:val="6D28DFBA"/>
    <w:rsid w:val="6D543EDB"/>
    <w:rsid w:val="6D5E1DCD"/>
    <w:rsid w:val="6D63271B"/>
    <w:rsid w:val="6D6E3320"/>
    <w:rsid w:val="6D6ED1F8"/>
    <w:rsid w:val="6D874010"/>
    <w:rsid w:val="6D8C5B4D"/>
    <w:rsid w:val="6D917A53"/>
    <w:rsid w:val="6D93BF25"/>
    <w:rsid w:val="6DA1C856"/>
    <w:rsid w:val="6DC40AD7"/>
    <w:rsid w:val="6DC4DC0B"/>
    <w:rsid w:val="6DD95991"/>
    <w:rsid w:val="6DE53C3B"/>
    <w:rsid w:val="6DEFB30C"/>
    <w:rsid w:val="6DF21822"/>
    <w:rsid w:val="6DF46A81"/>
    <w:rsid w:val="6DFD8140"/>
    <w:rsid w:val="6E109A69"/>
    <w:rsid w:val="6E130C60"/>
    <w:rsid w:val="6E15B27F"/>
    <w:rsid w:val="6E222C30"/>
    <w:rsid w:val="6E2DEE44"/>
    <w:rsid w:val="6E2F742F"/>
    <w:rsid w:val="6E385AE1"/>
    <w:rsid w:val="6E3EC358"/>
    <w:rsid w:val="6E5FA3E6"/>
    <w:rsid w:val="6E640B80"/>
    <w:rsid w:val="6E6D6A29"/>
    <w:rsid w:val="6E70E0AD"/>
    <w:rsid w:val="6E82B175"/>
    <w:rsid w:val="6E8F3A43"/>
    <w:rsid w:val="6E93AB3C"/>
    <w:rsid w:val="6E93B316"/>
    <w:rsid w:val="6E973D72"/>
    <w:rsid w:val="6E9B81EA"/>
    <w:rsid w:val="6E9D4705"/>
    <w:rsid w:val="6EA368E1"/>
    <w:rsid w:val="6EACA15E"/>
    <w:rsid w:val="6EB14C48"/>
    <w:rsid w:val="6EB75057"/>
    <w:rsid w:val="6EBA63BE"/>
    <w:rsid w:val="6EC03A1B"/>
    <w:rsid w:val="6EC25E4D"/>
    <w:rsid w:val="6EC2944D"/>
    <w:rsid w:val="6EC4E287"/>
    <w:rsid w:val="6EC6213A"/>
    <w:rsid w:val="6EC7B4D1"/>
    <w:rsid w:val="6ED7D622"/>
    <w:rsid w:val="6EDE0F2E"/>
    <w:rsid w:val="6EE21FB9"/>
    <w:rsid w:val="6EFAA27C"/>
    <w:rsid w:val="6F0CA739"/>
    <w:rsid w:val="6F129D62"/>
    <w:rsid w:val="6F2D2012"/>
    <w:rsid w:val="6F2EA0B0"/>
    <w:rsid w:val="6F54FCD2"/>
    <w:rsid w:val="6F59B913"/>
    <w:rsid w:val="6F5F9DCF"/>
    <w:rsid w:val="6F60264F"/>
    <w:rsid w:val="6F66F634"/>
    <w:rsid w:val="6F8570BC"/>
    <w:rsid w:val="6F85B574"/>
    <w:rsid w:val="6F95E152"/>
    <w:rsid w:val="6F9797E9"/>
    <w:rsid w:val="6FB495A0"/>
    <w:rsid w:val="6FC39DDE"/>
    <w:rsid w:val="6FD4EE71"/>
    <w:rsid w:val="6FE1C37A"/>
    <w:rsid w:val="6FE4D0E8"/>
    <w:rsid w:val="6FECB709"/>
    <w:rsid w:val="6FFBD5EA"/>
    <w:rsid w:val="6FFE253F"/>
    <w:rsid w:val="6FFF15CB"/>
    <w:rsid w:val="7000120E"/>
    <w:rsid w:val="70005055"/>
    <w:rsid w:val="70042DE6"/>
    <w:rsid w:val="701070DE"/>
    <w:rsid w:val="702284F4"/>
    <w:rsid w:val="7026C8F7"/>
    <w:rsid w:val="702C7014"/>
    <w:rsid w:val="70305709"/>
    <w:rsid w:val="703CB966"/>
    <w:rsid w:val="70456274"/>
    <w:rsid w:val="70484A25"/>
    <w:rsid w:val="704F85FC"/>
    <w:rsid w:val="7068841E"/>
    <w:rsid w:val="70AEE62A"/>
    <w:rsid w:val="70C8B464"/>
    <w:rsid w:val="70CAD1F8"/>
    <w:rsid w:val="70CE32C6"/>
    <w:rsid w:val="70D9A13F"/>
    <w:rsid w:val="70E41546"/>
    <w:rsid w:val="70E93FE9"/>
    <w:rsid w:val="710940CE"/>
    <w:rsid w:val="71166AFA"/>
    <w:rsid w:val="7126AE34"/>
    <w:rsid w:val="71294FC3"/>
    <w:rsid w:val="712B49B3"/>
    <w:rsid w:val="712B9649"/>
    <w:rsid w:val="71348577"/>
    <w:rsid w:val="713F0026"/>
    <w:rsid w:val="7144705B"/>
    <w:rsid w:val="714565FC"/>
    <w:rsid w:val="714EE062"/>
    <w:rsid w:val="71518F26"/>
    <w:rsid w:val="71530C68"/>
    <w:rsid w:val="71587FD5"/>
    <w:rsid w:val="715F1BD9"/>
    <w:rsid w:val="7162BC3E"/>
    <w:rsid w:val="7169C1FA"/>
    <w:rsid w:val="718E2960"/>
    <w:rsid w:val="718EB4F2"/>
    <w:rsid w:val="71940719"/>
    <w:rsid w:val="719DFF84"/>
    <w:rsid w:val="71BB351A"/>
    <w:rsid w:val="71CFC3C8"/>
    <w:rsid w:val="71D4EC83"/>
    <w:rsid w:val="71D6FC81"/>
    <w:rsid w:val="71D87951"/>
    <w:rsid w:val="71E2DF51"/>
    <w:rsid w:val="71E3B93D"/>
    <w:rsid w:val="71E5EA34"/>
    <w:rsid w:val="71F3EF85"/>
    <w:rsid w:val="720185CE"/>
    <w:rsid w:val="720552B9"/>
    <w:rsid w:val="720BF35A"/>
    <w:rsid w:val="72127C97"/>
    <w:rsid w:val="721A690E"/>
    <w:rsid w:val="721EBC3F"/>
    <w:rsid w:val="721F3753"/>
    <w:rsid w:val="721FF8DD"/>
    <w:rsid w:val="7220B75B"/>
    <w:rsid w:val="723BB817"/>
    <w:rsid w:val="723BEB96"/>
    <w:rsid w:val="724D1A7A"/>
    <w:rsid w:val="72503F8A"/>
    <w:rsid w:val="7251F996"/>
    <w:rsid w:val="726F1846"/>
    <w:rsid w:val="7289F20A"/>
    <w:rsid w:val="729C241F"/>
    <w:rsid w:val="72A0438D"/>
    <w:rsid w:val="72A5ADF7"/>
    <w:rsid w:val="72A999A0"/>
    <w:rsid w:val="72AA81CD"/>
    <w:rsid w:val="72CA8695"/>
    <w:rsid w:val="72CB7D1B"/>
    <w:rsid w:val="72CCB7E6"/>
    <w:rsid w:val="72CE0762"/>
    <w:rsid w:val="72EC2A64"/>
    <w:rsid w:val="72ECA327"/>
    <w:rsid w:val="72ECF6F0"/>
    <w:rsid w:val="72F1CCAD"/>
    <w:rsid w:val="72FD943C"/>
    <w:rsid w:val="73097C58"/>
    <w:rsid w:val="731BAF1D"/>
    <w:rsid w:val="7320F126"/>
    <w:rsid w:val="7325753B"/>
    <w:rsid w:val="733550C8"/>
    <w:rsid w:val="733ABC20"/>
    <w:rsid w:val="734C8790"/>
    <w:rsid w:val="7361D0AD"/>
    <w:rsid w:val="736689B1"/>
    <w:rsid w:val="7372026A"/>
    <w:rsid w:val="738A4E48"/>
    <w:rsid w:val="73B4E871"/>
    <w:rsid w:val="73CF2239"/>
    <w:rsid w:val="73E8D4A2"/>
    <w:rsid w:val="73ECAD5A"/>
    <w:rsid w:val="73EFE8BF"/>
    <w:rsid w:val="73F05EAD"/>
    <w:rsid w:val="7404B807"/>
    <w:rsid w:val="740864FB"/>
    <w:rsid w:val="741C6184"/>
    <w:rsid w:val="7425A53F"/>
    <w:rsid w:val="7429078F"/>
    <w:rsid w:val="74369506"/>
    <w:rsid w:val="74443D26"/>
    <w:rsid w:val="746DBC88"/>
    <w:rsid w:val="74783F8C"/>
    <w:rsid w:val="747A6758"/>
    <w:rsid w:val="748FF484"/>
    <w:rsid w:val="74943C55"/>
    <w:rsid w:val="7494BE1B"/>
    <w:rsid w:val="749F0ED3"/>
    <w:rsid w:val="74A5A38A"/>
    <w:rsid w:val="74AC7F36"/>
    <w:rsid w:val="74B6F48C"/>
    <w:rsid w:val="74CD5606"/>
    <w:rsid w:val="74E60FAF"/>
    <w:rsid w:val="74F2C6E0"/>
    <w:rsid w:val="74FB5FBA"/>
    <w:rsid w:val="750B1BC6"/>
    <w:rsid w:val="750CF8C3"/>
    <w:rsid w:val="750DF70A"/>
    <w:rsid w:val="7512FC70"/>
    <w:rsid w:val="7522BFF1"/>
    <w:rsid w:val="7523614E"/>
    <w:rsid w:val="75317A21"/>
    <w:rsid w:val="754DF72A"/>
    <w:rsid w:val="755DC16F"/>
    <w:rsid w:val="755E45FD"/>
    <w:rsid w:val="756FC1FF"/>
    <w:rsid w:val="7579DAD5"/>
    <w:rsid w:val="7586A851"/>
    <w:rsid w:val="758EA709"/>
    <w:rsid w:val="75991BA9"/>
    <w:rsid w:val="759C71B7"/>
    <w:rsid w:val="75A310CE"/>
    <w:rsid w:val="75A3C957"/>
    <w:rsid w:val="75AC1A4A"/>
    <w:rsid w:val="75AC9724"/>
    <w:rsid w:val="75BF03CC"/>
    <w:rsid w:val="75C4CED2"/>
    <w:rsid w:val="75CBB89F"/>
    <w:rsid w:val="75D1F905"/>
    <w:rsid w:val="75DCCC0D"/>
    <w:rsid w:val="75E27943"/>
    <w:rsid w:val="760FF1B4"/>
    <w:rsid w:val="76130554"/>
    <w:rsid w:val="76131340"/>
    <w:rsid w:val="7617F030"/>
    <w:rsid w:val="761B2E65"/>
    <w:rsid w:val="761EDDA4"/>
    <w:rsid w:val="762132A8"/>
    <w:rsid w:val="76345537"/>
    <w:rsid w:val="764FB370"/>
    <w:rsid w:val="76535CF3"/>
    <w:rsid w:val="76594892"/>
    <w:rsid w:val="765CB2EB"/>
    <w:rsid w:val="765E31D3"/>
    <w:rsid w:val="76766EB2"/>
    <w:rsid w:val="767C6720"/>
    <w:rsid w:val="767EED8E"/>
    <w:rsid w:val="76812E42"/>
    <w:rsid w:val="76863A0B"/>
    <w:rsid w:val="7686B060"/>
    <w:rsid w:val="7689940A"/>
    <w:rsid w:val="769CB4B3"/>
    <w:rsid w:val="769CF1B8"/>
    <w:rsid w:val="769EE29D"/>
    <w:rsid w:val="769F0A3F"/>
    <w:rsid w:val="769FF715"/>
    <w:rsid w:val="76AB5D32"/>
    <w:rsid w:val="76B0E6A8"/>
    <w:rsid w:val="76B7072C"/>
    <w:rsid w:val="76CFB373"/>
    <w:rsid w:val="76DBD8A8"/>
    <w:rsid w:val="76DC959F"/>
    <w:rsid w:val="76FA0DA8"/>
    <w:rsid w:val="77043791"/>
    <w:rsid w:val="7725CF69"/>
    <w:rsid w:val="77327331"/>
    <w:rsid w:val="773CA6F5"/>
    <w:rsid w:val="774676AE"/>
    <w:rsid w:val="7758B89E"/>
    <w:rsid w:val="775B7C02"/>
    <w:rsid w:val="77714B02"/>
    <w:rsid w:val="77791F1A"/>
    <w:rsid w:val="777EBA21"/>
    <w:rsid w:val="779ECB69"/>
    <w:rsid w:val="77A2D5A1"/>
    <w:rsid w:val="77AAC900"/>
    <w:rsid w:val="77B10675"/>
    <w:rsid w:val="77B75344"/>
    <w:rsid w:val="77B9B00F"/>
    <w:rsid w:val="77C3B9AF"/>
    <w:rsid w:val="77CB679F"/>
    <w:rsid w:val="77D0CF6A"/>
    <w:rsid w:val="77E7431A"/>
    <w:rsid w:val="77F1C507"/>
    <w:rsid w:val="78004788"/>
    <w:rsid w:val="780EC2F6"/>
    <w:rsid w:val="781050FA"/>
    <w:rsid w:val="7815555D"/>
    <w:rsid w:val="78175023"/>
    <w:rsid w:val="781C0FAB"/>
    <w:rsid w:val="781D0D21"/>
    <w:rsid w:val="781D3A76"/>
    <w:rsid w:val="782832F5"/>
    <w:rsid w:val="782A61EF"/>
    <w:rsid w:val="78368D94"/>
    <w:rsid w:val="783C68BC"/>
    <w:rsid w:val="78423988"/>
    <w:rsid w:val="78462A38"/>
    <w:rsid w:val="78473024"/>
    <w:rsid w:val="784C048F"/>
    <w:rsid w:val="7853B9B0"/>
    <w:rsid w:val="78566A1A"/>
    <w:rsid w:val="78675A9B"/>
    <w:rsid w:val="786D09F6"/>
    <w:rsid w:val="7877519C"/>
    <w:rsid w:val="787995CC"/>
    <w:rsid w:val="787F1357"/>
    <w:rsid w:val="78833CD6"/>
    <w:rsid w:val="78837976"/>
    <w:rsid w:val="788F824D"/>
    <w:rsid w:val="78A19525"/>
    <w:rsid w:val="78A26409"/>
    <w:rsid w:val="78AE91B4"/>
    <w:rsid w:val="78AFB2F3"/>
    <w:rsid w:val="78B34B5B"/>
    <w:rsid w:val="78B58097"/>
    <w:rsid w:val="78FDCF4F"/>
    <w:rsid w:val="79023A1A"/>
    <w:rsid w:val="79207C71"/>
    <w:rsid w:val="7925F852"/>
    <w:rsid w:val="7943846E"/>
    <w:rsid w:val="79463DE7"/>
    <w:rsid w:val="794946AC"/>
    <w:rsid w:val="794EAEDF"/>
    <w:rsid w:val="79605196"/>
    <w:rsid w:val="7967D127"/>
    <w:rsid w:val="7969F972"/>
    <w:rsid w:val="796D682D"/>
    <w:rsid w:val="79789803"/>
    <w:rsid w:val="7979C66D"/>
    <w:rsid w:val="798859F0"/>
    <w:rsid w:val="79888579"/>
    <w:rsid w:val="7995048B"/>
    <w:rsid w:val="799A11E3"/>
    <w:rsid w:val="799FA48C"/>
    <w:rsid w:val="79A1AD00"/>
    <w:rsid w:val="79BDF399"/>
    <w:rsid w:val="79D6798A"/>
    <w:rsid w:val="79DD9243"/>
    <w:rsid w:val="79DF1205"/>
    <w:rsid w:val="79E308BB"/>
    <w:rsid w:val="79F64629"/>
    <w:rsid w:val="79F78D8D"/>
    <w:rsid w:val="7A02F445"/>
    <w:rsid w:val="7A0BACD6"/>
    <w:rsid w:val="7A0C3835"/>
    <w:rsid w:val="7A118691"/>
    <w:rsid w:val="7A15A17C"/>
    <w:rsid w:val="7A1EB087"/>
    <w:rsid w:val="7A253C8F"/>
    <w:rsid w:val="7A2BDF26"/>
    <w:rsid w:val="7A344303"/>
    <w:rsid w:val="7A3BB080"/>
    <w:rsid w:val="7A49127F"/>
    <w:rsid w:val="7A4BFB16"/>
    <w:rsid w:val="7A5F488A"/>
    <w:rsid w:val="7A6C66CB"/>
    <w:rsid w:val="7A6CDECE"/>
    <w:rsid w:val="7A70A73F"/>
    <w:rsid w:val="7A712648"/>
    <w:rsid w:val="7A759450"/>
    <w:rsid w:val="7A7A1F05"/>
    <w:rsid w:val="7A7D3F2B"/>
    <w:rsid w:val="7A88BF12"/>
    <w:rsid w:val="7A964C18"/>
    <w:rsid w:val="7A9688C1"/>
    <w:rsid w:val="7AAA46E3"/>
    <w:rsid w:val="7AABCC55"/>
    <w:rsid w:val="7AB37902"/>
    <w:rsid w:val="7AB6AB01"/>
    <w:rsid w:val="7AC22A87"/>
    <w:rsid w:val="7AC22BB5"/>
    <w:rsid w:val="7ACA6C73"/>
    <w:rsid w:val="7ACDF853"/>
    <w:rsid w:val="7AD6DAF3"/>
    <w:rsid w:val="7AE4808D"/>
    <w:rsid w:val="7B002DA9"/>
    <w:rsid w:val="7B02985D"/>
    <w:rsid w:val="7B0E9966"/>
    <w:rsid w:val="7B0F77C9"/>
    <w:rsid w:val="7B16D823"/>
    <w:rsid w:val="7B2482AC"/>
    <w:rsid w:val="7B3063B2"/>
    <w:rsid w:val="7B34545A"/>
    <w:rsid w:val="7B3AC82C"/>
    <w:rsid w:val="7B53821B"/>
    <w:rsid w:val="7B5EBE70"/>
    <w:rsid w:val="7B61B04E"/>
    <w:rsid w:val="7B6837A7"/>
    <w:rsid w:val="7B6A9987"/>
    <w:rsid w:val="7B75EE48"/>
    <w:rsid w:val="7B7E3938"/>
    <w:rsid w:val="7B84D3CE"/>
    <w:rsid w:val="7B866745"/>
    <w:rsid w:val="7B968AF2"/>
    <w:rsid w:val="7B992E66"/>
    <w:rsid w:val="7BC62376"/>
    <w:rsid w:val="7BC7B5B7"/>
    <w:rsid w:val="7BCF67EF"/>
    <w:rsid w:val="7BE83DC2"/>
    <w:rsid w:val="7BEB2CD7"/>
    <w:rsid w:val="7BF45C2F"/>
    <w:rsid w:val="7BFDCFCC"/>
    <w:rsid w:val="7C003F3E"/>
    <w:rsid w:val="7C09DB18"/>
    <w:rsid w:val="7C29C5C3"/>
    <w:rsid w:val="7C2FBCFA"/>
    <w:rsid w:val="7C39ADD6"/>
    <w:rsid w:val="7C40634A"/>
    <w:rsid w:val="7C4FC1C0"/>
    <w:rsid w:val="7C4FD24B"/>
    <w:rsid w:val="7C628C9D"/>
    <w:rsid w:val="7C62D557"/>
    <w:rsid w:val="7C81ACD8"/>
    <w:rsid w:val="7C8EF6AE"/>
    <w:rsid w:val="7C9770FD"/>
    <w:rsid w:val="7CA0AB60"/>
    <w:rsid w:val="7CA2ACFD"/>
    <w:rsid w:val="7CA854CE"/>
    <w:rsid w:val="7CAA67D1"/>
    <w:rsid w:val="7CAFE12B"/>
    <w:rsid w:val="7CB44B86"/>
    <w:rsid w:val="7CB65A02"/>
    <w:rsid w:val="7CBD0161"/>
    <w:rsid w:val="7CC1FB3E"/>
    <w:rsid w:val="7CD4242B"/>
    <w:rsid w:val="7CD9FB8A"/>
    <w:rsid w:val="7CDBBA57"/>
    <w:rsid w:val="7CE5CE5A"/>
    <w:rsid w:val="7CE6799F"/>
    <w:rsid w:val="7CFC0231"/>
    <w:rsid w:val="7D11BDC8"/>
    <w:rsid w:val="7D14891A"/>
    <w:rsid w:val="7D3900FC"/>
    <w:rsid w:val="7D39AC5A"/>
    <w:rsid w:val="7D3DD2FB"/>
    <w:rsid w:val="7D4A610C"/>
    <w:rsid w:val="7D71912B"/>
    <w:rsid w:val="7D71B5EA"/>
    <w:rsid w:val="7D7672E5"/>
    <w:rsid w:val="7D91E98C"/>
    <w:rsid w:val="7D9D7FFA"/>
    <w:rsid w:val="7DA2337B"/>
    <w:rsid w:val="7DA8D45A"/>
    <w:rsid w:val="7DABB8DF"/>
    <w:rsid w:val="7DB2D94E"/>
    <w:rsid w:val="7DB6F17F"/>
    <w:rsid w:val="7DEA7635"/>
    <w:rsid w:val="7E081C31"/>
    <w:rsid w:val="7E084148"/>
    <w:rsid w:val="7E08A93B"/>
    <w:rsid w:val="7E09F8A2"/>
    <w:rsid w:val="7E1FE637"/>
    <w:rsid w:val="7E2E5A1F"/>
    <w:rsid w:val="7E2E728F"/>
    <w:rsid w:val="7E3DE187"/>
    <w:rsid w:val="7E626408"/>
    <w:rsid w:val="7E627462"/>
    <w:rsid w:val="7E671058"/>
    <w:rsid w:val="7E6BD2F9"/>
    <w:rsid w:val="7E7D1844"/>
    <w:rsid w:val="7E9011D0"/>
    <w:rsid w:val="7E9732DA"/>
    <w:rsid w:val="7EA0D715"/>
    <w:rsid w:val="7EAE7316"/>
    <w:rsid w:val="7EB06779"/>
    <w:rsid w:val="7EBC2FEB"/>
    <w:rsid w:val="7EC903D4"/>
    <w:rsid w:val="7ECC555C"/>
    <w:rsid w:val="7ED09209"/>
    <w:rsid w:val="7EF83C15"/>
    <w:rsid w:val="7EFFB28A"/>
    <w:rsid w:val="7F19F518"/>
    <w:rsid w:val="7F33C310"/>
    <w:rsid w:val="7F3418C2"/>
    <w:rsid w:val="7F397A3A"/>
    <w:rsid w:val="7F406351"/>
    <w:rsid w:val="7F545D37"/>
    <w:rsid w:val="7F559006"/>
    <w:rsid w:val="7F57249A"/>
    <w:rsid w:val="7F58EDCB"/>
    <w:rsid w:val="7F6074AF"/>
    <w:rsid w:val="7F6CB23A"/>
    <w:rsid w:val="7F7139EE"/>
    <w:rsid w:val="7F744149"/>
    <w:rsid w:val="7F74C3F7"/>
    <w:rsid w:val="7F754E3D"/>
    <w:rsid w:val="7F79D51B"/>
    <w:rsid w:val="7F959BAA"/>
    <w:rsid w:val="7F9F31CD"/>
    <w:rsid w:val="7FA5F0FA"/>
    <w:rsid w:val="7FB343EB"/>
    <w:rsid w:val="7FCD7EBC"/>
    <w:rsid w:val="7FE88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FA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36"/>
  </w:style>
  <w:style w:type="paragraph" w:styleId="Heading1">
    <w:name w:val="heading 1"/>
    <w:basedOn w:val="Normal"/>
    <w:next w:val="Text1"/>
    <w:link w:val="Heading1Char"/>
    <w:uiPriority w:val="9"/>
    <w:qFormat/>
    <w:rsid w:val="14F0B435"/>
    <w:pPr>
      <w:keepNext/>
      <w:tabs>
        <w:tab w:val="num" w:pos="850"/>
      </w:tabs>
      <w:spacing w:before="360" w:after="0"/>
      <w:ind w:left="850" w:hanging="850"/>
      <w:jc w:val="both"/>
      <w:outlineLvl w:val="0"/>
    </w:pPr>
    <w:rPr>
      <w:rFonts w:ascii="Times New Roman" w:eastAsiaTheme="majorEastAsia" w:hAnsi="Times New Roman" w:cs="Times New Roman"/>
      <w:b/>
      <w:smallCaps/>
      <w:sz w:val="24"/>
    </w:rPr>
  </w:style>
  <w:style w:type="paragraph" w:styleId="Heading2">
    <w:name w:val="heading 2"/>
    <w:basedOn w:val="Normal"/>
    <w:next w:val="Text1"/>
    <w:link w:val="Heading2Char"/>
    <w:uiPriority w:val="9"/>
    <w:unhideWhenUsed/>
    <w:qFormat/>
    <w:rsid w:val="14F0B435"/>
    <w:pPr>
      <w:keepNext/>
      <w:spacing w:before="40" w:after="0"/>
      <w:ind w:left="130" w:firstLine="720"/>
      <w:jc w:val="both"/>
      <w:outlineLvl w:val="1"/>
    </w:pPr>
    <w:rPr>
      <w:rFonts w:ascii="Times New Roman" w:eastAsiaTheme="minorEastAsia" w:hAnsi="Times New Roman" w:cs="Times New Roman"/>
      <w:b/>
      <w:sz w:val="24"/>
      <w:u w:val="single"/>
    </w:rPr>
  </w:style>
  <w:style w:type="paragraph" w:styleId="Heading3">
    <w:name w:val="heading 3"/>
    <w:basedOn w:val="Normal"/>
    <w:next w:val="Text1"/>
    <w:link w:val="Heading3Char"/>
    <w:uiPriority w:val="9"/>
    <w:unhideWhenUsed/>
    <w:qFormat/>
    <w:rsid w:val="14F0B435"/>
    <w:pPr>
      <w:keepNext/>
      <w:spacing w:before="240" w:after="0"/>
      <w:ind w:left="851"/>
      <w:jc w:val="both"/>
      <w:outlineLvl w:val="2"/>
    </w:pPr>
    <w:rPr>
      <w:rFonts w:ascii="Times New Roman" w:eastAsiaTheme="minorEastAsia" w:hAnsi="Times New Roman" w:cs="Times New Roman"/>
      <w:sz w:val="24"/>
      <w:u w:val="single"/>
    </w:rPr>
  </w:style>
  <w:style w:type="paragraph" w:styleId="Heading4">
    <w:name w:val="heading 4"/>
    <w:basedOn w:val="Normal"/>
    <w:next w:val="Text1"/>
    <w:link w:val="Heading4Char"/>
    <w:uiPriority w:val="9"/>
    <w:unhideWhenUsed/>
    <w:qFormat/>
    <w:rsid w:val="29DEDBAE"/>
    <w:pPr>
      <w:keepNext/>
      <w:numPr>
        <w:ilvl w:val="3"/>
        <w:numId w:val="7"/>
      </w:numPr>
      <w:spacing w:before="40" w:after="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unhideWhenUsed/>
    <w:qFormat/>
    <w:rsid w:val="00510B5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0B5B"/>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510B5B"/>
    <w:pPr>
      <w:keepNext/>
      <w:keepLines/>
      <w:spacing w:before="40" w:after="0"/>
      <w:outlineLvl w:val="6"/>
    </w:pPr>
    <w:rPr>
      <w:rFonts w:asciiTheme="majorHAnsi" w:eastAsiaTheme="majorEastAsia" w:hAnsiTheme="majorHAnsi" w:cstheme="majorBidi"/>
      <w:i/>
      <w:color w:val="243F60"/>
    </w:rPr>
  </w:style>
  <w:style w:type="paragraph" w:styleId="Heading8">
    <w:name w:val="heading 8"/>
    <w:basedOn w:val="Normal"/>
    <w:next w:val="Normal"/>
    <w:link w:val="Heading8Char"/>
    <w:uiPriority w:val="9"/>
    <w:unhideWhenUsed/>
    <w:qFormat/>
    <w:rsid w:val="00510B5B"/>
    <w:pPr>
      <w:keepNext/>
      <w:keepLines/>
      <w:spacing w:before="40" w:after="0"/>
      <w:outlineLvl w:val="7"/>
    </w:pPr>
    <w:rPr>
      <w:rFonts w:asciiTheme="majorHAnsi" w:eastAsiaTheme="majorEastAsia" w:hAnsiTheme="majorHAnsi" w:cstheme="majorBidi"/>
      <w:color w:val="272727"/>
      <w:sz w:val="21"/>
    </w:rPr>
  </w:style>
  <w:style w:type="paragraph" w:styleId="Heading9">
    <w:name w:val="heading 9"/>
    <w:basedOn w:val="Normal"/>
    <w:next w:val="Normal"/>
    <w:link w:val="Heading9Char"/>
    <w:uiPriority w:val="9"/>
    <w:unhideWhenUsed/>
    <w:qFormat/>
    <w:rsid w:val="00510B5B"/>
    <w:pPr>
      <w:keepNext/>
      <w:keepLines/>
      <w:spacing w:before="40" w:after="0"/>
      <w:outlineLvl w:val="8"/>
    </w:pPr>
    <w:rPr>
      <w:rFonts w:asciiTheme="majorHAnsi" w:eastAsiaTheme="majorEastAsia" w:hAnsiTheme="majorHAnsi" w:cstheme="majorBidi"/>
      <w:i/>
      <w:color w:val="272727"/>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0D"/>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B4580D"/>
    <w:rPr>
      <w:rFonts w:ascii="Times New Roman" w:eastAsiaTheme="minorEastAsia" w:hAnsi="Times New Roman" w:cs="Times New Roman"/>
      <w:b/>
      <w:sz w:val="24"/>
      <w:u w:val="single"/>
    </w:rPr>
  </w:style>
  <w:style w:type="character" w:customStyle="1" w:styleId="Heading3Char">
    <w:name w:val="Heading 3 Char"/>
    <w:basedOn w:val="DefaultParagraphFont"/>
    <w:link w:val="Heading3"/>
    <w:uiPriority w:val="9"/>
    <w:rsid w:val="00B4580D"/>
    <w:rPr>
      <w:rFonts w:ascii="Times New Roman" w:eastAsiaTheme="minorEastAsia" w:hAnsi="Times New Roman" w:cs="Times New Roman"/>
      <w:sz w:val="24"/>
      <w:u w:val="single"/>
    </w:rPr>
  </w:style>
  <w:style w:type="character" w:customStyle="1" w:styleId="Heading4Char">
    <w:name w:val="Heading 4 Char"/>
    <w:basedOn w:val="DefaultParagraphFont"/>
    <w:link w:val="Heading4"/>
    <w:uiPriority w:val="9"/>
    <w:rsid w:val="00B4580D"/>
    <w:rPr>
      <w:rFonts w:ascii="Times New Roman" w:eastAsiaTheme="majorEastAsia" w:hAnsi="Times New Roman" w:cs="Times New Roman"/>
      <w:sz w:val="24"/>
    </w:rPr>
  </w:style>
  <w:style w:type="paragraph" w:styleId="Header">
    <w:name w:val="header"/>
    <w:basedOn w:val="Normal"/>
    <w:link w:val="HeaderChar"/>
    <w:uiPriority w:val="99"/>
    <w:unhideWhenUsed/>
    <w:rsid w:val="14F0B435"/>
    <w:pPr>
      <w:tabs>
        <w:tab w:val="center" w:pos="4535"/>
        <w:tab w:val="right" w:pos="9071"/>
      </w:tabs>
      <w:spacing w:after="120"/>
      <w:jc w:val="both"/>
    </w:pPr>
    <w:rPr>
      <w:rFonts w:ascii="Times New Roman" w:eastAsiaTheme="minorEastAsia" w:hAnsi="Times New Roman" w:cs="Times New Roman"/>
      <w:sz w:val="24"/>
    </w:rPr>
  </w:style>
  <w:style w:type="character" w:customStyle="1" w:styleId="HeaderChar">
    <w:name w:val="Header Char"/>
    <w:basedOn w:val="DefaultParagraphFont"/>
    <w:link w:val="Header"/>
    <w:uiPriority w:val="99"/>
    <w:rsid w:val="00B4580D"/>
    <w:rPr>
      <w:rFonts w:ascii="Times New Roman" w:eastAsiaTheme="minorEastAsia" w:hAnsi="Times New Roman" w:cs="Times New Roman"/>
      <w:sz w:val="24"/>
    </w:rPr>
  </w:style>
  <w:style w:type="paragraph" w:styleId="Footer">
    <w:name w:val="footer"/>
    <w:basedOn w:val="Normal"/>
    <w:link w:val="FooterChar"/>
    <w:uiPriority w:val="99"/>
    <w:unhideWhenUsed/>
    <w:rsid w:val="14F0B435"/>
    <w:pPr>
      <w:tabs>
        <w:tab w:val="center" w:pos="4535"/>
        <w:tab w:val="right" w:pos="9071"/>
        <w:tab w:val="right" w:pos="9921"/>
      </w:tabs>
      <w:spacing w:before="360" w:after="0"/>
      <w:ind w:left="-850" w:right="-850"/>
    </w:pPr>
    <w:rPr>
      <w:rFonts w:ascii="Times New Roman" w:eastAsiaTheme="minorEastAsia" w:hAnsi="Times New Roman" w:cs="Times New Roman"/>
      <w:sz w:val="24"/>
    </w:rPr>
  </w:style>
  <w:style w:type="character" w:customStyle="1" w:styleId="FooterChar">
    <w:name w:val="Footer Char"/>
    <w:basedOn w:val="DefaultParagraphFont"/>
    <w:link w:val="Footer"/>
    <w:uiPriority w:val="99"/>
    <w:rsid w:val="00B4580D"/>
    <w:rPr>
      <w:rFonts w:ascii="Times New Roman" w:eastAsiaTheme="minorEastAsia" w:hAnsi="Times New Roman" w:cs="Times New Roman"/>
      <w:sz w:val="24"/>
    </w:rPr>
  </w:style>
  <w:style w:type="paragraph" w:styleId="FootnoteText">
    <w:name w:val="footnote text"/>
    <w:basedOn w:val="Normal"/>
    <w:link w:val="FootnoteTextChar"/>
    <w:uiPriority w:val="99"/>
    <w:unhideWhenUsed/>
    <w:rsid w:val="14F0B435"/>
    <w:pPr>
      <w:keepNext/>
      <w:spacing w:after="0"/>
      <w:ind w:left="720" w:hanging="720"/>
      <w:jc w:val="both"/>
    </w:pPr>
    <w:rPr>
      <w:rFonts w:ascii="Times New Roman" w:eastAsiaTheme="minorEastAsia" w:hAnsi="Times New Roman" w:cs="Times New Roman"/>
      <w:sz w:val="20"/>
    </w:rPr>
  </w:style>
  <w:style w:type="character" w:customStyle="1" w:styleId="FootnoteTextChar">
    <w:name w:val="Footnote Text Char"/>
    <w:basedOn w:val="DefaultParagraphFont"/>
    <w:link w:val="FootnoteText"/>
    <w:uiPriority w:val="99"/>
    <w:rsid w:val="00B4580D"/>
    <w:rPr>
      <w:rFonts w:ascii="Times New Roman" w:eastAsiaTheme="minorEastAsia" w:hAnsi="Times New Roman" w:cs="Times New Roman"/>
      <w:sz w:val="20"/>
    </w:rPr>
  </w:style>
  <w:style w:type="paragraph" w:styleId="TOCHeading">
    <w:name w:val="TOC Heading"/>
    <w:basedOn w:val="Normal"/>
    <w:next w:val="Normal"/>
    <w:uiPriority w:val="39"/>
    <w:unhideWhenUsed/>
    <w:qFormat/>
    <w:rsid w:val="14F0B435"/>
    <w:pPr>
      <w:keepNext/>
      <w:spacing w:before="40" w:after="0"/>
      <w:jc w:val="center"/>
    </w:pPr>
    <w:rPr>
      <w:rFonts w:ascii="Times New Roman" w:eastAsiaTheme="minorEastAsia" w:hAnsi="Times New Roman" w:cs="Times New Roman"/>
      <w:b/>
      <w:sz w:val="28"/>
    </w:rPr>
  </w:style>
  <w:style w:type="paragraph" w:styleId="TOC1">
    <w:name w:val="toc 1"/>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2">
    <w:name w:val="toc 2"/>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3">
    <w:name w:val="toc 3"/>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4">
    <w:name w:val="toc 4"/>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5">
    <w:name w:val="toc 5"/>
    <w:basedOn w:val="Normal"/>
    <w:next w:val="Normal"/>
    <w:uiPriority w:val="39"/>
    <w:unhideWhenUsed/>
    <w:rsid w:val="14F0B435"/>
    <w:pPr>
      <w:keepNext/>
      <w:tabs>
        <w:tab w:val="right" w:leader="dot" w:pos="9071"/>
      </w:tabs>
      <w:spacing w:before="300" w:after="0"/>
      <w:jc w:val="both"/>
    </w:pPr>
    <w:rPr>
      <w:rFonts w:ascii="Times New Roman" w:eastAsiaTheme="minorEastAsia" w:hAnsi="Times New Roman" w:cs="Times New Roman"/>
      <w:sz w:val="24"/>
    </w:rPr>
  </w:style>
  <w:style w:type="paragraph" w:styleId="TOC6">
    <w:name w:val="toc 6"/>
    <w:basedOn w:val="Normal"/>
    <w:next w:val="Normal"/>
    <w:uiPriority w:val="39"/>
    <w:unhideWhenUsed/>
    <w:rsid w:val="14F0B435"/>
    <w:pPr>
      <w:keepNext/>
      <w:tabs>
        <w:tab w:val="right" w:leader="dot" w:pos="9071"/>
      </w:tabs>
      <w:spacing w:before="240" w:after="0"/>
      <w:jc w:val="both"/>
    </w:pPr>
    <w:rPr>
      <w:rFonts w:ascii="Times New Roman" w:eastAsiaTheme="minorEastAsia" w:hAnsi="Times New Roman" w:cs="Times New Roman"/>
      <w:sz w:val="24"/>
    </w:rPr>
  </w:style>
  <w:style w:type="paragraph" w:styleId="TOC7">
    <w:name w:val="toc 7"/>
    <w:basedOn w:val="Normal"/>
    <w:next w:val="Normal"/>
    <w:uiPriority w:val="39"/>
    <w:unhideWhenUsed/>
    <w:rsid w:val="14F0B435"/>
    <w:pPr>
      <w:keepNext/>
      <w:tabs>
        <w:tab w:val="right" w:leader="dot" w:pos="9071"/>
      </w:tabs>
      <w:spacing w:before="180" w:after="0"/>
      <w:jc w:val="both"/>
    </w:pPr>
    <w:rPr>
      <w:rFonts w:ascii="Times New Roman" w:eastAsiaTheme="minorEastAsia" w:hAnsi="Times New Roman" w:cs="Times New Roman"/>
      <w:sz w:val="24"/>
    </w:rPr>
  </w:style>
  <w:style w:type="paragraph" w:styleId="TOC8">
    <w:name w:val="toc 8"/>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styleId="TOC9">
    <w:name w:val="toc 9"/>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customStyle="1" w:styleId="HeaderLandscape">
    <w:name w:val="HeaderLandscape"/>
    <w:basedOn w:val="Normal"/>
    <w:uiPriority w:val="1"/>
    <w:rsid w:val="14F0B435"/>
    <w:pPr>
      <w:tabs>
        <w:tab w:val="center" w:pos="7285"/>
        <w:tab w:val="right" w:pos="14003"/>
      </w:tabs>
      <w:spacing w:after="120"/>
      <w:jc w:val="both"/>
    </w:pPr>
    <w:rPr>
      <w:rFonts w:ascii="Times New Roman" w:eastAsiaTheme="minorEastAsia" w:hAnsi="Times New Roman" w:cs="Times New Roman"/>
      <w:sz w:val="24"/>
    </w:rPr>
  </w:style>
  <w:style w:type="paragraph" w:customStyle="1" w:styleId="FooterLandscape">
    <w:name w:val="FooterLandscape"/>
    <w:basedOn w:val="Normal"/>
    <w:uiPriority w:val="1"/>
    <w:rsid w:val="14F0B435"/>
    <w:pPr>
      <w:tabs>
        <w:tab w:val="center" w:pos="7285"/>
        <w:tab w:val="center" w:pos="10913"/>
        <w:tab w:val="right" w:pos="15137"/>
      </w:tabs>
      <w:spacing w:before="360" w:after="0"/>
      <w:ind w:left="-567" w:right="-567"/>
    </w:pPr>
    <w:rPr>
      <w:rFonts w:ascii="Times New Roman" w:eastAsiaTheme="minorEastAsia" w:hAnsi="Times New Roman" w:cs="Times New Roman"/>
      <w:sz w:val="24"/>
    </w:rPr>
  </w:style>
  <w:style w:type="character" w:styleId="FootnoteReference">
    <w:name w:val="footnote reference"/>
    <w:basedOn w:val="DefaultParagraphFont"/>
    <w:uiPriority w:val="99"/>
    <w:semiHidden/>
    <w:unhideWhenUsed/>
    <w:rsid w:val="00B4580D"/>
    <w:rPr>
      <w:shd w:val="clear" w:color="auto" w:fill="auto"/>
      <w:vertAlign w:val="superscript"/>
    </w:rPr>
  </w:style>
  <w:style w:type="paragraph" w:customStyle="1" w:styleId="HeaderSensitivity">
    <w:name w:val="Header Sensitivity"/>
    <w:basedOn w:val="Normal"/>
    <w:uiPriority w:val="1"/>
    <w:rsid w:val="14F0B4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uiPriority w:val="1"/>
    <w:rsid w:val="14F0B435"/>
    <w:pPr>
      <w:spacing w:after="120" w:line="240" w:lineRule="auto"/>
      <w:jc w:val="right"/>
    </w:pPr>
    <w:rPr>
      <w:rFonts w:ascii="Times New Roman" w:hAnsi="Times New Roman" w:cs="Times New Roman"/>
      <w:sz w:val="28"/>
    </w:rPr>
  </w:style>
  <w:style w:type="paragraph" w:customStyle="1" w:styleId="FooterSensitivity">
    <w:name w:val="Footer Sensitivity"/>
    <w:basedOn w:val="Normal"/>
    <w:uiPriority w:val="1"/>
    <w:rsid w:val="14F0B4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Text2">
    <w:name w:val="Text 2"/>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Text3">
    <w:name w:val="Text 3"/>
    <w:basedOn w:val="Normal"/>
    <w:uiPriority w:val="1"/>
    <w:rsid w:val="14F0B435"/>
    <w:pPr>
      <w:keepNext/>
      <w:spacing w:before="40" w:after="0"/>
      <w:ind w:left="1984"/>
      <w:jc w:val="both"/>
    </w:pPr>
    <w:rPr>
      <w:rFonts w:ascii="Times New Roman" w:eastAsiaTheme="minorEastAsia" w:hAnsi="Times New Roman" w:cs="Times New Roman"/>
      <w:sz w:val="24"/>
    </w:rPr>
  </w:style>
  <w:style w:type="paragraph" w:customStyle="1" w:styleId="Text4">
    <w:name w:val="Text 4"/>
    <w:basedOn w:val="Normal"/>
    <w:uiPriority w:val="1"/>
    <w:rsid w:val="14F0B435"/>
    <w:pPr>
      <w:keepNext/>
      <w:spacing w:before="40" w:after="0"/>
      <w:ind w:left="2551"/>
      <w:jc w:val="both"/>
    </w:pPr>
    <w:rPr>
      <w:rFonts w:ascii="Times New Roman" w:eastAsiaTheme="minorEastAsia" w:hAnsi="Times New Roman" w:cs="Times New Roman"/>
      <w:sz w:val="24"/>
    </w:rPr>
  </w:style>
  <w:style w:type="paragraph" w:customStyle="1" w:styleId="NormalCentered">
    <w:name w:val="Normal Centered"/>
    <w:basedOn w:val="Normal"/>
    <w:uiPriority w:val="1"/>
    <w:rsid w:val="14F0B435"/>
    <w:pPr>
      <w:keepNext/>
      <w:spacing w:before="40" w:after="0"/>
      <w:jc w:val="center"/>
    </w:pPr>
    <w:rPr>
      <w:rFonts w:ascii="Times New Roman" w:eastAsiaTheme="minorEastAsia" w:hAnsi="Times New Roman" w:cs="Times New Roman"/>
      <w:sz w:val="24"/>
    </w:rPr>
  </w:style>
  <w:style w:type="paragraph" w:customStyle="1" w:styleId="NormalLeft">
    <w:name w:val="Normal Left"/>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NormalRight">
    <w:name w:val="Normal Right"/>
    <w:basedOn w:val="Normal"/>
    <w:uiPriority w:val="1"/>
    <w:rsid w:val="14F0B435"/>
    <w:pPr>
      <w:keepNext/>
      <w:spacing w:before="40" w:after="0"/>
      <w:jc w:val="right"/>
    </w:pPr>
    <w:rPr>
      <w:rFonts w:ascii="Times New Roman" w:eastAsiaTheme="minorEastAsia" w:hAnsi="Times New Roman" w:cs="Times New Roman"/>
      <w:sz w:val="24"/>
    </w:rPr>
  </w:style>
  <w:style w:type="paragraph" w:customStyle="1" w:styleId="QuotedText">
    <w:name w:val="Quoted Text"/>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Point0">
    <w:name w:val="Point 0"/>
    <w:basedOn w:val="Normal"/>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Point1">
    <w:name w:val="Point 1"/>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Point2">
    <w:name w:val="Point 2"/>
    <w:basedOn w:val="Normal"/>
    <w:uiPriority w:val="1"/>
    <w:rsid w:val="14F0B435"/>
    <w:pPr>
      <w:keepNext/>
      <w:spacing w:before="40" w:after="0"/>
      <w:ind w:left="1984" w:hanging="567"/>
      <w:jc w:val="both"/>
    </w:pPr>
    <w:rPr>
      <w:rFonts w:ascii="Times New Roman" w:eastAsiaTheme="minorEastAsia" w:hAnsi="Times New Roman" w:cs="Times New Roman"/>
      <w:sz w:val="24"/>
    </w:rPr>
  </w:style>
  <w:style w:type="paragraph" w:customStyle="1" w:styleId="Point3">
    <w:name w:val="Point 3"/>
    <w:basedOn w:val="Normal"/>
    <w:uiPriority w:val="1"/>
    <w:rsid w:val="14F0B435"/>
    <w:pPr>
      <w:keepNext/>
      <w:spacing w:before="40" w:after="0"/>
      <w:ind w:left="2551" w:hanging="567"/>
      <w:jc w:val="both"/>
    </w:pPr>
    <w:rPr>
      <w:rFonts w:ascii="Times New Roman" w:eastAsiaTheme="minorEastAsia" w:hAnsi="Times New Roman" w:cs="Times New Roman"/>
      <w:sz w:val="24"/>
    </w:rPr>
  </w:style>
  <w:style w:type="paragraph" w:customStyle="1" w:styleId="Point4">
    <w:name w:val="Point 4"/>
    <w:basedOn w:val="Normal"/>
    <w:uiPriority w:val="1"/>
    <w:rsid w:val="14F0B435"/>
    <w:pPr>
      <w:keepNext/>
      <w:spacing w:before="40" w:after="0"/>
      <w:ind w:left="3118" w:hanging="567"/>
      <w:jc w:val="both"/>
    </w:pPr>
    <w:rPr>
      <w:rFonts w:ascii="Times New Roman" w:eastAsiaTheme="minorEastAsia" w:hAnsi="Times New Roman" w:cs="Times New Roman"/>
      <w:sz w:val="24"/>
    </w:rPr>
  </w:style>
  <w:style w:type="paragraph" w:customStyle="1" w:styleId="Tiret0">
    <w:name w:val="Tiret 0"/>
    <w:basedOn w:val="Point0"/>
    <w:uiPriority w:val="1"/>
    <w:rsid w:val="00B4580D"/>
    <w:pPr>
      <w:numPr>
        <w:numId w:val="1"/>
      </w:numPr>
    </w:pPr>
  </w:style>
  <w:style w:type="paragraph" w:customStyle="1" w:styleId="Tiret1">
    <w:name w:val="Tiret 1"/>
    <w:basedOn w:val="Point1"/>
    <w:uiPriority w:val="1"/>
    <w:rsid w:val="00B4580D"/>
    <w:pPr>
      <w:numPr>
        <w:numId w:val="2"/>
      </w:numPr>
    </w:pPr>
  </w:style>
  <w:style w:type="paragraph" w:customStyle="1" w:styleId="Tiret2">
    <w:name w:val="Tiret 2"/>
    <w:basedOn w:val="Point2"/>
    <w:uiPriority w:val="1"/>
    <w:rsid w:val="00B4580D"/>
    <w:pPr>
      <w:numPr>
        <w:numId w:val="3"/>
      </w:numPr>
    </w:pPr>
  </w:style>
  <w:style w:type="paragraph" w:customStyle="1" w:styleId="Tiret3">
    <w:name w:val="Tiret 3"/>
    <w:basedOn w:val="Point3"/>
    <w:uiPriority w:val="1"/>
    <w:rsid w:val="00B4580D"/>
    <w:pPr>
      <w:numPr>
        <w:numId w:val="4"/>
      </w:numPr>
    </w:pPr>
  </w:style>
  <w:style w:type="paragraph" w:customStyle="1" w:styleId="Tiret4">
    <w:name w:val="Tiret 4"/>
    <w:basedOn w:val="Point4"/>
    <w:uiPriority w:val="1"/>
    <w:rsid w:val="00B4580D"/>
    <w:pPr>
      <w:numPr>
        <w:numId w:val="5"/>
      </w:numPr>
    </w:pPr>
  </w:style>
  <w:style w:type="paragraph" w:customStyle="1" w:styleId="PointDouble0">
    <w:name w:val="PointDouble 0"/>
    <w:basedOn w:val="Normal"/>
    <w:uiPriority w:val="1"/>
    <w:rsid w:val="14F0B435"/>
    <w:pPr>
      <w:keepNext/>
      <w:tabs>
        <w:tab w:val="left" w:pos="850"/>
      </w:tabs>
      <w:spacing w:before="40" w:after="0"/>
      <w:ind w:left="1417" w:hanging="1417"/>
      <w:jc w:val="both"/>
    </w:pPr>
    <w:rPr>
      <w:rFonts w:ascii="Times New Roman" w:eastAsiaTheme="minorEastAsia" w:hAnsi="Times New Roman" w:cs="Times New Roman"/>
      <w:sz w:val="24"/>
    </w:rPr>
  </w:style>
  <w:style w:type="paragraph" w:customStyle="1" w:styleId="PointDouble1">
    <w:name w:val="PointDouble 1"/>
    <w:basedOn w:val="Normal"/>
    <w:uiPriority w:val="1"/>
    <w:rsid w:val="14F0B435"/>
    <w:pPr>
      <w:keepNext/>
      <w:tabs>
        <w:tab w:val="left" w:pos="1417"/>
      </w:tabs>
      <w:spacing w:before="40" w:after="0"/>
      <w:ind w:left="1984" w:hanging="1134"/>
      <w:jc w:val="both"/>
    </w:pPr>
    <w:rPr>
      <w:rFonts w:ascii="Times New Roman" w:eastAsiaTheme="minorEastAsia" w:hAnsi="Times New Roman" w:cs="Times New Roman"/>
      <w:sz w:val="24"/>
    </w:rPr>
  </w:style>
  <w:style w:type="paragraph" w:customStyle="1" w:styleId="PointDouble2">
    <w:name w:val="PointDouble 2"/>
    <w:basedOn w:val="Normal"/>
    <w:uiPriority w:val="1"/>
    <w:rsid w:val="14F0B435"/>
    <w:pPr>
      <w:keepNext/>
      <w:tabs>
        <w:tab w:val="left" w:pos="1984"/>
      </w:tabs>
      <w:spacing w:before="40" w:after="0"/>
      <w:ind w:left="2551" w:hanging="1134"/>
      <w:jc w:val="both"/>
    </w:pPr>
    <w:rPr>
      <w:rFonts w:ascii="Times New Roman" w:eastAsiaTheme="minorEastAsia" w:hAnsi="Times New Roman" w:cs="Times New Roman"/>
      <w:sz w:val="24"/>
    </w:rPr>
  </w:style>
  <w:style w:type="paragraph" w:customStyle="1" w:styleId="PointDouble3">
    <w:name w:val="PointDouble 3"/>
    <w:basedOn w:val="Normal"/>
    <w:uiPriority w:val="1"/>
    <w:rsid w:val="14F0B435"/>
    <w:pPr>
      <w:keepNext/>
      <w:tabs>
        <w:tab w:val="left" w:pos="2551"/>
      </w:tabs>
      <w:spacing w:before="40" w:after="0"/>
      <w:ind w:left="3118" w:hanging="1134"/>
      <w:jc w:val="both"/>
    </w:pPr>
    <w:rPr>
      <w:rFonts w:ascii="Times New Roman" w:eastAsiaTheme="minorEastAsia" w:hAnsi="Times New Roman" w:cs="Times New Roman"/>
      <w:sz w:val="24"/>
    </w:rPr>
  </w:style>
  <w:style w:type="paragraph" w:customStyle="1" w:styleId="PointDouble4">
    <w:name w:val="PointDouble 4"/>
    <w:basedOn w:val="Normal"/>
    <w:uiPriority w:val="1"/>
    <w:rsid w:val="14F0B435"/>
    <w:pPr>
      <w:keepNext/>
      <w:tabs>
        <w:tab w:val="left" w:pos="3118"/>
      </w:tabs>
      <w:spacing w:before="40" w:after="0"/>
      <w:ind w:left="3685" w:hanging="1134"/>
      <w:jc w:val="both"/>
    </w:pPr>
    <w:rPr>
      <w:rFonts w:ascii="Times New Roman" w:eastAsiaTheme="minorEastAsia" w:hAnsi="Times New Roman" w:cs="Times New Roman"/>
      <w:sz w:val="24"/>
    </w:rPr>
  </w:style>
  <w:style w:type="paragraph" w:customStyle="1" w:styleId="PointTriple0">
    <w:name w:val="PointTriple 0"/>
    <w:basedOn w:val="Normal"/>
    <w:uiPriority w:val="1"/>
    <w:rsid w:val="14F0B435"/>
    <w:pPr>
      <w:keepNext/>
      <w:tabs>
        <w:tab w:val="left" w:pos="850"/>
        <w:tab w:val="left" w:pos="1417"/>
      </w:tabs>
      <w:spacing w:before="40" w:after="0"/>
      <w:ind w:left="1984" w:hanging="1984"/>
      <w:jc w:val="both"/>
    </w:pPr>
    <w:rPr>
      <w:rFonts w:ascii="Times New Roman" w:eastAsiaTheme="minorEastAsia" w:hAnsi="Times New Roman" w:cs="Times New Roman"/>
      <w:sz w:val="24"/>
    </w:rPr>
  </w:style>
  <w:style w:type="paragraph" w:customStyle="1" w:styleId="PointTriple1">
    <w:name w:val="PointTriple 1"/>
    <w:basedOn w:val="Normal"/>
    <w:uiPriority w:val="1"/>
    <w:rsid w:val="14F0B435"/>
    <w:pPr>
      <w:keepNext/>
      <w:tabs>
        <w:tab w:val="left" w:pos="1417"/>
        <w:tab w:val="left" w:pos="1984"/>
      </w:tabs>
      <w:spacing w:before="40" w:after="0"/>
      <w:ind w:left="2551" w:hanging="1701"/>
      <w:jc w:val="both"/>
    </w:pPr>
    <w:rPr>
      <w:rFonts w:ascii="Times New Roman" w:eastAsiaTheme="minorEastAsia" w:hAnsi="Times New Roman" w:cs="Times New Roman"/>
      <w:sz w:val="24"/>
    </w:rPr>
  </w:style>
  <w:style w:type="paragraph" w:customStyle="1" w:styleId="PointTriple2">
    <w:name w:val="PointTriple 2"/>
    <w:basedOn w:val="Normal"/>
    <w:uiPriority w:val="1"/>
    <w:rsid w:val="14F0B435"/>
    <w:pPr>
      <w:keepNext/>
      <w:tabs>
        <w:tab w:val="left" w:pos="1984"/>
        <w:tab w:val="left" w:pos="2551"/>
      </w:tabs>
      <w:spacing w:before="40" w:after="0"/>
      <w:ind w:left="3118" w:hanging="1701"/>
      <w:jc w:val="both"/>
    </w:pPr>
    <w:rPr>
      <w:rFonts w:ascii="Times New Roman" w:eastAsiaTheme="minorEastAsia" w:hAnsi="Times New Roman" w:cs="Times New Roman"/>
      <w:sz w:val="24"/>
    </w:rPr>
  </w:style>
  <w:style w:type="paragraph" w:customStyle="1" w:styleId="PointTriple3">
    <w:name w:val="PointTriple 3"/>
    <w:basedOn w:val="Normal"/>
    <w:uiPriority w:val="1"/>
    <w:rsid w:val="14F0B435"/>
    <w:pPr>
      <w:keepNext/>
      <w:tabs>
        <w:tab w:val="left" w:pos="2551"/>
        <w:tab w:val="left" w:pos="3118"/>
      </w:tabs>
      <w:spacing w:before="40" w:after="0"/>
      <w:ind w:left="3685" w:hanging="1701"/>
      <w:jc w:val="both"/>
    </w:pPr>
    <w:rPr>
      <w:rFonts w:ascii="Times New Roman" w:eastAsiaTheme="minorEastAsia" w:hAnsi="Times New Roman" w:cs="Times New Roman"/>
      <w:sz w:val="24"/>
    </w:rPr>
  </w:style>
  <w:style w:type="paragraph" w:customStyle="1" w:styleId="PointTriple4">
    <w:name w:val="PointTriple 4"/>
    <w:basedOn w:val="Normal"/>
    <w:uiPriority w:val="1"/>
    <w:rsid w:val="14F0B435"/>
    <w:pPr>
      <w:keepNext/>
      <w:tabs>
        <w:tab w:val="left" w:pos="3118"/>
        <w:tab w:val="left" w:pos="3685"/>
      </w:tabs>
      <w:spacing w:before="40" w:after="0"/>
      <w:ind w:left="4252" w:hanging="1701"/>
      <w:jc w:val="both"/>
    </w:pPr>
    <w:rPr>
      <w:rFonts w:ascii="Times New Roman" w:eastAsiaTheme="minorEastAsia" w:hAnsi="Times New Roman" w:cs="Times New Roman"/>
      <w:sz w:val="24"/>
    </w:rPr>
  </w:style>
  <w:style w:type="paragraph" w:customStyle="1" w:styleId="NumPar1">
    <w:name w:val="NumPar 1"/>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2">
    <w:name w:val="NumPar 2"/>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3">
    <w:name w:val="NumPar 3"/>
    <w:basedOn w:val="Normal"/>
    <w:next w:val="Text1"/>
    <w:uiPriority w:val="1"/>
    <w:rsid w:val="29DEDBAE"/>
    <w:pPr>
      <w:keepNext/>
      <w:numPr>
        <w:ilvl w:val="2"/>
        <w:numId w:val="6"/>
      </w:numPr>
      <w:spacing w:before="40" w:after="0"/>
      <w:jc w:val="both"/>
    </w:pPr>
    <w:rPr>
      <w:rFonts w:ascii="Times New Roman" w:eastAsiaTheme="minorEastAsia" w:hAnsi="Times New Roman" w:cs="Times New Roman"/>
      <w:sz w:val="24"/>
    </w:rPr>
  </w:style>
  <w:style w:type="paragraph" w:customStyle="1" w:styleId="NumPar4">
    <w:name w:val="NumPar 4"/>
    <w:basedOn w:val="Normal"/>
    <w:next w:val="Text1"/>
    <w:uiPriority w:val="1"/>
    <w:rsid w:val="29DEDBAE"/>
    <w:pPr>
      <w:keepNext/>
      <w:numPr>
        <w:ilvl w:val="3"/>
        <w:numId w:val="6"/>
      </w:numPr>
      <w:spacing w:before="40" w:after="0"/>
      <w:jc w:val="both"/>
    </w:pPr>
    <w:rPr>
      <w:rFonts w:ascii="Times New Roman" w:eastAsiaTheme="minorEastAsia" w:hAnsi="Times New Roman" w:cs="Times New Roman"/>
      <w:sz w:val="24"/>
    </w:rPr>
  </w:style>
  <w:style w:type="paragraph" w:customStyle="1" w:styleId="ManualNumPar1">
    <w:name w:val="Manual NumPar 1"/>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2">
    <w:name w:val="Manual NumPar 2"/>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3">
    <w:name w:val="Manual NumPar 3"/>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4">
    <w:name w:val="Manual NumPar 4"/>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QuotedNumPar">
    <w:name w:val="Quoted NumPar"/>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ManualHeading1">
    <w:name w:val="Manual Heading 1"/>
    <w:basedOn w:val="Normal"/>
    <w:next w:val="Text1"/>
    <w:uiPriority w:val="1"/>
    <w:rsid w:val="14F0B435"/>
    <w:pPr>
      <w:keepNext/>
      <w:tabs>
        <w:tab w:val="left" w:pos="850"/>
      </w:tabs>
      <w:spacing w:before="360" w:after="0"/>
      <w:ind w:hanging="850"/>
      <w:jc w:val="both"/>
      <w:outlineLvl w:val="0"/>
    </w:pPr>
    <w:rPr>
      <w:rFonts w:ascii="Times New Roman" w:eastAsiaTheme="minorEastAsia" w:hAnsi="Times New Roman" w:cs="Times New Roman"/>
      <w:b/>
      <w:smallCaps/>
      <w:sz w:val="24"/>
    </w:rPr>
  </w:style>
  <w:style w:type="paragraph" w:customStyle="1" w:styleId="ManualHeading2">
    <w:name w:val="Manual Heading 2"/>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b/>
      <w:sz w:val="24"/>
    </w:rPr>
  </w:style>
  <w:style w:type="paragraph" w:customStyle="1" w:styleId="ManualHeading3">
    <w:name w:val="Manual Heading 3"/>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i/>
      <w:sz w:val="24"/>
    </w:rPr>
  </w:style>
  <w:style w:type="paragraph" w:customStyle="1" w:styleId="ManualHeading4">
    <w:name w:val="Manual Heading 4"/>
    <w:basedOn w:val="Normal"/>
    <w:next w:val="Text1"/>
    <w:uiPriority w:val="1"/>
    <w:rsid w:val="14F0B435"/>
    <w:pPr>
      <w:keepNext/>
      <w:tabs>
        <w:tab w:val="left" w:pos="850"/>
      </w:tabs>
      <w:spacing w:before="40" w:after="0"/>
      <w:ind w:hanging="850"/>
      <w:jc w:val="both"/>
      <w:outlineLvl w:val="3"/>
    </w:pPr>
    <w:rPr>
      <w:rFonts w:ascii="Times New Roman" w:eastAsiaTheme="minorEastAsia" w:hAnsi="Times New Roman" w:cs="Times New Roman"/>
      <w:sz w:val="24"/>
    </w:rPr>
  </w:style>
  <w:style w:type="paragraph" w:customStyle="1" w:styleId="ChapterTitle">
    <w:name w:val="ChapterTitle"/>
    <w:basedOn w:val="Normal"/>
    <w:next w:val="Normal"/>
    <w:uiPriority w:val="1"/>
    <w:rsid w:val="14F0B435"/>
    <w:pPr>
      <w:keepNext/>
      <w:spacing w:before="40" w:after="360"/>
      <w:jc w:val="center"/>
    </w:pPr>
    <w:rPr>
      <w:rFonts w:ascii="Times New Roman" w:eastAsiaTheme="minorEastAsia" w:hAnsi="Times New Roman" w:cs="Times New Roman"/>
      <w:b/>
      <w:sz w:val="32"/>
    </w:rPr>
  </w:style>
  <w:style w:type="paragraph" w:customStyle="1" w:styleId="PartTitle">
    <w:name w:val="PartTitle"/>
    <w:basedOn w:val="Normal"/>
    <w:next w:val="ChapterTitle"/>
    <w:uiPriority w:val="1"/>
    <w:rsid w:val="14F0B435"/>
    <w:pPr>
      <w:keepNext/>
      <w:spacing w:before="40" w:after="360"/>
      <w:jc w:val="center"/>
    </w:pPr>
    <w:rPr>
      <w:rFonts w:ascii="Times New Roman" w:eastAsiaTheme="minorEastAsia" w:hAnsi="Times New Roman" w:cs="Times New Roman"/>
      <w:b/>
      <w:sz w:val="36"/>
    </w:rPr>
  </w:style>
  <w:style w:type="paragraph" w:customStyle="1" w:styleId="SectionTitle">
    <w:name w:val="SectionTitle"/>
    <w:basedOn w:val="Normal"/>
    <w:next w:val="Heading1"/>
    <w:uiPriority w:val="1"/>
    <w:rsid w:val="14F0B435"/>
    <w:pPr>
      <w:keepNext/>
      <w:spacing w:before="40" w:after="360"/>
      <w:jc w:val="center"/>
    </w:pPr>
    <w:rPr>
      <w:rFonts w:ascii="Times New Roman" w:eastAsiaTheme="minorEastAsia" w:hAnsi="Times New Roman" w:cs="Times New Roman"/>
      <w:b/>
      <w:smallCaps/>
      <w:sz w:val="28"/>
    </w:rPr>
  </w:style>
  <w:style w:type="paragraph" w:customStyle="1" w:styleId="TableTitle">
    <w:name w:val="Table Title"/>
    <w:basedOn w:val="Normal"/>
    <w:next w:val="Normal"/>
    <w:uiPriority w:val="1"/>
    <w:rsid w:val="14F0B435"/>
    <w:pPr>
      <w:keepNext/>
      <w:spacing w:before="40" w:after="0"/>
      <w:jc w:val="center"/>
    </w:pPr>
    <w:rPr>
      <w:rFonts w:ascii="Times New Roman" w:eastAsiaTheme="minorEastAsia" w:hAnsi="Times New Roman" w:cs="Times New Roman"/>
      <w:b/>
      <w:sz w:val="24"/>
    </w:rPr>
  </w:style>
  <w:style w:type="character" w:customStyle="1" w:styleId="Marker">
    <w:name w:val="Marker"/>
    <w:basedOn w:val="DefaultParagraphFont"/>
    <w:rsid w:val="00EE72C8"/>
    <w:rPr>
      <w:color w:val="0000FF"/>
      <w:shd w:val="clear" w:color="auto" w:fill="auto"/>
    </w:rPr>
  </w:style>
  <w:style w:type="character" w:customStyle="1" w:styleId="Marker1">
    <w:name w:val="Marker1"/>
    <w:basedOn w:val="DefaultParagraphFont"/>
    <w:rsid w:val="00B4580D"/>
    <w:rPr>
      <w:color w:val="008000"/>
      <w:shd w:val="clear" w:color="auto" w:fill="auto"/>
    </w:rPr>
  </w:style>
  <w:style w:type="character" w:customStyle="1" w:styleId="Marker2">
    <w:name w:val="Marker2"/>
    <w:basedOn w:val="DefaultParagraphFont"/>
    <w:rsid w:val="00B4580D"/>
    <w:rPr>
      <w:color w:val="FF0000"/>
      <w:shd w:val="clear" w:color="auto" w:fill="auto"/>
    </w:rPr>
  </w:style>
  <w:style w:type="paragraph" w:customStyle="1" w:styleId="Point0number">
    <w:name w:val="Point 0 (numb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number">
    <w:name w:val="Point 1 (number)"/>
    <w:basedOn w:val="Normal"/>
    <w:uiPriority w:val="1"/>
    <w:rsid w:val="29DEDBAE"/>
    <w:pPr>
      <w:keepNext/>
      <w:numPr>
        <w:ilvl w:val="2"/>
        <w:numId w:val="8"/>
      </w:numPr>
      <w:spacing w:before="40" w:after="0"/>
      <w:jc w:val="both"/>
    </w:pPr>
    <w:rPr>
      <w:rFonts w:ascii="Times New Roman" w:eastAsiaTheme="minorEastAsia" w:hAnsi="Times New Roman" w:cs="Times New Roman"/>
      <w:sz w:val="24"/>
    </w:rPr>
  </w:style>
  <w:style w:type="paragraph" w:customStyle="1" w:styleId="Point2number">
    <w:name w:val="Point 2 (number)"/>
    <w:basedOn w:val="Normal"/>
    <w:uiPriority w:val="1"/>
    <w:rsid w:val="29DEDBAE"/>
    <w:pPr>
      <w:keepNext/>
      <w:numPr>
        <w:ilvl w:val="4"/>
        <w:numId w:val="8"/>
      </w:numPr>
      <w:spacing w:before="40" w:after="0"/>
      <w:jc w:val="both"/>
    </w:pPr>
    <w:rPr>
      <w:rFonts w:ascii="Times New Roman" w:eastAsiaTheme="minorEastAsia" w:hAnsi="Times New Roman" w:cs="Times New Roman"/>
      <w:sz w:val="24"/>
    </w:rPr>
  </w:style>
  <w:style w:type="paragraph" w:customStyle="1" w:styleId="Point3number">
    <w:name w:val="Point 3 (number)"/>
    <w:basedOn w:val="Normal"/>
    <w:uiPriority w:val="1"/>
    <w:rsid w:val="29DEDBAE"/>
    <w:pPr>
      <w:keepNext/>
      <w:numPr>
        <w:ilvl w:val="6"/>
        <w:numId w:val="8"/>
      </w:numPr>
      <w:spacing w:before="40" w:after="0"/>
      <w:jc w:val="both"/>
    </w:pPr>
    <w:rPr>
      <w:rFonts w:ascii="Times New Roman" w:eastAsiaTheme="minorEastAsia" w:hAnsi="Times New Roman" w:cs="Times New Roman"/>
      <w:sz w:val="24"/>
    </w:rPr>
  </w:style>
  <w:style w:type="paragraph" w:customStyle="1" w:styleId="Point0letter">
    <w:name w:val="Point 0 (lett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letter">
    <w:name w:val="Point 1 (letter)"/>
    <w:basedOn w:val="Normal"/>
    <w:uiPriority w:val="1"/>
    <w:rsid w:val="29DEDBAE"/>
    <w:pPr>
      <w:keepNext/>
      <w:numPr>
        <w:ilvl w:val="3"/>
        <w:numId w:val="8"/>
      </w:numPr>
      <w:spacing w:before="40" w:after="0"/>
      <w:jc w:val="both"/>
    </w:pPr>
    <w:rPr>
      <w:rFonts w:ascii="Times New Roman" w:eastAsiaTheme="minorEastAsia" w:hAnsi="Times New Roman" w:cs="Times New Roman"/>
      <w:sz w:val="24"/>
    </w:rPr>
  </w:style>
  <w:style w:type="paragraph" w:customStyle="1" w:styleId="Point2letter">
    <w:name w:val="Point 2 (letter)"/>
    <w:basedOn w:val="Normal"/>
    <w:uiPriority w:val="1"/>
    <w:rsid w:val="29DEDBAE"/>
    <w:pPr>
      <w:keepNext/>
      <w:numPr>
        <w:ilvl w:val="5"/>
        <w:numId w:val="8"/>
      </w:numPr>
      <w:spacing w:before="40" w:after="0"/>
      <w:jc w:val="both"/>
    </w:pPr>
    <w:rPr>
      <w:rFonts w:ascii="Times New Roman" w:eastAsiaTheme="minorEastAsia" w:hAnsi="Times New Roman" w:cs="Times New Roman"/>
      <w:sz w:val="24"/>
    </w:rPr>
  </w:style>
  <w:style w:type="paragraph" w:customStyle="1" w:styleId="Point3letter">
    <w:name w:val="Point 3 (letter)"/>
    <w:basedOn w:val="Normal"/>
    <w:uiPriority w:val="1"/>
    <w:rsid w:val="29DEDBAE"/>
    <w:pPr>
      <w:keepNext/>
      <w:numPr>
        <w:ilvl w:val="7"/>
        <w:numId w:val="8"/>
      </w:numPr>
      <w:spacing w:before="40" w:after="0"/>
      <w:jc w:val="both"/>
    </w:pPr>
    <w:rPr>
      <w:rFonts w:ascii="Times New Roman" w:eastAsiaTheme="minorEastAsia" w:hAnsi="Times New Roman" w:cs="Times New Roman"/>
      <w:sz w:val="24"/>
    </w:rPr>
  </w:style>
  <w:style w:type="paragraph" w:customStyle="1" w:styleId="Point4letter">
    <w:name w:val="Point 4 (letter)"/>
    <w:basedOn w:val="Normal"/>
    <w:uiPriority w:val="1"/>
    <w:rsid w:val="29DEDBAE"/>
    <w:pPr>
      <w:keepNext/>
      <w:numPr>
        <w:ilvl w:val="8"/>
        <w:numId w:val="8"/>
      </w:numPr>
      <w:spacing w:before="40" w:after="0"/>
      <w:jc w:val="both"/>
    </w:pPr>
    <w:rPr>
      <w:rFonts w:ascii="Times New Roman" w:eastAsiaTheme="minorEastAsia" w:hAnsi="Times New Roman" w:cs="Times New Roman"/>
      <w:sz w:val="24"/>
    </w:rPr>
  </w:style>
  <w:style w:type="paragraph" w:customStyle="1" w:styleId="Bullet0">
    <w:name w:val="Bullet 0"/>
    <w:basedOn w:val="Normal"/>
    <w:uiPriority w:val="1"/>
    <w:rsid w:val="29DEDBAE"/>
    <w:pPr>
      <w:keepNext/>
      <w:numPr>
        <w:numId w:val="9"/>
      </w:numPr>
      <w:spacing w:before="40" w:after="0"/>
      <w:jc w:val="both"/>
    </w:pPr>
    <w:rPr>
      <w:rFonts w:ascii="Times New Roman" w:eastAsiaTheme="minorEastAsia" w:hAnsi="Times New Roman" w:cs="Times New Roman"/>
      <w:sz w:val="24"/>
    </w:rPr>
  </w:style>
  <w:style w:type="paragraph" w:customStyle="1" w:styleId="Bullet1">
    <w:name w:val="Bullet 1"/>
    <w:basedOn w:val="Normal"/>
    <w:uiPriority w:val="1"/>
    <w:rsid w:val="29DEDBAE"/>
    <w:pPr>
      <w:keepNext/>
      <w:numPr>
        <w:numId w:val="10"/>
      </w:numPr>
      <w:spacing w:before="40" w:after="0"/>
      <w:jc w:val="both"/>
    </w:pPr>
    <w:rPr>
      <w:rFonts w:ascii="Times New Roman" w:eastAsiaTheme="minorEastAsia" w:hAnsi="Times New Roman" w:cs="Times New Roman"/>
      <w:sz w:val="24"/>
    </w:rPr>
  </w:style>
  <w:style w:type="paragraph" w:customStyle="1" w:styleId="Bullet2">
    <w:name w:val="Bullet 2"/>
    <w:basedOn w:val="Normal"/>
    <w:uiPriority w:val="1"/>
    <w:rsid w:val="29DEDBAE"/>
    <w:pPr>
      <w:keepNext/>
      <w:numPr>
        <w:numId w:val="11"/>
      </w:numPr>
      <w:spacing w:before="40" w:after="0"/>
      <w:jc w:val="both"/>
    </w:pPr>
    <w:rPr>
      <w:rFonts w:ascii="Times New Roman" w:eastAsiaTheme="minorEastAsia" w:hAnsi="Times New Roman" w:cs="Times New Roman"/>
      <w:sz w:val="24"/>
    </w:rPr>
  </w:style>
  <w:style w:type="paragraph" w:customStyle="1" w:styleId="Bullet3">
    <w:name w:val="Bullet 3"/>
    <w:basedOn w:val="Normal"/>
    <w:uiPriority w:val="1"/>
    <w:rsid w:val="29DEDBAE"/>
    <w:pPr>
      <w:keepNext/>
      <w:numPr>
        <w:numId w:val="12"/>
      </w:numPr>
      <w:spacing w:before="40" w:after="0"/>
      <w:jc w:val="both"/>
    </w:pPr>
    <w:rPr>
      <w:rFonts w:ascii="Times New Roman" w:eastAsiaTheme="minorEastAsia" w:hAnsi="Times New Roman" w:cs="Times New Roman"/>
      <w:sz w:val="24"/>
    </w:rPr>
  </w:style>
  <w:style w:type="paragraph" w:customStyle="1" w:styleId="Bullet4">
    <w:name w:val="Bullet 4"/>
    <w:basedOn w:val="Normal"/>
    <w:uiPriority w:val="1"/>
    <w:rsid w:val="29DEDBAE"/>
    <w:pPr>
      <w:keepNext/>
      <w:numPr>
        <w:numId w:val="13"/>
      </w:numPr>
      <w:spacing w:before="40" w:after="0"/>
      <w:jc w:val="both"/>
    </w:pPr>
    <w:rPr>
      <w:rFonts w:ascii="Times New Roman" w:eastAsiaTheme="minorEastAsia" w:hAnsi="Times New Roman" w:cs="Times New Roman"/>
      <w:sz w:val="24"/>
    </w:rPr>
  </w:style>
  <w:style w:type="paragraph" w:customStyle="1" w:styleId="Langue">
    <w:name w:val="Langue"/>
    <w:basedOn w:val="Normal"/>
    <w:next w:val="Rfrenceinterne"/>
    <w:uiPriority w:val="1"/>
    <w:rsid w:val="14F0B435"/>
    <w:pPr>
      <w:keepNext/>
      <w:spacing w:after="600"/>
      <w:jc w:val="center"/>
    </w:pPr>
    <w:rPr>
      <w:rFonts w:ascii="Times New Roman" w:eastAsiaTheme="minorEastAsia" w:hAnsi="Times New Roman" w:cs="Times New Roman"/>
      <w:b/>
      <w:caps/>
      <w:sz w:val="24"/>
    </w:rPr>
  </w:style>
  <w:style w:type="paragraph" w:customStyle="1" w:styleId="Nomdelinstitution">
    <w:name w:val="Nom de l'institution"/>
    <w:basedOn w:val="Normal"/>
    <w:next w:val="Emission"/>
    <w:uiPriority w:val="1"/>
    <w:rsid w:val="14F0B435"/>
    <w:pPr>
      <w:keepNext/>
      <w:spacing w:after="0"/>
      <w:jc w:val="both"/>
    </w:pPr>
    <w:rPr>
      <w:rFonts w:ascii="Arial" w:eastAsiaTheme="minorEastAsia" w:hAnsi="Arial" w:cs="Arial"/>
      <w:sz w:val="24"/>
    </w:rPr>
  </w:style>
  <w:style w:type="paragraph" w:customStyle="1" w:styleId="Emission">
    <w:name w:val="Emission"/>
    <w:basedOn w:val="Normal"/>
    <w:next w:val="Rfrence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stitutionnelle">
    <w:name w:val="Référence institutionnell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Pagedecouverture">
    <w:name w:val="Page de couverture"/>
    <w:basedOn w:val="Normal"/>
    <w:next w:val="Normal"/>
    <w:link w:val="PagedecouvertureChar"/>
    <w:uiPriority w:val="1"/>
    <w:rsid w:val="14F0B435"/>
    <w:pPr>
      <w:keepNext/>
      <w:spacing w:after="0"/>
      <w:jc w:val="both"/>
    </w:pPr>
    <w:rPr>
      <w:rFonts w:ascii="Times New Roman" w:eastAsiaTheme="minorEastAsia" w:hAnsi="Times New Roman" w:cs="Times New Roman"/>
      <w:sz w:val="24"/>
    </w:rPr>
  </w:style>
  <w:style w:type="paragraph" w:customStyle="1" w:styleId="Declassification">
    <w:name w:val="Declassification"/>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isclaimer">
    <w:name w:val="Disclaimer"/>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B4580D"/>
    <w:pPr>
      <w:spacing w:after="0"/>
      <w:ind w:left="5103"/>
    </w:pPr>
    <w:rPr>
      <w:rFonts w:ascii="Times New Roman" w:hAnsi="Times New Roman" w:cs="Times New Roman"/>
      <w:sz w:val="28"/>
    </w:rPr>
  </w:style>
  <w:style w:type="paragraph" w:customStyle="1" w:styleId="DateMarking">
    <w:name w:val="DateMarking"/>
    <w:basedOn w:val="Normal"/>
    <w:uiPriority w:val="1"/>
    <w:rsid w:val="00B4580D"/>
    <w:pPr>
      <w:spacing w:after="0"/>
      <w:ind w:left="5103"/>
    </w:pPr>
    <w:rPr>
      <w:rFonts w:ascii="Times New Roman" w:hAnsi="Times New Roman" w:cs="Times New Roman"/>
      <w:i/>
      <w:sz w:val="28"/>
    </w:rPr>
  </w:style>
  <w:style w:type="paragraph" w:customStyle="1" w:styleId="ReleasableTo">
    <w:name w:val="ReleasableTo"/>
    <w:basedOn w:val="Normal"/>
    <w:uiPriority w:val="1"/>
    <w:rsid w:val="00B4580D"/>
    <w:pPr>
      <w:spacing w:after="0"/>
      <w:ind w:left="5103"/>
    </w:pPr>
    <w:rPr>
      <w:rFonts w:ascii="Times New Roman" w:hAnsi="Times New Roman" w:cs="Times New Roman"/>
      <w:i/>
      <w:sz w:val="28"/>
    </w:rPr>
  </w:style>
  <w:style w:type="paragraph" w:customStyle="1" w:styleId="Annexetitreexpos">
    <w:name w:val="Annexe titre (exposé)"/>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
    <w:name w:val="Annex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fichefinancire">
    <w:name w:val="Annexe titre (fiche financiè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pplicationdirecte">
    <w:name w:val="Application directe"/>
    <w:basedOn w:val="Normal"/>
    <w:next w:val="Fait"/>
    <w:uiPriority w:val="1"/>
    <w:rsid w:val="14F0B435"/>
    <w:pPr>
      <w:keepNext/>
      <w:spacing w:before="480" w:after="0"/>
      <w:jc w:val="both"/>
    </w:pPr>
    <w:rPr>
      <w:rFonts w:ascii="Times New Roman" w:eastAsiaTheme="minorEastAsia" w:hAnsi="Times New Roman" w:cs="Times New Roman"/>
      <w:sz w:val="24"/>
    </w:rPr>
  </w:style>
  <w:style w:type="paragraph" w:customStyle="1" w:styleId="Avertissementtitre">
    <w:name w:val="Avertissement titre"/>
    <w:basedOn w:val="Normal"/>
    <w:next w:val="Normal"/>
    <w:uiPriority w:val="1"/>
    <w:rsid w:val="14F0B435"/>
    <w:pPr>
      <w:keepNext/>
      <w:spacing w:before="480" w:after="0"/>
      <w:jc w:val="both"/>
    </w:pPr>
    <w:rPr>
      <w:rFonts w:ascii="Times New Roman" w:eastAsiaTheme="minorEastAsia" w:hAnsi="Times New Roman" w:cs="Times New Roman"/>
      <w:sz w:val="24"/>
      <w:u w:val="single"/>
    </w:rPr>
  </w:style>
  <w:style w:type="paragraph" w:customStyle="1" w:styleId="Confidence">
    <w:name w:val="Confidence"/>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Confidentialit">
    <w:name w:val="Confidentialité"/>
    <w:basedOn w:val="Normal"/>
    <w:next w:val="TypedudocumentPagedecouverture"/>
    <w:uiPriority w:val="1"/>
    <w:rsid w:val="14F0B435"/>
    <w:pPr>
      <w:keepNext/>
      <w:spacing w:before="240" w:after="0"/>
      <w:ind w:left="5103"/>
      <w:jc w:val="both"/>
    </w:pPr>
    <w:rPr>
      <w:rFonts w:ascii="Times New Roman" w:eastAsiaTheme="minorEastAsia" w:hAnsi="Times New Roman" w:cs="Times New Roman"/>
      <w:i/>
      <w:sz w:val="32"/>
    </w:rPr>
  </w:style>
  <w:style w:type="paragraph" w:customStyle="1" w:styleId="Considrant">
    <w:name w:val="Considérant"/>
    <w:basedOn w:val="Normal"/>
    <w:uiPriority w:val="1"/>
    <w:rsid w:val="29DEDBAE"/>
    <w:pPr>
      <w:keepNext/>
      <w:numPr>
        <w:numId w:val="14"/>
      </w:numPr>
      <w:spacing w:before="40" w:after="0"/>
      <w:jc w:val="both"/>
    </w:pPr>
    <w:rPr>
      <w:rFonts w:ascii="Times New Roman" w:eastAsiaTheme="minorEastAsia" w:hAnsi="Times New Roman" w:cs="Times New Roman"/>
      <w:sz w:val="24"/>
    </w:rPr>
  </w:style>
  <w:style w:type="paragraph" w:customStyle="1" w:styleId="Corrigendum">
    <w:name w:val="Corrigendum"/>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atedadoption">
    <w:name w:val="Date d'adoption"/>
    <w:basedOn w:val="Normal"/>
    <w:next w:val="IntrtEEE"/>
    <w:uiPriority w:val="1"/>
    <w:rsid w:val="14F0B435"/>
    <w:pPr>
      <w:keepNext/>
      <w:spacing w:before="360" w:after="0"/>
      <w:jc w:val="center"/>
    </w:pPr>
    <w:rPr>
      <w:rFonts w:ascii="Times New Roman" w:eastAsiaTheme="minorEastAsia" w:hAnsi="Times New Roman" w:cs="Times New Roman"/>
      <w:b/>
      <w:sz w:val="24"/>
    </w:rPr>
  </w:style>
  <w:style w:type="paragraph" w:customStyle="1" w:styleId="Exposdesmotifstitre">
    <w:name w:val="Exposé des motifs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Fait">
    <w:name w:val="Fait à"/>
    <w:basedOn w:val="Normal"/>
    <w:next w:val="Institutionquisigne"/>
    <w:uiPriority w:val="1"/>
    <w:rsid w:val="14F0B435"/>
    <w:pPr>
      <w:keepNext/>
      <w:spacing w:before="40" w:after="0"/>
      <w:jc w:val="both"/>
    </w:pPr>
    <w:rPr>
      <w:rFonts w:ascii="Times New Roman" w:eastAsiaTheme="minorEastAsia" w:hAnsi="Times New Roman" w:cs="Times New Roman"/>
      <w:sz w:val="24"/>
    </w:rPr>
  </w:style>
  <w:style w:type="paragraph" w:customStyle="1" w:styleId="Formuledadoption">
    <w:name w:val="Formule d'adoption"/>
    <w:basedOn w:val="Normal"/>
    <w:next w:val="Titrearticle"/>
    <w:uiPriority w:val="1"/>
    <w:rsid w:val="14F0B435"/>
    <w:pPr>
      <w:keepNext/>
      <w:spacing w:before="40" w:after="0"/>
      <w:jc w:val="both"/>
    </w:pPr>
    <w:rPr>
      <w:rFonts w:ascii="Times New Roman" w:eastAsiaTheme="minorEastAsia" w:hAnsi="Times New Roman" w:cs="Times New Roman"/>
      <w:sz w:val="24"/>
    </w:rPr>
  </w:style>
  <w:style w:type="paragraph" w:customStyle="1" w:styleId="Institutionquiagit">
    <w:name w:val="Institution qui agit"/>
    <w:basedOn w:val="Normal"/>
    <w:next w:val="Normal"/>
    <w:uiPriority w:val="1"/>
    <w:rsid w:val="14F0B435"/>
    <w:pPr>
      <w:keepNext/>
      <w:spacing w:before="600" w:after="0"/>
      <w:jc w:val="both"/>
    </w:pPr>
    <w:rPr>
      <w:rFonts w:ascii="Times New Roman" w:eastAsiaTheme="minorEastAsia" w:hAnsi="Times New Roman" w:cs="Times New Roman"/>
      <w:sz w:val="24"/>
    </w:rPr>
  </w:style>
  <w:style w:type="paragraph" w:customStyle="1" w:styleId="Institutionquisigne">
    <w:name w:val="Institution qui signe"/>
    <w:basedOn w:val="Normal"/>
    <w:next w:val="Personnequisigne"/>
    <w:uiPriority w:val="1"/>
    <w:rsid w:val="14F0B435"/>
    <w:pPr>
      <w:keepNext/>
      <w:tabs>
        <w:tab w:val="left" w:pos="4252"/>
      </w:tabs>
      <w:spacing w:before="720" w:after="0"/>
      <w:jc w:val="both"/>
    </w:pPr>
    <w:rPr>
      <w:rFonts w:ascii="Times New Roman" w:eastAsiaTheme="minorEastAsia" w:hAnsi="Times New Roman" w:cs="Times New Roman"/>
      <w:i/>
      <w:sz w:val="24"/>
    </w:rPr>
  </w:style>
  <w:style w:type="paragraph" w:customStyle="1" w:styleId="ManualConsidrant">
    <w:name w:val="Manual Considérant"/>
    <w:basedOn w:val="Normal"/>
    <w:uiPriority w:val="1"/>
    <w:rsid w:val="14F0B435"/>
    <w:pPr>
      <w:keepNext/>
      <w:spacing w:before="40" w:after="0"/>
      <w:ind w:left="709" w:hanging="709"/>
      <w:jc w:val="both"/>
    </w:pPr>
    <w:rPr>
      <w:rFonts w:ascii="Times New Roman" w:eastAsiaTheme="minorEastAsia" w:hAnsi="Times New Roman" w:cs="Times New Roman"/>
      <w:sz w:val="24"/>
    </w:rPr>
  </w:style>
  <w:style w:type="paragraph" w:customStyle="1" w:styleId="Personnequisigne">
    <w:name w:val="Personne qui signe"/>
    <w:basedOn w:val="Normal"/>
    <w:next w:val="Institutionquisigne"/>
    <w:uiPriority w:val="1"/>
    <w:rsid w:val="14F0B435"/>
    <w:pPr>
      <w:keepNext/>
      <w:tabs>
        <w:tab w:val="left" w:pos="4252"/>
      </w:tabs>
      <w:spacing w:after="0"/>
      <w:jc w:val="both"/>
    </w:pPr>
    <w:rPr>
      <w:rFonts w:ascii="Times New Roman" w:eastAsiaTheme="minorEastAsia" w:hAnsi="Times New Roman" w:cs="Times New Roman"/>
      <w:i/>
      <w:sz w:val="24"/>
    </w:rPr>
  </w:style>
  <w:style w:type="paragraph" w:customStyle="1" w:styleId="Rfrenceinterinstitutionnelle">
    <w:name w:val="Référence interinstitutionnelle"/>
    <w:basedOn w:val="Normal"/>
    <w:next w:val="Statut"/>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terne">
    <w:name w:val="Référence interne"/>
    <w:basedOn w:val="Normal"/>
    <w:next w:val="Rfrenceinter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Statut">
    <w:name w:val="Statut"/>
    <w:basedOn w:val="Normal"/>
    <w:next w:val="Typedudocument"/>
    <w:uiPriority w:val="1"/>
    <w:rsid w:val="14F0B435"/>
    <w:pPr>
      <w:keepNext/>
      <w:spacing w:after="0"/>
      <w:jc w:val="center"/>
    </w:pPr>
    <w:rPr>
      <w:rFonts w:ascii="Times New Roman" w:eastAsiaTheme="minorEastAsia" w:hAnsi="Times New Roman" w:cs="Times New Roman"/>
      <w:sz w:val="24"/>
    </w:rPr>
  </w:style>
  <w:style w:type="paragraph" w:customStyle="1" w:styleId="Titrearticle">
    <w:name w:val="Titre article"/>
    <w:basedOn w:val="Normal"/>
    <w:next w:val="Normal"/>
    <w:uiPriority w:val="1"/>
    <w:rsid w:val="14F0B435"/>
    <w:pPr>
      <w:keepNext/>
      <w:spacing w:before="360" w:after="0"/>
      <w:jc w:val="center"/>
    </w:pPr>
    <w:rPr>
      <w:rFonts w:ascii="Times New Roman" w:eastAsiaTheme="minorEastAsia" w:hAnsi="Times New Roman" w:cs="Times New Roman"/>
      <w:i/>
      <w:sz w:val="24"/>
    </w:rPr>
  </w:style>
  <w:style w:type="paragraph" w:customStyle="1" w:styleId="Typedudocument">
    <w:name w:val="Type du document"/>
    <w:basedOn w:val="Normal"/>
    <w:next w:val="Accompagnant"/>
    <w:uiPriority w:val="1"/>
    <w:rsid w:val="14F0B435"/>
    <w:pPr>
      <w:keepNext/>
      <w:spacing w:before="360" w:after="180"/>
      <w:jc w:val="center"/>
    </w:pPr>
    <w:rPr>
      <w:rFonts w:ascii="Times New Roman" w:eastAsiaTheme="minorEastAsia" w:hAnsi="Times New Roman" w:cs="Times New Roman"/>
      <w:b/>
      <w:sz w:val="24"/>
    </w:rPr>
  </w:style>
  <w:style w:type="character" w:customStyle="1" w:styleId="Added">
    <w:name w:val="Added"/>
    <w:basedOn w:val="DefaultParagraphFont"/>
    <w:rsid w:val="00B4580D"/>
    <w:rPr>
      <w:b/>
      <w:u w:val="single"/>
      <w:shd w:val="clear" w:color="auto" w:fill="auto"/>
    </w:rPr>
  </w:style>
  <w:style w:type="character" w:customStyle="1" w:styleId="Deleted">
    <w:name w:val="Deleted"/>
    <w:basedOn w:val="DefaultParagraphFont"/>
    <w:rsid w:val="00B4580D"/>
    <w:rPr>
      <w:strike/>
      <w:dstrike w:val="0"/>
      <w:shd w:val="clear" w:color="auto" w:fill="auto"/>
    </w:rPr>
  </w:style>
  <w:style w:type="paragraph" w:customStyle="1" w:styleId="Address">
    <w:name w:val="Address"/>
    <w:basedOn w:val="Normal"/>
    <w:next w:val="Normal"/>
    <w:uiPriority w:val="1"/>
    <w:rsid w:val="14F0B435"/>
    <w:pPr>
      <w:keepNext/>
      <w:keepLines/>
      <w:spacing w:before="40" w:after="0"/>
      <w:ind w:left="3402"/>
      <w:jc w:val="both"/>
    </w:pPr>
    <w:rPr>
      <w:rFonts w:ascii="Times New Roman" w:eastAsiaTheme="minorEastAsia" w:hAnsi="Times New Roman" w:cs="Times New Roman"/>
      <w:sz w:val="24"/>
    </w:rPr>
  </w:style>
  <w:style w:type="paragraph" w:customStyle="1" w:styleId="Objetexterne">
    <w:name w:val="Objet externe"/>
    <w:basedOn w:val="Normal"/>
    <w:next w:val="Normal"/>
    <w:uiPriority w:val="1"/>
    <w:rsid w:val="14F0B435"/>
    <w:pPr>
      <w:keepNext/>
      <w:spacing w:before="40" w:after="0"/>
      <w:jc w:val="both"/>
    </w:pPr>
    <w:rPr>
      <w:rFonts w:ascii="Times New Roman" w:eastAsiaTheme="minorEastAsia" w:hAnsi="Times New Roman" w:cs="Times New Roman"/>
      <w:i/>
      <w:caps/>
      <w:sz w:val="24"/>
    </w:rPr>
  </w:style>
  <w:style w:type="paragraph" w:customStyle="1" w:styleId="Supertitre">
    <w:name w:val="Supertitre"/>
    <w:basedOn w:val="Normal"/>
    <w:next w:val="Normal"/>
    <w:uiPriority w:val="1"/>
    <w:rsid w:val="14F0B435"/>
    <w:pPr>
      <w:keepNext/>
      <w:spacing w:after="600"/>
      <w:jc w:val="center"/>
    </w:pPr>
    <w:rPr>
      <w:rFonts w:ascii="Times New Roman" w:eastAsiaTheme="minorEastAsia" w:hAnsi="Times New Roman" w:cs="Times New Roman"/>
      <w:b/>
      <w:sz w:val="24"/>
    </w:rPr>
  </w:style>
  <w:style w:type="paragraph" w:customStyle="1" w:styleId="Languesfaisantfoi">
    <w:name w:val="Langues faisant foi"/>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Rfrencecroise">
    <w:name w:val="Référence croisée"/>
    <w:basedOn w:val="Normal"/>
    <w:uiPriority w:val="1"/>
    <w:rsid w:val="14F0B435"/>
    <w:pPr>
      <w:keepNext/>
      <w:spacing w:after="0"/>
      <w:jc w:val="center"/>
    </w:pPr>
    <w:rPr>
      <w:rFonts w:ascii="Times New Roman" w:eastAsiaTheme="minorEastAsia" w:hAnsi="Times New Roman" w:cs="Times New Roman"/>
      <w:sz w:val="24"/>
    </w:rPr>
  </w:style>
  <w:style w:type="paragraph" w:customStyle="1" w:styleId="Fichefinanciretitre">
    <w:name w:val="Fiche financièr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DatedadoptionPagedecouverture">
    <w:name w:val="Date d'adoption (Page de couverture)"/>
    <w:basedOn w:val="Datedadoption"/>
    <w:next w:val="IntrtEEEPagedecouverture"/>
    <w:uiPriority w:val="1"/>
    <w:rsid w:val="00B4580D"/>
  </w:style>
  <w:style w:type="paragraph" w:customStyle="1" w:styleId="RfrenceinterinstitutionnellePagedecouverture">
    <w:name w:val="Référence interinstitutionnelle (Page de couverture)"/>
    <w:basedOn w:val="Rfrenceinterinstitutionnelle"/>
    <w:next w:val="Confidentialit"/>
    <w:uiPriority w:val="1"/>
    <w:rsid w:val="00B4580D"/>
  </w:style>
  <w:style w:type="paragraph" w:customStyle="1" w:styleId="StatutPagedecouverture">
    <w:name w:val="Statut (Page de couverture)"/>
    <w:basedOn w:val="Statut"/>
    <w:next w:val="TypedudocumentPagedecouverture"/>
    <w:uiPriority w:val="1"/>
    <w:rsid w:val="00B4580D"/>
  </w:style>
  <w:style w:type="paragraph" w:customStyle="1" w:styleId="TypedudocumentPagedecouverture">
    <w:name w:val="Type du document (Page de couverture)"/>
    <w:basedOn w:val="Typedudocument"/>
    <w:next w:val="AccompagnantPagedecouverture"/>
    <w:uiPriority w:val="1"/>
    <w:rsid w:val="00B4580D"/>
  </w:style>
  <w:style w:type="paragraph" w:customStyle="1" w:styleId="Volume">
    <w:name w:val="Volum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IntrtEEE">
    <w:name w:val="Intérêt EEE"/>
    <w:basedOn w:val="Languesfaisantfoi"/>
    <w:next w:val="Normal"/>
    <w:uiPriority w:val="1"/>
    <w:rsid w:val="00B4580D"/>
  </w:style>
  <w:style w:type="paragraph" w:customStyle="1" w:styleId="Accompagnant">
    <w:name w:val="Accompagnant"/>
    <w:basedOn w:val="Normal"/>
    <w:next w:val="Typeacteprincipal"/>
    <w:uiPriority w:val="1"/>
    <w:rsid w:val="14F0B435"/>
    <w:pPr>
      <w:keepNext/>
      <w:spacing w:before="180" w:after="0"/>
      <w:jc w:val="center"/>
    </w:pPr>
    <w:rPr>
      <w:rFonts w:ascii="Times New Roman" w:eastAsiaTheme="minorEastAsia" w:hAnsi="Times New Roman" w:cs="Times New Roman"/>
      <w:b/>
      <w:sz w:val="24"/>
    </w:rPr>
  </w:style>
  <w:style w:type="paragraph" w:customStyle="1" w:styleId="Typeacteprincipal">
    <w:name w:val="Type acte principal"/>
    <w:basedOn w:val="Normal"/>
    <w:next w:val="Objetacteprincipal"/>
    <w:uiPriority w:val="1"/>
    <w:rsid w:val="14F0B435"/>
    <w:pPr>
      <w:keepNext/>
      <w:spacing w:after="0"/>
      <w:jc w:val="center"/>
    </w:pPr>
    <w:rPr>
      <w:rFonts w:ascii="Times New Roman" w:eastAsiaTheme="minorEastAsia" w:hAnsi="Times New Roman" w:cs="Times New Roman"/>
      <w:b/>
      <w:sz w:val="24"/>
    </w:rPr>
  </w:style>
  <w:style w:type="paragraph" w:customStyle="1" w:styleId="Objetacteprincipal">
    <w:name w:val="Objet acte principal"/>
    <w:basedOn w:val="Normal"/>
    <w:next w:val="Titrearticle"/>
    <w:uiPriority w:val="1"/>
    <w:rsid w:val="14F0B435"/>
    <w:pPr>
      <w:keepNext/>
      <w:spacing w:after="360"/>
      <w:jc w:val="center"/>
    </w:pPr>
    <w:rPr>
      <w:rFonts w:ascii="Times New Roman" w:eastAsiaTheme="minorEastAsia" w:hAnsi="Times New Roman" w:cs="Times New Roman"/>
      <w:b/>
      <w:sz w:val="24"/>
    </w:rPr>
  </w:style>
  <w:style w:type="paragraph" w:customStyle="1" w:styleId="IntrtEEEPagedecouverture">
    <w:name w:val="Intérêt EEE (Page de couverture)"/>
    <w:basedOn w:val="IntrtEEE"/>
    <w:next w:val="Rfrencecroise"/>
    <w:uiPriority w:val="1"/>
    <w:rsid w:val="00B4580D"/>
  </w:style>
  <w:style w:type="paragraph" w:customStyle="1" w:styleId="AccompagnantPagedecouverture">
    <w:name w:val="Accompagnant (Page de couverture)"/>
    <w:basedOn w:val="Accompagnant"/>
    <w:next w:val="TypeacteprincipalPagedecouverture"/>
    <w:uiPriority w:val="1"/>
    <w:rsid w:val="00B4580D"/>
  </w:style>
  <w:style w:type="paragraph" w:customStyle="1" w:styleId="TypeacteprincipalPagedecouverture">
    <w:name w:val="Type acte principal (Page de couverture)"/>
    <w:basedOn w:val="Typeacteprincipal"/>
    <w:next w:val="ObjetacteprincipalPagedecouverture"/>
    <w:uiPriority w:val="1"/>
    <w:rsid w:val="00B4580D"/>
  </w:style>
  <w:style w:type="paragraph" w:customStyle="1" w:styleId="ObjetacteprincipalPagedecouverture">
    <w:name w:val="Objet acte principal (Page de couverture)"/>
    <w:basedOn w:val="Objetacteprincipal"/>
    <w:next w:val="Rfrencecroise"/>
    <w:uiPriority w:val="1"/>
    <w:rsid w:val="00B4580D"/>
  </w:style>
  <w:style w:type="paragraph" w:customStyle="1" w:styleId="LanguesfaisantfoiPagedecouverture">
    <w:name w:val="Langues faisant foi (Page de couverture)"/>
    <w:basedOn w:val="Normal"/>
    <w:next w:val="Normal"/>
    <w:uiPriority w:val="1"/>
    <w:rsid w:val="14F0B435"/>
    <w:pPr>
      <w:keepNext/>
      <w:spacing w:before="360" w:after="0"/>
      <w:jc w:val="center"/>
    </w:pPr>
    <w:rPr>
      <w:rFonts w:ascii="Times New Roman" w:eastAsiaTheme="minorEastAsia" w:hAnsi="Times New Roman" w:cs="Times New Roman"/>
      <w:sz w:val="24"/>
    </w:rPr>
  </w:style>
  <w:style w:type="character" w:styleId="CommentReference">
    <w:name w:val="annotation reference"/>
    <w:basedOn w:val="DefaultParagraphFont"/>
    <w:uiPriority w:val="99"/>
    <w:unhideWhenUsed/>
    <w:rsid w:val="00B4580D"/>
    <w:rPr>
      <w:sz w:val="16"/>
    </w:rPr>
  </w:style>
  <w:style w:type="paragraph" w:styleId="CommentText">
    <w:name w:val="annotation text"/>
    <w:basedOn w:val="Normal"/>
    <w:link w:val="CommentTextChar"/>
    <w:uiPriority w:val="99"/>
    <w:unhideWhenUsed/>
    <w:rsid w:val="14F0B435"/>
    <w:pPr>
      <w:keepNext/>
      <w:spacing w:before="40" w:after="0"/>
      <w:jc w:val="both"/>
    </w:pPr>
    <w:rPr>
      <w:rFonts w:ascii="Times New Roman" w:eastAsiaTheme="minorEastAsia" w:hAnsi="Times New Roman" w:cs="Times New Roman"/>
      <w:sz w:val="20"/>
    </w:rPr>
  </w:style>
  <w:style w:type="character" w:customStyle="1" w:styleId="CommentTextChar">
    <w:name w:val="Comment Text Char"/>
    <w:basedOn w:val="DefaultParagraphFont"/>
    <w:link w:val="CommentText"/>
    <w:uiPriority w:val="99"/>
    <w:rsid w:val="00B4580D"/>
    <w:rPr>
      <w:rFonts w:ascii="Times New Roman" w:eastAsiaTheme="minorEastAsia" w:hAnsi="Times New Roman" w:cs="Times New Roman"/>
      <w:sz w:val="20"/>
    </w:rPr>
  </w:style>
  <w:style w:type="paragraph" w:styleId="ListParagraph">
    <w:name w:val="List Paragraph"/>
    <w:basedOn w:val="Normal"/>
    <w:link w:val="ListParagraphChar"/>
    <w:uiPriority w:val="34"/>
    <w:qFormat/>
    <w:rsid w:val="14F0B435"/>
    <w:pPr>
      <w:keepNext/>
      <w:spacing w:after="160"/>
      <w:ind w:left="1571" w:hanging="360"/>
      <w:contextualSpacing/>
      <w:jc w:val="both"/>
    </w:pPr>
    <w:rPr>
      <w:rFonts w:ascii="Times New Roman" w:eastAsiaTheme="minorEastAsia" w:hAnsi="Times New Roman" w:cs="Times New Roman"/>
      <w:sz w:val="24"/>
    </w:rPr>
  </w:style>
  <w:style w:type="character" w:customStyle="1" w:styleId="ListParagraphChar">
    <w:name w:val="List Paragraph Char"/>
    <w:basedOn w:val="DefaultParagraphFont"/>
    <w:link w:val="ListParagraph"/>
    <w:uiPriority w:val="1"/>
    <w:qFormat/>
    <w:rsid w:val="00B4580D"/>
    <w:rPr>
      <w:rFonts w:ascii="Times New Roman" w:eastAsiaTheme="minorEastAsia" w:hAnsi="Times New Roman" w:cs="Times New Roman"/>
      <w:sz w:val="24"/>
    </w:rPr>
  </w:style>
  <w:style w:type="character" w:styleId="IntenseEmphasis">
    <w:name w:val="Intense Emphasis"/>
    <w:basedOn w:val="DefaultParagraphFont"/>
    <w:uiPriority w:val="21"/>
    <w:qFormat/>
    <w:rsid w:val="00B4580D"/>
    <w:rPr>
      <w:i/>
      <w:color w:val="4F81BD" w:themeColor="accent1"/>
    </w:rPr>
  </w:style>
  <w:style w:type="paragraph" w:styleId="BalloonText">
    <w:name w:val="Balloon Text"/>
    <w:basedOn w:val="Normal"/>
    <w:link w:val="BalloonTextChar"/>
    <w:uiPriority w:val="99"/>
    <w:semiHidden/>
    <w:unhideWhenUsed/>
    <w:rsid w:val="14F0B435"/>
    <w:pPr>
      <w:keepNext/>
      <w:spacing w:after="0"/>
      <w:jc w:val="both"/>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B4580D"/>
    <w:rPr>
      <w:rFonts w:ascii="Segoe UI" w:eastAsiaTheme="minorEastAsia" w:hAnsi="Segoe UI" w:cs="Segoe UI"/>
      <w:sz w:val="18"/>
    </w:rPr>
  </w:style>
  <w:style w:type="paragraph" w:styleId="ListBullet">
    <w:name w:val="List Bullet"/>
    <w:basedOn w:val="Normal"/>
    <w:uiPriority w:val="99"/>
    <w:semiHidden/>
    <w:unhideWhenUsed/>
    <w:rsid w:val="29DEDBAE"/>
    <w:pPr>
      <w:keepNext/>
      <w:numPr>
        <w:numId w:val="15"/>
      </w:numPr>
      <w:spacing w:before="40" w:after="0"/>
      <w:contextualSpacing/>
      <w:jc w:val="both"/>
    </w:pPr>
    <w:rPr>
      <w:rFonts w:ascii="Times New Roman" w:eastAsiaTheme="minorEastAsia" w:hAnsi="Times New Roman" w:cs="Times New Roman"/>
      <w:sz w:val="24"/>
    </w:rPr>
  </w:style>
  <w:style w:type="paragraph" w:styleId="ListBullet2">
    <w:name w:val="List Bullet 2"/>
    <w:basedOn w:val="Normal"/>
    <w:uiPriority w:val="99"/>
    <w:semiHidden/>
    <w:unhideWhenUsed/>
    <w:rsid w:val="29DEDBAE"/>
    <w:pPr>
      <w:keepNext/>
      <w:numPr>
        <w:numId w:val="16"/>
      </w:numPr>
      <w:spacing w:before="40" w:after="0"/>
      <w:contextualSpacing/>
      <w:jc w:val="both"/>
    </w:pPr>
    <w:rPr>
      <w:rFonts w:ascii="Times New Roman" w:eastAsiaTheme="minorEastAsia" w:hAnsi="Times New Roman" w:cs="Times New Roman"/>
      <w:sz w:val="24"/>
    </w:rPr>
  </w:style>
  <w:style w:type="paragraph" w:styleId="ListBullet3">
    <w:name w:val="List Bullet 3"/>
    <w:basedOn w:val="Normal"/>
    <w:uiPriority w:val="99"/>
    <w:semiHidden/>
    <w:unhideWhenUsed/>
    <w:rsid w:val="29DEDBAE"/>
    <w:pPr>
      <w:keepNext/>
      <w:numPr>
        <w:numId w:val="17"/>
      </w:numPr>
      <w:spacing w:before="40" w:after="0"/>
      <w:contextualSpacing/>
      <w:jc w:val="both"/>
    </w:pPr>
    <w:rPr>
      <w:rFonts w:ascii="Times New Roman" w:eastAsiaTheme="minorEastAsia" w:hAnsi="Times New Roman" w:cs="Times New Roman"/>
      <w:sz w:val="24"/>
    </w:rPr>
  </w:style>
  <w:style w:type="paragraph" w:styleId="ListBullet4">
    <w:name w:val="List Bullet 4"/>
    <w:basedOn w:val="Normal"/>
    <w:uiPriority w:val="99"/>
    <w:semiHidden/>
    <w:unhideWhenUsed/>
    <w:rsid w:val="29DEDBAE"/>
    <w:pPr>
      <w:keepNext/>
      <w:numPr>
        <w:numId w:val="18"/>
      </w:numPr>
      <w:spacing w:before="40" w:after="0"/>
      <w:contextualSpacing/>
      <w:jc w:val="both"/>
    </w:pPr>
    <w:rPr>
      <w:rFonts w:ascii="Times New Roman" w:eastAsiaTheme="minorEastAsia" w:hAnsi="Times New Roman" w:cs="Times New Roman"/>
      <w:sz w:val="24"/>
    </w:rPr>
  </w:style>
  <w:style w:type="paragraph" w:styleId="CommentSubject">
    <w:name w:val="annotation subject"/>
    <w:basedOn w:val="CommentText"/>
    <w:next w:val="CommentText"/>
    <w:link w:val="CommentSubjectChar"/>
    <w:uiPriority w:val="99"/>
    <w:semiHidden/>
    <w:unhideWhenUsed/>
    <w:rsid w:val="00B4580D"/>
    <w:rPr>
      <w:b/>
    </w:rPr>
  </w:style>
  <w:style w:type="character" w:customStyle="1" w:styleId="CommentSubjectChar">
    <w:name w:val="Comment Subject Char"/>
    <w:basedOn w:val="CommentTextChar"/>
    <w:link w:val="CommentSubject"/>
    <w:uiPriority w:val="99"/>
    <w:semiHidden/>
    <w:rsid w:val="00B4580D"/>
    <w:rPr>
      <w:rFonts w:ascii="Times New Roman" w:eastAsiaTheme="minorEastAsia" w:hAnsi="Times New Roman" w:cs="Times New Roman"/>
      <w:b/>
      <w:sz w:val="20"/>
    </w:rPr>
  </w:style>
  <w:style w:type="paragraph" w:styleId="Revision">
    <w:name w:val="Revision"/>
    <w:hidden/>
    <w:uiPriority w:val="99"/>
    <w:semiHidden/>
    <w:rsid w:val="00B4580D"/>
    <w:pPr>
      <w:spacing w:after="0" w:line="240" w:lineRule="auto"/>
    </w:pPr>
    <w:rPr>
      <w:rFonts w:ascii="Times New Roman" w:hAnsi="Times New Roman" w:cs="Times New Roman"/>
      <w:sz w:val="24"/>
    </w:rPr>
  </w:style>
  <w:style w:type="paragraph" w:customStyle="1" w:styleId="Default">
    <w:name w:val="Default"/>
    <w:rsid w:val="00B4580D"/>
    <w:pPr>
      <w:autoSpaceDE w:val="0"/>
      <w:autoSpaceDN w:val="0"/>
      <w:adjustRightInd w:val="0"/>
      <w:spacing w:after="0" w:line="240" w:lineRule="auto"/>
    </w:pPr>
    <w:rPr>
      <w:rFonts w:ascii="Times New Roman" w:hAnsi="Times New Roman" w:cs="Times New Roman"/>
      <w:color w:val="000000"/>
      <w:sz w:val="24"/>
    </w:rPr>
  </w:style>
  <w:style w:type="character" w:styleId="Hyperlink">
    <w:name w:val="Hyperlink"/>
    <w:basedOn w:val="DefaultParagraphFont"/>
    <w:uiPriority w:val="99"/>
    <w:unhideWhenUsed/>
    <w:rsid w:val="00B4580D"/>
    <w:rPr>
      <w:color w:val="0000FF" w:themeColor="hyperlink"/>
      <w:u w:val="single"/>
    </w:rPr>
  </w:style>
  <w:style w:type="paragraph" w:customStyle="1" w:styleId="paragraph">
    <w:name w:val="paragraph"/>
    <w:basedOn w:val="Normal"/>
    <w:rsid w:val="14F0B435"/>
    <w:pPr>
      <w:spacing w:beforeAutospacing="1" w:afterAutospacing="1"/>
      <w:ind w:left="851"/>
    </w:pPr>
    <w:rPr>
      <w:rFonts w:ascii="Times New Roman" w:eastAsia="Times New Roman" w:hAnsi="Times New Roman" w:cs="Times New Roman"/>
      <w:sz w:val="24"/>
    </w:rPr>
  </w:style>
  <w:style w:type="character" w:customStyle="1" w:styleId="normaltextrun">
    <w:name w:val="normaltextrun"/>
    <w:basedOn w:val="DefaultParagraphFont"/>
    <w:rsid w:val="00B4580D"/>
  </w:style>
  <w:style w:type="table" w:styleId="TableGrid">
    <w:name w:val="Table Grid"/>
    <w:basedOn w:val="TableNormal"/>
    <w:uiPriority w:val="59"/>
    <w:rsid w:val="00B458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B458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2">
    <w:name w:val="Body text|2_"/>
    <w:basedOn w:val="DefaultParagraphFont"/>
    <w:link w:val="Bodytext20"/>
    <w:rsid w:val="00B4580D"/>
    <w:rPr>
      <w:rFonts w:ascii="Calibri" w:eastAsia="Calibri" w:hAnsi="Calibri" w:cs="Calibri"/>
      <w:sz w:val="21"/>
      <w:shd w:val="clear" w:color="auto" w:fill="FFFFFF"/>
    </w:rPr>
  </w:style>
  <w:style w:type="character" w:customStyle="1" w:styleId="Bodytext2Italic">
    <w:name w:val="Body text|2 + Italic"/>
    <w:basedOn w:val="Bodytext2"/>
    <w:semiHidden/>
    <w:unhideWhenUsed/>
    <w:rsid w:val="00B4580D"/>
    <w:rPr>
      <w:rFonts w:ascii="Calibri" w:eastAsia="Calibri" w:hAnsi="Calibri" w:cs="Calibri"/>
      <w:i/>
      <w:color w:val="000000"/>
      <w:position w:val="0"/>
      <w:sz w:val="21"/>
      <w:shd w:val="clear" w:color="auto" w:fill="FFFFFF"/>
    </w:rPr>
  </w:style>
  <w:style w:type="character" w:customStyle="1" w:styleId="Heading81">
    <w:name w:val="Heading #8|1_"/>
    <w:basedOn w:val="DefaultParagraphFont"/>
    <w:link w:val="Heading810"/>
    <w:rsid w:val="00B4580D"/>
    <w:rPr>
      <w:rFonts w:ascii="Calibri" w:eastAsia="Calibri" w:hAnsi="Calibri" w:cs="Calibri"/>
      <w:b/>
      <w:sz w:val="21"/>
      <w:shd w:val="clear" w:color="auto" w:fill="FFFFFF"/>
    </w:rPr>
  </w:style>
  <w:style w:type="paragraph" w:customStyle="1" w:styleId="Bodytext20">
    <w:name w:val="Body text|2"/>
    <w:basedOn w:val="Normal"/>
    <w:link w:val="Bodytext2"/>
    <w:qFormat/>
    <w:rsid w:val="00B4580D"/>
    <w:pPr>
      <w:widowControl w:val="0"/>
      <w:shd w:val="clear" w:color="auto" w:fill="FFFFFF"/>
      <w:spacing w:before="140" w:after="140" w:line="226" w:lineRule="exact"/>
      <w:ind w:hanging="640"/>
    </w:pPr>
    <w:rPr>
      <w:rFonts w:ascii="Calibri" w:eastAsia="Calibri" w:hAnsi="Calibri" w:cs="Calibri"/>
      <w:sz w:val="21"/>
    </w:rPr>
  </w:style>
  <w:style w:type="paragraph" w:customStyle="1" w:styleId="Heading810">
    <w:name w:val="Heading #8|1"/>
    <w:basedOn w:val="Normal"/>
    <w:link w:val="Heading81"/>
    <w:qFormat/>
    <w:rsid w:val="00B4580D"/>
    <w:pPr>
      <w:widowControl w:val="0"/>
      <w:shd w:val="clear" w:color="auto" w:fill="FFFFFF"/>
      <w:spacing w:before="120" w:after="0" w:line="256" w:lineRule="exact"/>
      <w:ind w:hanging="580"/>
      <w:outlineLvl w:val="7"/>
    </w:pPr>
    <w:rPr>
      <w:rFonts w:ascii="Calibri" w:eastAsia="Calibri" w:hAnsi="Calibri" w:cs="Calibri"/>
      <w:b/>
      <w:sz w:val="21"/>
    </w:rPr>
  </w:style>
  <w:style w:type="character" w:customStyle="1" w:styleId="eop">
    <w:name w:val="eop"/>
    <w:basedOn w:val="DefaultParagraphFont"/>
    <w:rsid w:val="00B4580D"/>
  </w:style>
  <w:style w:type="character" w:customStyle="1" w:styleId="Heading81NotBold">
    <w:name w:val="Heading #8|1 + Not Bold"/>
    <w:basedOn w:val="Heading81"/>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Bold">
    <w:name w:val="Body text|2 + Bold"/>
    <w:basedOn w:val="Bodytext2"/>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Arial95ptBold">
    <w:name w:val="Body text|2 + Arial;9.5 pt;Bold"/>
    <w:basedOn w:val="Bodytext2"/>
    <w:semiHidden/>
    <w:unhideWhenUsed/>
    <w:rsid w:val="00B4580D"/>
    <w:rPr>
      <w:rFonts w:ascii="Arial" w:eastAsia="Arial" w:hAnsi="Arial" w:cs="Arial"/>
      <w:b/>
      <w:i w:val="0"/>
      <w:smallCaps w:val="0"/>
      <w:strike w:val="0"/>
      <w:color w:val="000000"/>
      <w:position w:val="0"/>
      <w:sz w:val="19"/>
      <w:u w:val="none"/>
      <w:shd w:val="clear" w:color="auto" w:fill="FFFFFF"/>
    </w:rPr>
  </w:style>
  <w:style w:type="character" w:customStyle="1" w:styleId="Tablecaption7">
    <w:name w:val="Table caption|7_"/>
    <w:basedOn w:val="DefaultParagraphFont"/>
    <w:link w:val="Tablecaption70"/>
    <w:rsid w:val="00B4580D"/>
    <w:rPr>
      <w:rFonts w:ascii="Calibri" w:eastAsia="Calibri" w:hAnsi="Calibri" w:cs="Calibri"/>
      <w:sz w:val="21"/>
      <w:shd w:val="clear" w:color="auto" w:fill="FFFFFF"/>
    </w:rPr>
  </w:style>
  <w:style w:type="character" w:customStyle="1" w:styleId="Heading71NotBold">
    <w:name w:val="Heading #7|1 + Not Bold"/>
    <w:basedOn w:val="DefaultParagraphFont"/>
    <w:semiHidden/>
    <w:unhideWhenUsed/>
    <w:rsid w:val="00B4580D"/>
    <w:rPr>
      <w:rFonts w:ascii="Calibri" w:eastAsia="Calibri" w:hAnsi="Calibri" w:cs="Calibri"/>
      <w:b/>
      <w:i w:val="0"/>
      <w:smallCaps w:val="0"/>
      <w:strike w:val="0"/>
      <w:color w:val="000000"/>
      <w:position w:val="0"/>
      <w:sz w:val="21"/>
      <w:u w:val="none"/>
    </w:rPr>
  </w:style>
  <w:style w:type="paragraph" w:customStyle="1" w:styleId="Tablecaption70">
    <w:name w:val="Table caption|7"/>
    <w:basedOn w:val="Normal"/>
    <w:link w:val="Tablecaption7"/>
    <w:rsid w:val="00B4580D"/>
    <w:pPr>
      <w:widowControl w:val="0"/>
      <w:shd w:val="clear" w:color="auto" w:fill="FFFFFF"/>
      <w:spacing w:after="0" w:line="256" w:lineRule="exact"/>
    </w:pPr>
    <w:rPr>
      <w:rFonts w:ascii="Calibri" w:eastAsia="Calibri" w:hAnsi="Calibri" w:cs="Calibri"/>
      <w:sz w:val="21"/>
    </w:rPr>
  </w:style>
  <w:style w:type="paragraph" w:customStyle="1" w:styleId="LegalNumPar">
    <w:name w:val="LegalNumPar"/>
    <w:basedOn w:val="Normal"/>
    <w:uiPriority w:val="1"/>
    <w:rsid w:val="14F0B435"/>
    <w:pPr>
      <w:keepNext/>
      <w:spacing w:before="40" w:after="0"/>
      <w:ind w:left="476" w:hanging="476"/>
      <w:jc w:val="both"/>
    </w:pPr>
    <w:rPr>
      <w:rFonts w:ascii="Times New Roman" w:eastAsiaTheme="minorEastAsia" w:hAnsi="Times New Roman" w:cs="Times New Roman"/>
      <w:sz w:val="24"/>
    </w:rPr>
  </w:style>
  <w:style w:type="paragraph" w:customStyle="1" w:styleId="LegalNumPar2">
    <w:name w:val="LegalNumPar2"/>
    <w:basedOn w:val="Normal"/>
    <w:uiPriority w:val="1"/>
    <w:rsid w:val="14F0B435"/>
    <w:pPr>
      <w:keepNext/>
      <w:spacing w:before="40" w:after="0"/>
      <w:ind w:left="953" w:hanging="477"/>
      <w:jc w:val="both"/>
    </w:pPr>
    <w:rPr>
      <w:rFonts w:ascii="Times New Roman" w:eastAsiaTheme="minorEastAsia" w:hAnsi="Times New Roman" w:cs="Times New Roman"/>
      <w:sz w:val="24"/>
    </w:rPr>
  </w:style>
  <w:style w:type="paragraph" w:customStyle="1" w:styleId="LegalNumPar3">
    <w:name w:val="LegalNumPar3"/>
    <w:basedOn w:val="Normal"/>
    <w:uiPriority w:val="1"/>
    <w:rsid w:val="14F0B435"/>
    <w:pPr>
      <w:keepNext/>
      <w:spacing w:before="40" w:after="0"/>
      <w:ind w:left="1429" w:hanging="476"/>
      <w:jc w:val="both"/>
    </w:pPr>
    <w:rPr>
      <w:rFonts w:ascii="Times New Roman" w:eastAsiaTheme="minorEastAsia" w:hAnsi="Times New Roman" w:cs="Times New Roman"/>
      <w:sz w:val="24"/>
    </w:rPr>
  </w:style>
  <w:style w:type="paragraph" w:styleId="NormalWeb">
    <w:name w:val="Normal (Web)"/>
    <w:basedOn w:val="Normal"/>
    <w:uiPriority w:val="99"/>
    <w:semiHidden/>
    <w:unhideWhenUsed/>
    <w:rsid w:val="14F0B435"/>
    <w:pPr>
      <w:spacing w:beforeAutospacing="1" w:afterAutospacing="1"/>
    </w:pPr>
    <w:rPr>
      <w:rFonts w:ascii="Times New Roman" w:eastAsia="Times New Roman" w:hAnsi="Times New Roman" w:cs="Times New Roman"/>
      <w:sz w:val="24"/>
    </w:rPr>
  </w:style>
  <w:style w:type="character" w:styleId="Strong">
    <w:name w:val="Strong"/>
    <w:basedOn w:val="DefaultParagraphFont"/>
    <w:uiPriority w:val="22"/>
    <w:qFormat/>
    <w:rsid w:val="00B4580D"/>
    <w:rPr>
      <w:b/>
    </w:rPr>
  </w:style>
  <w:style w:type="character" w:customStyle="1" w:styleId="h5">
    <w:name w:val="h5"/>
    <w:basedOn w:val="DefaultParagraphFont"/>
    <w:rsid w:val="00B4580D"/>
  </w:style>
  <w:style w:type="character" w:customStyle="1" w:styleId="viiyi">
    <w:name w:val="viiyi"/>
    <w:basedOn w:val="DefaultParagraphFont"/>
    <w:rsid w:val="00B4580D"/>
  </w:style>
  <w:style w:type="character" w:customStyle="1" w:styleId="jlqj4b">
    <w:name w:val="jlqj4b"/>
    <w:basedOn w:val="DefaultParagraphFont"/>
    <w:rsid w:val="00B4580D"/>
  </w:style>
  <w:style w:type="paragraph" w:customStyle="1" w:styleId="oj-doc-ti">
    <w:name w:val="oj-doc-ti"/>
    <w:basedOn w:val="Normal"/>
    <w:uiPriority w:val="1"/>
    <w:rsid w:val="14F0B435"/>
    <w:pPr>
      <w:spacing w:beforeAutospacing="1" w:afterAutospacing="1"/>
    </w:pPr>
    <w:rPr>
      <w:rFonts w:ascii="Times New Roman" w:eastAsia="Times New Roman" w:hAnsi="Times New Roman" w:cs="Times New Roman"/>
      <w:sz w:val="24"/>
    </w:rPr>
  </w:style>
  <w:style w:type="character" w:customStyle="1" w:styleId="acopre">
    <w:name w:val="acopre"/>
    <w:basedOn w:val="DefaultParagraphFont"/>
    <w:rsid w:val="00B4580D"/>
  </w:style>
  <w:style w:type="character" w:styleId="FollowedHyperlink">
    <w:name w:val="FollowedHyperlink"/>
    <w:basedOn w:val="DefaultParagraphFont"/>
    <w:uiPriority w:val="99"/>
    <w:semiHidden/>
    <w:unhideWhenUsed/>
    <w:rsid w:val="00B4580D"/>
    <w:rPr>
      <w:color w:val="800080" w:themeColor="followedHyperlink"/>
      <w:u w:val="single"/>
    </w:rPr>
  </w:style>
  <w:style w:type="character" w:styleId="PlaceholderText">
    <w:name w:val="Placeholder Text"/>
    <w:basedOn w:val="DefaultParagraphFont"/>
    <w:uiPriority w:val="99"/>
    <w:semiHidden/>
    <w:rsid w:val="00B4580D"/>
    <w:rPr>
      <w:color w:val="808080"/>
    </w:rPr>
  </w:style>
  <w:style w:type="paragraph" w:customStyle="1" w:styleId="FooterCoverPage">
    <w:name w:val="Footer Cover Page"/>
    <w:basedOn w:val="Normal"/>
    <w:link w:val="FooterCoverPageChar"/>
    <w:uiPriority w:val="1"/>
    <w:rsid w:val="14F0B435"/>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B4580D"/>
    <w:rPr>
      <w:rFonts w:ascii="Times New Roman" w:hAnsi="Times New Roman" w:cs="Times New Roman"/>
      <w:sz w:val="24"/>
    </w:rPr>
  </w:style>
  <w:style w:type="paragraph" w:customStyle="1" w:styleId="HeaderCoverPage">
    <w:name w:val="Header Cover Page"/>
    <w:basedOn w:val="Normal"/>
    <w:link w:val="HeaderCoverPageChar"/>
    <w:uiPriority w:val="1"/>
    <w:rsid w:val="14F0B435"/>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B4580D"/>
    <w:rPr>
      <w:rFonts w:ascii="Times New Roman" w:hAnsi="Times New Roman" w:cs="Times New Roman"/>
      <w:sz w:val="24"/>
    </w:rPr>
  </w:style>
  <w:style w:type="paragraph" w:styleId="NoSpacing">
    <w:name w:val="No Spacing"/>
    <w:uiPriority w:val="1"/>
    <w:qFormat/>
    <w:rsid w:val="00B4580D"/>
    <w:pPr>
      <w:spacing w:after="0" w:line="240" w:lineRule="auto"/>
    </w:pPr>
  </w:style>
  <w:style w:type="paragraph" w:customStyle="1" w:styleId="TechnicalBlock">
    <w:name w:val="Technical Block"/>
    <w:basedOn w:val="Pagedecouverture"/>
    <w:link w:val="TechnicalBlockChar"/>
    <w:uiPriority w:val="1"/>
    <w:rsid w:val="14F0B435"/>
    <w:pPr>
      <w:spacing w:after="240"/>
      <w:jc w:val="center"/>
    </w:pPr>
  </w:style>
  <w:style w:type="character" w:customStyle="1" w:styleId="PagedecouvertureChar">
    <w:name w:val="Page de couverture Char"/>
    <w:basedOn w:val="DefaultParagraphFont"/>
    <w:link w:val="Pagedecouverture"/>
    <w:uiPriority w:val="1"/>
    <w:rsid w:val="00B4580D"/>
    <w:rPr>
      <w:rFonts w:ascii="Times New Roman" w:eastAsiaTheme="minorEastAsia" w:hAnsi="Times New Roman" w:cs="Times New Roman"/>
      <w:sz w:val="24"/>
    </w:rPr>
  </w:style>
  <w:style w:type="character" w:customStyle="1" w:styleId="TechnicalBlockChar">
    <w:name w:val="Technical Block Char"/>
    <w:basedOn w:val="PagedecouvertureChar"/>
    <w:link w:val="TechnicalBlock"/>
    <w:uiPriority w:val="1"/>
    <w:rsid w:val="00B4580D"/>
    <w:rPr>
      <w:rFonts w:ascii="Times New Roman" w:eastAsiaTheme="minorEastAsia" w:hAnsi="Times New Roman" w:cs="Times New Roman"/>
      <w:sz w:val="24"/>
    </w:rPr>
  </w:style>
  <w:style w:type="paragraph" w:customStyle="1" w:styleId="EntText">
    <w:name w:val="EntText"/>
    <w:basedOn w:val="Normal"/>
    <w:uiPriority w:val="1"/>
    <w:rsid w:val="14F0B435"/>
    <w:pPr>
      <w:spacing w:before="120" w:after="120"/>
    </w:pPr>
    <w:rPr>
      <w:rFonts w:ascii="Times New Roman" w:eastAsiaTheme="minorEastAsia" w:hAnsi="Times New Roman" w:cs="Times New Roman"/>
      <w:sz w:val="24"/>
    </w:rPr>
  </w:style>
  <w:style w:type="paragraph" w:customStyle="1" w:styleId="Lignefinal">
    <w:name w:val="Ligne final"/>
    <w:basedOn w:val="Normal"/>
    <w:next w:val="Normal"/>
    <w:uiPriority w:val="1"/>
    <w:rsid w:val="14F0B435"/>
    <w:pPr>
      <w:spacing w:before="360" w:after="120"/>
      <w:ind w:left="3400" w:right="3400"/>
      <w:jc w:val="center"/>
    </w:pPr>
    <w:rPr>
      <w:rFonts w:ascii="Times New Roman" w:eastAsiaTheme="minorEastAsia" w:hAnsi="Times New Roman" w:cs="Times New Roman"/>
      <w:b/>
      <w:sz w:val="24"/>
    </w:rPr>
  </w:style>
  <w:style w:type="paragraph" w:customStyle="1" w:styleId="pj">
    <w:name w:val="p.j."/>
    <w:basedOn w:val="Normal"/>
    <w:link w:val="pjChar"/>
    <w:uiPriority w:val="1"/>
    <w:rsid w:val="14F0B435"/>
    <w:pPr>
      <w:spacing w:before="1200" w:after="120"/>
      <w:ind w:left="1440" w:hanging="1440"/>
    </w:pPr>
    <w:rPr>
      <w:rFonts w:ascii="Times New Roman" w:eastAsiaTheme="minorEastAsia" w:hAnsi="Times New Roman" w:cs="Times New Roman"/>
      <w:sz w:val="24"/>
    </w:rPr>
  </w:style>
  <w:style w:type="character" w:customStyle="1" w:styleId="pjChar">
    <w:name w:val="p.j. Char"/>
    <w:basedOn w:val="PagedecouvertureChar"/>
    <w:link w:val="pj"/>
    <w:uiPriority w:val="1"/>
    <w:rsid w:val="00B4580D"/>
    <w:rPr>
      <w:rFonts w:ascii="Times New Roman" w:eastAsiaTheme="minorEastAsia" w:hAnsi="Times New Roman" w:cs="Times New Roman"/>
      <w:sz w:val="24"/>
    </w:rPr>
  </w:style>
  <w:style w:type="paragraph" w:customStyle="1" w:styleId="nbbordered">
    <w:name w:val="nb bordered"/>
    <w:basedOn w:val="Normal"/>
    <w:link w:val="nbborderedChar"/>
    <w:uiPriority w:val="1"/>
    <w:rsid w:val="14F0B435"/>
    <w:pPr>
      <w:spacing w:after="160"/>
      <w:ind w:left="480" w:hanging="480"/>
    </w:pPr>
    <w:rPr>
      <w:rFonts w:ascii="Times New Roman" w:eastAsiaTheme="minorEastAsia" w:hAnsi="Times New Roman" w:cs="Times New Roman"/>
      <w:b/>
      <w:sz w:val="24"/>
    </w:rPr>
  </w:style>
  <w:style w:type="character" w:customStyle="1" w:styleId="nbborderedChar">
    <w:name w:val="nb bordered Char"/>
    <w:basedOn w:val="PagedecouvertureChar"/>
    <w:link w:val="nbbordered"/>
    <w:uiPriority w:val="1"/>
    <w:rsid w:val="00B4580D"/>
    <w:rPr>
      <w:rFonts w:ascii="Times New Roman" w:eastAsiaTheme="minorEastAsia" w:hAnsi="Times New Roman" w:cs="Times New Roman"/>
      <w:b/>
      <w:sz w:val="24"/>
    </w:rPr>
  </w:style>
  <w:style w:type="paragraph" w:customStyle="1" w:styleId="HeaderCouncil">
    <w:name w:val="Header Council"/>
    <w:basedOn w:val="Normal"/>
    <w:link w:val="HeaderCouncilChar"/>
    <w:uiPriority w:val="1"/>
    <w:rsid w:val="00B4580D"/>
    <w:pPr>
      <w:spacing w:after="0"/>
    </w:pPr>
    <w:rPr>
      <w:sz w:val="2"/>
    </w:rPr>
  </w:style>
  <w:style w:type="character" w:customStyle="1" w:styleId="HeaderCouncilChar">
    <w:name w:val="Header Council Char"/>
    <w:basedOn w:val="DefaultParagraphFont"/>
    <w:link w:val="HeaderCouncil"/>
    <w:rsid w:val="00B4580D"/>
    <w:rPr>
      <w:sz w:val="2"/>
    </w:rPr>
  </w:style>
  <w:style w:type="paragraph" w:customStyle="1" w:styleId="HeaderCouncilLarge">
    <w:name w:val="Header Council Large"/>
    <w:basedOn w:val="Normal"/>
    <w:link w:val="HeaderCouncilLargeChar"/>
    <w:uiPriority w:val="1"/>
    <w:rsid w:val="00B4580D"/>
    <w:pPr>
      <w:spacing w:after="440"/>
    </w:pPr>
    <w:rPr>
      <w:sz w:val="2"/>
    </w:rPr>
  </w:style>
  <w:style w:type="character" w:customStyle="1" w:styleId="HeaderCouncilLargeChar">
    <w:name w:val="Header Council Large Char"/>
    <w:basedOn w:val="DefaultParagraphFont"/>
    <w:link w:val="HeaderCouncilLarge"/>
    <w:rsid w:val="00B4580D"/>
    <w:rPr>
      <w:sz w:val="2"/>
    </w:rPr>
  </w:style>
  <w:style w:type="paragraph" w:customStyle="1" w:styleId="FooterCouncil">
    <w:name w:val="Footer Council"/>
    <w:basedOn w:val="Normal"/>
    <w:link w:val="FooterCouncilChar"/>
    <w:uiPriority w:val="1"/>
    <w:rsid w:val="00B4580D"/>
    <w:pPr>
      <w:spacing w:after="0"/>
    </w:pPr>
    <w:rPr>
      <w:sz w:val="2"/>
    </w:rPr>
  </w:style>
  <w:style w:type="character" w:customStyle="1" w:styleId="FooterCouncilChar">
    <w:name w:val="Footer Council Char"/>
    <w:basedOn w:val="DefaultParagraphFont"/>
    <w:link w:val="FooterCouncil"/>
    <w:rsid w:val="00B4580D"/>
    <w:rPr>
      <w:sz w:val="2"/>
    </w:rPr>
  </w:style>
  <w:style w:type="paragraph" w:customStyle="1" w:styleId="FooterText">
    <w:name w:val="Footer Text"/>
    <w:basedOn w:val="Normal"/>
    <w:uiPriority w:val="1"/>
    <w:rsid w:val="14F0B435"/>
    <w:pPr>
      <w:spacing w:after="0"/>
    </w:pPr>
    <w:rPr>
      <w:rFonts w:ascii="Times New Roman" w:eastAsia="Times New Roman" w:hAnsi="Times New Roman" w:cs="Times New Roman"/>
      <w:sz w:val="24"/>
    </w:rPr>
  </w:style>
  <w:style w:type="character" w:customStyle="1" w:styleId="Bodytext1">
    <w:name w:val="Body text|1_"/>
    <w:basedOn w:val="DefaultParagraphFont"/>
    <w:link w:val="Bodytext10"/>
    <w:rsid w:val="001707B2"/>
    <w:rPr>
      <w:rFonts w:ascii="Arial" w:eastAsia="Arial" w:hAnsi="Arial" w:cs="Arial"/>
      <w:sz w:val="20"/>
    </w:rPr>
  </w:style>
  <w:style w:type="paragraph" w:customStyle="1" w:styleId="Bodytext10">
    <w:name w:val="Body text|1"/>
    <w:basedOn w:val="Normal"/>
    <w:link w:val="Bodytext1"/>
    <w:rsid w:val="001707B2"/>
    <w:pPr>
      <w:widowControl w:val="0"/>
      <w:spacing w:after="260"/>
    </w:pPr>
    <w:rPr>
      <w:rFonts w:ascii="Arial" w:eastAsia="Arial" w:hAnsi="Arial" w:cs="Arial"/>
      <w:sz w:val="20"/>
    </w:rPr>
  </w:style>
  <w:style w:type="character" w:customStyle="1" w:styleId="Other1">
    <w:name w:val="Other|1_"/>
    <w:basedOn w:val="DefaultParagraphFont"/>
    <w:link w:val="Other10"/>
    <w:rsid w:val="00B24A83"/>
    <w:rPr>
      <w:rFonts w:ascii="Arial" w:eastAsia="Arial" w:hAnsi="Arial" w:cs="Arial"/>
      <w:sz w:val="20"/>
    </w:rPr>
  </w:style>
  <w:style w:type="paragraph" w:customStyle="1" w:styleId="Other10">
    <w:name w:val="Other|1"/>
    <w:basedOn w:val="Normal"/>
    <w:link w:val="Other1"/>
    <w:rsid w:val="00B24A83"/>
    <w:pPr>
      <w:widowControl w:val="0"/>
      <w:spacing w:after="0"/>
    </w:pPr>
    <w:rPr>
      <w:rFonts w:ascii="Arial" w:eastAsia="Arial" w:hAnsi="Arial" w:cs="Arial"/>
      <w:sz w:val="20"/>
    </w:rPr>
  </w:style>
  <w:style w:type="character" w:customStyle="1" w:styleId="Mention1">
    <w:name w:val="Mention1"/>
    <w:basedOn w:val="DefaultParagraphFont"/>
    <w:uiPriority w:val="99"/>
    <w:unhideWhenUsed/>
    <w:rsid w:val="005109BE"/>
    <w:rPr>
      <w:color w:val="2B579A"/>
      <w:shd w:val="clear" w:color="auto" w:fill="E6E6E6"/>
    </w:rPr>
  </w:style>
  <w:style w:type="character" w:customStyle="1" w:styleId="UnresolvedMention1">
    <w:name w:val="Unresolved Mention1"/>
    <w:basedOn w:val="DefaultParagraphFont"/>
    <w:uiPriority w:val="99"/>
    <w:unhideWhenUsed/>
    <w:rsid w:val="005109BE"/>
    <w:rPr>
      <w:color w:val="605E5C"/>
      <w:shd w:val="clear" w:color="auto" w:fill="E1DFDD"/>
    </w:rPr>
  </w:style>
  <w:style w:type="character" w:customStyle="1" w:styleId="UnresolvedMention2">
    <w:name w:val="Unresolved Mention2"/>
    <w:basedOn w:val="DefaultParagraphFont"/>
    <w:uiPriority w:val="99"/>
    <w:unhideWhenUsed/>
    <w:rsid w:val="00BE3CE5"/>
    <w:rPr>
      <w:color w:val="605E5C"/>
      <w:shd w:val="clear" w:color="auto" w:fill="E1DFDD"/>
    </w:rPr>
  </w:style>
  <w:style w:type="character" w:customStyle="1" w:styleId="Mention2">
    <w:name w:val="Mention2"/>
    <w:basedOn w:val="DefaultParagraphFont"/>
    <w:uiPriority w:val="99"/>
    <w:unhideWhenUsed/>
    <w:rsid w:val="00BE3CE5"/>
    <w:rPr>
      <w:color w:val="2B579A"/>
      <w:shd w:val="clear" w:color="auto" w:fill="E1DFDD"/>
    </w:rPr>
  </w:style>
  <w:style w:type="character" w:customStyle="1" w:styleId="Heading5Char">
    <w:name w:val="Heading 5 Char"/>
    <w:basedOn w:val="DefaultParagraphFont"/>
    <w:link w:val="Heading5"/>
    <w:uiPriority w:val="9"/>
    <w:rsid w:val="00510B5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0B5B"/>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510B5B"/>
    <w:rPr>
      <w:rFonts w:asciiTheme="majorHAnsi" w:eastAsiaTheme="majorEastAsia" w:hAnsiTheme="majorHAnsi" w:cstheme="majorBidi"/>
      <w:i/>
      <w:color w:val="243F60"/>
    </w:rPr>
  </w:style>
  <w:style w:type="character" w:customStyle="1" w:styleId="Heading8Char">
    <w:name w:val="Heading 8 Char"/>
    <w:basedOn w:val="DefaultParagraphFont"/>
    <w:link w:val="Heading8"/>
    <w:uiPriority w:val="9"/>
    <w:rsid w:val="00510B5B"/>
    <w:rPr>
      <w:rFonts w:asciiTheme="majorHAnsi" w:eastAsiaTheme="majorEastAsia" w:hAnsiTheme="majorHAnsi" w:cstheme="majorBidi"/>
      <w:color w:val="272727"/>
      <w:sz w:val="21"/>
    </w:rPr>
  </w:style>
  <w:style w:type="character" w:customStyle="1" w:styleId="Heading9Char">
    <w:name w:val="Heading 9 Char"/>
    <w:basedOn w:val="DefaultParagraphFont"/>
    <w:link w:val="Heading9"/>
    <w:uiPriority w:val="9"/>
    <w:rsid w:val="00510B5B"/>
    <w:rPr>
      <w:rFonts w:asciiTheme="majorHAnsi" w:eastAsiaTheme="majorEastAsia" w:hAnsiTheme="majorHAnsi" w:cstheme="majorBidi"/>
      <w:i/>
      <w:color w:val="272727"/>
      <w:sz w:val="21"/>
    </w:rPr>
  </w:style>
  <w:style w:type="paragraph" w:styleId="Title">
    <w:name w:val="Title"/>
    <w:basedOn w:val="Normal"/>
    <w:next w:val="Normal"/>
    <w:link w:val="TitleChar"/>
    <w:uiPriority w:val="10"/>
    <w:qFormat/>
    <w:rsid w:val="00510B5B"/>
    <w:pPr>
      <w:spacing w:after="0"/>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510B5B"/>
    <w:rPr>
      <w:rFonts w:asciiTheme="majorHAnsi" w:eastAsiaTheme="majorEastAsia" w:hAnsiTheme="majorHAnsi" w:cstheme="majorBidi"/>
      <w:sz w:val="56"/>
    </w:rPr>
  </w:style>
  <w:style w:type="paragraph" w:styleId="Subtitle">
    <w:name w:val="Subtitle"/>
    <w:basedOn w:val="Normal"/>
    <w:next w:val="Normal"/>
    <w:link w:val="SubtitleChar"/>
    <w:uiPriority w:val="11"/>
    <w:qFormat/>
    <w:rsid w:val="00510B5B"/>
    <w:rPr>
      <w:rFonts w:eastAsiaTheme="minorEastAsia"/>
      <w:color w:val="5A5A5A"/>
    </w:rPr>
  </w:style>
  <w:style w:type="character" w:customStyle="1" w:styleId="SubtitleChar">
    <w:name w:val="Subtitle Char"/>
    <w:basedOn w:val="DefaultParagraphFont"/>
    <w:link w:val="Subtitle"/>
    <w:uiPriority w:val="11"/>
    <w:rsid w:val="00510B5B"/>
    <w:rPr>
      <w:rFonts w:eastAsiaTheme="minorEastAsia"/>
      <w:color w:val="5A5A5A"/>
    </w:rPr>
  </w:style>
  <w:style w:type="paragraph" w:styleId="Quote">
    <w:name w:val="Quote"/>
    <w:basedOn w:val="Normal"/>
    <w:next w:val="Normal"/>
    <w:link w:val="QuoteChar"/>
    <w:uiPriority w:val="29"/>
    <w:qFormat/>
    <w:rsid w:val="00510B5B"/>
    <w:pPr>
      <w:spacing w:before="200"/>
      <w:ind w:left="864" w:right="864"/>
      <w:jc w:val="center"/>
    </w:pPr>
    <w:rPr>
      <w:i/>
      <w:color w:val="404040" w:themeColor="text1" w:themeTint="BF"/>
    </w:rPr>
  </w:style>
  <w:style w:type="character" w:customStyle="1" w:styleId="QuoteChar">
    <w:name w:val="Quote Char"/>
    <w:basedOn w:val="DefaultParagraphFont"/>
    <w:link w:val="Quote"/>
    <w:uiPriority w:val="29"/>
    <w:rsid w:val="00510B5B"/>
    <w:rPr>
      <w:i/>
      <w:color w:val="404040" w:themeColor="text1" w:themeTint="BF"/>
    </w:rPr>
  </w:style>
  <w:style w:type="paragraph" w:styleId="IntenseQuote">
    <w:name w:val="Intense Quote"/>
    <w:basedOn w:val="Normal"/>
    <w:next w:val="Normal"/>
    <w:link w:val="IntenseQuoteChar"/>
    <w:uiPriority w:val="30"/>
    <w:qFormat/>
    <w:rsid w:val="00510B5B"/>
    <w:pPr>
      <w:spacing w:before="360" w:after="360"/>
      <w:ind w:left="864" w:right="864"/>
      <w:jc w:val="center"/>
    </w:pPr>
    <w:rPr>
      <w:i/>
      <w:color w:val="4F81BD" w:themeColor="accent1"/>
    </w:rPr>
  </w:style>
  <w:style w:type="character" w:customStyle="1" w:styleId="IntenseQuoteChar">
    <w:name w:val="Intense Quote Char"/>
    <w:basedOn w:val="DefaultParagraphFont"/>
    <w:link w:val="IntenseQuote"/>
    <w:uiPriority w:val="30"/>
    <w:rsid w:val="00510B5B"/>
    <w:rPr>
      <w:i/>
      <w:color w:val="4F81BD" w:themeColor="accent1"/>
    </w:rPr>
  </w:style>
  <w:style w:type="paragraph" w:styleId="EndnoteText">
    <w:name w:val="endnote text"/>
    <w:basedOn w:val="Normal"/>
    <w:link w:val="EndnoteTextChar"/>
    <w:uiPriority w:val="99"/>
    <w:semiHidden/>
    <w:unhideWhenUsed/>
    <w:rsid w:val="00510B5B"/>
    <w:pPr>
      <w:spacing w:after="0"/>
    </w:pPr>
    <w:rPr>
      <w:sz w:val="20"/>
    </w:rPr>
  </w:style>
  <w:style w:type="character" w:customStyle="1" w:styleId="EndnoteTextChar">
    <w:name w:val="Endnote Text Char"/>
    <w:basedOn w:val="DefaultParagraphFont"/>
    <w:link w:val="EndnoteText"/>
    <w:uiPriority w:val="99"/>
    <w:semiHidden/>
    <w:rsid w:val="00510B5B"/>
    <w:rPr>
      <w:sz w:val="20"/>
    </w:rPr>
  </w:style>
  <w:style w:type="character" w:customStyle="1" w:styleId="findhit">
    <w:name w:val="findhit"/>
    <w:basedOn w:val="DefaultParagraphFont"/>
    <w:rsid w:val="00510B5B"/>
  </w:style>
  <w:style w:type="character" w:customStyle="1" w:styleId="Mention3">
    <w:name w:val="Mention3"/>
    <w:basedOn w:val="DefaultParagraphFont"/>
    <w:uiPriority w:val="99"/>
    <w:unhideWhenUsed/>
    <w:rsid w:val="000776D0"/>
    <w:rPr>
      <w:color w:val="2B579A"/>
      <w:shd w:val="clear" w:color="auto" w:fill="E6E6E6"/>
    </w:rPr>
  </w:style>
  <w:style w:type="character" w:customStyle="1" w:styleId="UnresolvedMention3">
    <w:name w:val="Unresolved Mention3"/>
    <w:basedOn w:val="DefaultParagraphFont"/>
    <w:uiPriority w:val="99"/>
    <w:unhideWhenUsed/>
    <w:rsid w:val="000776D0"/>
    <w:rPr>
      <w:color w:val="605E5C"/>
      <w:shd w:val="clear" w:color="auto" w:fill="E1DFDD"/>
    </w:rPr>
  </w:style>
  <w:style w:type="character" w:customStyle="1" w:styleId="UnresolvedMention4">
    <w:name w:val="Unresolved Mention4"/>
    <w:basedOn w:val="DefaultParagraphFont"/>
    <w:uiPriority w:val="99"/>
    <w:unhideWhenUsed/>
    <w:rsid w:val="00234BD4"/>
    <w:rPr>
      <w:color w:val="605E5C"/>
      <w:shd w:val="clear" w:color="auto" w:fill="E1DFDD"/>
    </w:rPr>
  </w:style>
  <w:style w:type="character" w:customStyle="1" w:styleId="Mention4">
    <w:name w:val="Mention4"/>
    <w:basedOn w:val="DefaultParagraphFont"/>
    <w:uiPriority w:val="99"/>
    <w:unhideWhenUsed/>
    <w:rsid w:val="00234BD4"/>
    <w:rPr>
      <w:color w:val="2B579A"/>
      <w:shd w:val="clear" w:color="auto" w:fill="E1DFDD"/>
    </w:rPr>
  </w:style>
  <w:style w:type="paragraph" w:customStyle="1" w:styleId="commentcontentpara">
    <w:name w:val="commentcontentpara"/>
    <w:basedOn w:val="Normal"/>
    <w:rsid w:val="00AC7B48"/>
    <w:pPr>
      <w:spacing w:before="100" w:beforeAutospacing="1" w:after="100" w:afterAutospacing="1" w:line="240" w:lineRule="auto"/>
    </w:pPr>
    <w:rPr>
      <w:rFonts w:ascii="Times New Roman" w:eastAsia="Times New Roman" w:hAnsi="Times New Roman" w:cs="Times New Roman"/>
      <w:sz w:val="24"/>
    </w:rPr>
  </w:style>
  <w:style w:type="character" w:customStyle="1" w:styleId="Bodytext3">
    <w:name w:val="Body text|3_"/>
    <w:basedOn w:val="DefaultParagraphFont"/>
    <w:link w:val="Bodytext30"/>
    <w:rsid w:val="00D66508"/>
    <w:rPr>
      <w:rFonts w:ascii="@MS Mincho" w:eastAsia="@MS Mincho" w:hAnsi="@MS Mincho" w:cs="@MS Mincho"/>
      <w:sz w:val="20"/>
    </w:rPr>
  </w:style>
  <w:style w:type="paragraph" w:customStyle="1" w:styleId="Bodytext30">
    <w:name w:val="Body text|3"/>
    <w:basedOn w:val="Normal"/>
    <w:link w:val="Bodytext3"/>
    <w:rsid w:val="00D66508"/>
    <w:pPr>
      <w:widowControl w:val="0"/>
      <w:spacing w:after="140" w:line="293" w:lineRule="auto"/>
    </w:pPr>
    <w:rPr>
      <w:rFonts w:ascii="@MS Mincho" w:eastAsia="@MS Mincho" w:hAnsi="@MS Mincho" w:cs="@MS Mincho"/>
      <w:sz w:val="20"/>
    </w:rPr>
  </w:style>
  <w:style w:type="character" w:customStyle="1" w:styleId="Mention5">
    <w:name w:val="Mention5"/>
    <w:basedOn w:val="DefaultParagraphFont"/>
    <w:uiPriority w:val="99"/>
    <w:unhideWhenUsed/>
    <w:rsid w:val="002671B2"/>
    <w:rPr>
      <w:color w:val="2B579A"/>
      <w:shd w:val="clear" w:color="auto" w:fill="E1DFDD"/>
    </w:rPr>
  </w:style>
  <w:style w:type="character" w:customStyle="1" w:styleId="UnresolvedMention5">
    <w:name w:val="Unresolved Mention5"/>
    <w:basedOn w:val="DefaultParagraphFont"/>
    <w:uiPriority w:val="99"/>
    <w:unhideWhenUsed/>
    <w:rsid w:val="002671B2"/>
    <w:rPr>
      <w:color w:val="605E5C"/>
      <w:shd w:val="clear" w:color="auto" w:fill="E1DFDD"/>
    </w:rPr>
  </w:style>
  <w:style w:type="character" w:customStyle="1" w:styleId="Mention6">
    <w:name w:val="Mention6"/>
    <w:basedOn w:val="DefaultParagraphFont"/>
    <w:uiPriority w:val="99"/>
    <w:unhideWhenUsed/>
    <w:rsid w:val="002671B2"/>
    <w:rPr>
      <w:color w:val="2B579A"/>
      <w:shd w:val="clear" w:color="auto" w:fill="E1DFDD"/>
    </w:rPr>
  </w:style>
  <w:style w:type="character" w:customStyle="1" w:styleId="Mention7">
    <w:name w:val="Mention7"/>
    <w:basedOn w:val="DefaultParagraphFont"/>
    <w:uiPriority w:val="99"/>
    <w:unhideWhenUsed/>
    <w:rsid w:val="001349D8"/>
    <w:rPr>
      <w:color w:val="2B579A"/>
      <w:shd w:val="clear" w:color="auto" w:fill="E6E6E6"/>
    </w:rPr>
  </w:style>
  <w:style w:type="character" w:customStyle="1" w:styleId="Mention">
    <w:name w:val="Mention"/>
    <w:basedOn w:val="DefaultParagraphFont"/>
    <w:uiPriority w:val="99"/>
    <w:unhideWhenUsed/>
    <w:rsid w:val="00F94BC6"/>
    <w:rPr>
      <w:color w:val="2B579A"/>
      <w:shd w:val="clear" w:color="auto" w:fill="E1DFDD"/>
    </w:rPr>
  </w:style>
  <w:style w:type="paragraph" w:customStyle="1" w:styleId="NumPar5">
    <w:name w:val="NumPar 5"/>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6">
    <w:name w:val="NumPar 6"/>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7">
    <w:name w:val="NumPar 7"/>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character" w:customStyle="1" w:styleId="Mention8">
    <w:name w:val="Mention8"/>
    <w:basedOn w:val="DefaultParagraphFont"/>
    <w:uiPriority w:val="99"/>
    <w:unhideWhenUsed/>
    <w:rsid w:val="00DC1162"/>
    <w:rPr>
      <w:color w:val="2B579A"/>
      <w:shd w:val="clear" w:color="auto" w:fill="E1DFDD"/>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b/>
      <w:smallCaps/>
      <w:sz w:val="24"/>
    </w:rPr>
  </w:style>
  <w:style w:type="paragraph" w:customStyle="1" w:styleId="P68B1DB1-Normal3">
    <w:name w:val="P68B1DB1-Normal3"/>
    <w:basedOn w:val="Normal"/>
    <w:rPr>
      <w:rFonts w:ascii="Times New Roman" w:hAnsi="Times New Roman"/>
      <w:b/>
      <w:sz w:val="24"/>
      <w:u w:val="single"/>
    </w:rPr>
  </w:style>
  <w:style w:type="paragraph" w:customStyle="1" w:styleId="P68B1DB1-Normal4">
    <w:name w:val="P68B1DB1-Normal4"/>
    <w:basedOn w:val="Normal"/>
    <w:rPr>
      <w:rFonts w:ascii="Times New Roman" w:hAnsi="Times New Roman"/>
      <w:sz w:val="24"/>
    </w:rPr>
  </w:style>
  <w:style w:type="paragraph" w:customStyle="1" w:styleId="P68B1DB1-Normal5">
    <w:name w:val="P68B1DB1-Normal5"/>
    <w:basedOn w:val="Normal"/>
    <w:rPr>
      <w:rFonts w:ascii="Times New Roman" w:hAnsi="Times New Roman"/>
      <w:sz w:val="24"/>
      <w:u w:val="single"/>
    </w:rPr>
  </w:style>
  <w:style w:type="paragraph" w:customStyle="1" w:styleId="P68B1DB1-Normal6">
    <w:name w:val="P68B1DB1-Normal6"/>
    <w:basedOn w:val="Normal"/>
    <w:rPr>
      <w:rFonts w:ascii="Times New Roman" w:hAnsi="Times New Roman"/>
      <w:b/>
      <w:sz w:val="18"/>
    </w:rPr>
  </w:style>
  <w:style w:type="paragraph" w:customStyle="1" w:styleId="P68B1DB1-Normal7">
    <w:name w:val="P68B1DB1-Normal7"/>
    <w:basedOn w:val="Normal"/>
    <w:rPr>
      <w:rFonts w:ascii="Calibri" w:hAnsi="Calibri"/>
      <w:b/>
      <w:sz w:val="16"/>
    </w:rPr>
  </w:style>
  <w:style w:type="paragraph" w:customStyle="1" w:styleId="P68B1DB1-Normal8">
    <w:name w:val="P68B1DB1-Normal8"/>
    <w:basedOn w:val="Normal"/>
    <w:rPr>
      <w:rFonts w:ascii="Calibri" w:hAnsi="Calibri"/>
      <w:sz w:val="16"/>
    </w:rPr>
  </w:style>
  <w:style w:type="paragraph" w:customStyle="1" w:styleId="P68B1DB1-Normal9">
    <w:name w:val="P68B1DB1-Normal9"/>
    <w:basedOn w:val="Normal"/>
    <w:rPr>
      <w:rFonts w:ascii="Calibri" w:hAnsi="Calibri"/>
    </w:rPr>
  </w:style>
  <w:style w:type="paragraph" w:customStyle="1" w:styleId="P68B1DB1-Normal10">
    <w:name w:val="P68B1DB1-Normal10"/>
    <w:basedOn w:val="Normal"/>
    <w:rPr>
      <w:rFonts w:ascii="Calibri" w:hAnsi="Calibri"/>
      <w:sz w:val="16"/>
      <w:shd w:val="clear" w:color="auto" w:fill="E6E6E6"/>
    </w:rPr>
  </w:style>
  <w:style w:type="paragraph" w:customStyle="1" w:styleId="P68B1DB1-Normal11">
    <w:name w:val="P68B1DB1-Normal11"/>
    <w:basedOn w:val="Normal"/>
    <w:rPr>
      <w:b/>
      <w:sz w:val="16"/>
    </w:rPr>
  </w:style>
  <w:style w:type="paragraph" w:customStyle="1" w:styleId="P68B1DB1-Normal12">
    <w:name w:val="P68B1DB1-Normal12"/>
    <w:basedOn w:val="Normal"/>
    <w:rPr>
      <w:sz w:val="16"/>
    </w:rPr>
  </w:style>
  <w:style w:type="paragraph" w:customStyle="1" w:styleId="P68B1DB1-Bodytext1013">
    <w:name w:val="P68B1DB1-Bodytext1013"/>
    <w:basedOn w:val="Bodytext10"/>
    <w:rPr>
      <w:rFonts w:asciiTheme="minorHAnsi" w:hAnsiTheme="minorHAnsi"/>
      <w:sz w:val="16"/>
    </w:rPr>
  </w:style>
  <w:style w:type="paragraph" w:customStyle="1" w:styleId="P68B1DB1-Heading214">
    <w:name w:val="P68B1DB1-Heading214"/>
    <w:basedOn w:val="Heading2"/>
    <w:rPr>
      <w:b w:val="0"/>
    </w:rPr>
  </w:style>
  <w:style w:type="paragraph" w:customStyle="1" w:styleId="P68B1DB1-Normal15">
    <w:name w:val="P68B1DB1-Normal15"/>
    <w:basedOn w:val="Normal"/>
    <w:rPr>
      <w:rFonts w:ascii="Calibri" w:hAnsi="Calibri"/>
      <w:sz w:val="2"/>
    </w:rPr>
  </w:style>
  <w:style w:type="paragraph" w:customStyle="1" w:styleId="P68B1DB1-Normal16">
    <w:name w:val="P68B1DB1-Normal16"/>
    <w:basedOn w:val="Normal"/>
    <w:rPr>
      <w:rFonts w:ascii="Times New Roman" w:hAnsi="Times New Roman"/>
      <w:sz w:val="18"/>
    </w:rPr>
  </w:style>
  <w:style w:type="paragraph" w:customStyle="1" w:styleId="P68B1DB1-Normal17">
    <w:name w:val="P68B1DB1-Normal17"/>
    <w:basedOn w:val="Normal"/>
    <w:rPr>
      <w:sz w:val="24"/>
    </w:rPr>
  </w:style>
  <w:style w:type="paragraph" w:customStyle="1" w:styleId="P68B1DB1-Bodytext1018">
    <w:name w:val="P68B1DB1-Bodytext1018"/>
    <w:basedOn w:val="Bodytext10"/>
    <w:rPr>
      <w:rFonts w:ascii="Calibri" w:hAnsi="Calibri"/>
      <w:sz w:val="16"/>
    </w:rPr>
  </w:style>
  <w:style w:type="paragraph" w:customStyle="1" w:styleId="P68B1DB1-Normal19">
    <w:name w:val="P68B1DB1-Normal19"/>
    <w:basedOn w:val="Normal"/>
    <w:rPr>
      <w:rFonts w:ascii="Times New Roman" w:hAnsi="Times New Roman"/>
    </w:rPr>
  </w:style>
  <w:style w:type="paragraph" w:customStyle="1" w:styleId="P68B1DB1-Bodytext2020">
    <w:name w:val="P68B1DB1-Bodytext2020"/>
    <w:basedOn w:val="Bodytext20"/>
    <w:rPr>
      <w:rFonts w:ascii="Times New Roman" w:hAnsi="Times New Roman"/>
      <w:sz w:val="24"/>
    </w:rPr>
  </w:style>
  <w:style w:type="paragraph" w:customStyle="1" w:styleId="P68B1DB1-CommentText21">
    <w:name w:val="P68B1DB1-CommentText21"/>
    <w:basedOn w:val="CommentText"/>
    <w:rPr>
      <w:rFonts w:asciiTheme="minorHAnsi" w:hAnsiTheme="minorHAnsi"/>
      <w:sz w:val="16"/>
    </w:rPr>
  </w:style>
  <w:style w:type="paragraph" w:customStyle="1" w:styleId="P68B1DB1-Normal22">
    <w:name w:val="P68B1DB1-Normal22"/>
    <w:basedOn w:val="Normal"/>
    <w:rPr>
      <w:rFonts w:ascii="Times New Roman" w:hAnsi="Times New Roman"/>
      <w:b/>
      <w:sz w:val="20"/>
    </w:rPr>
  </w:style>
  <w:style w:type="paragraph" w:customStyle="1" w:styleId="P68B1DB1-Normal23">
    <w:name w:val="P68B1DB1-Normal23"/>
    <w:basedOn w:val="Normal"/>
    <w:rPr>
      <w:rFonts w:ascii="Calibri" w:hAnsi="Calibri"/>
      <w:sz w:val="18"/>
    </w:rPr>
  </w:style>
  <w:style w:type="paragraph" w:customStyle="1" w:styleId="P68B1DB1-Normal24">
    <w:name w:val="P68B1DB1-Normal24"/>
    <w:basedOn w:val="Normal"/>
    <w:rPr>
      <w:rFonts w:ascii="Calibri" w:hAnsi="Calibri"/>
      <w:sz w:val="20"/>
    </w:rPr>
  </w:style>
  <w:style w:type="paragraph" w:customStyle="1" w:styleId="P68B1DB1-Normal25">
    <w:name w:val="P68B1DB1-Normal25"/>
    <w:basedOn w:val="Normal"/>
    <w:rPr>
      <w:rFonts w:ascii="Calibri" w:hAnsi="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6115">
      <w:bodyDiv w:val="1"/>
      <w:marLeft w:val="0"/>
      <w:marRight w:val="0"/>
      <w:marTop w:val="0"/>
      <w:marBottom w:val="0"/>
      <w:divBdr>
        <w:top w:val="none" w:sz="0" w:space="0" w:color="auto"/>
        <w:left w:val="none" w:sz="0" w:space="0" w:color="auto"/>
        <w:bottom w:val="none" w:sz="0" w:space="0" w:color="auto"/>
        <w:right w:val="none" w:sz="0" w:space="0" w:color="auto"/>
      </w:divBdr>
    </w:div>
    <w:div w:id="93717856">
      <w:bodyDiv w:val="1"/>
      <w:marLeft w:val="0"/>
      <w:marRight w:val="0"/>
      <w:marTop w:val="0"/>
      <w:marBottom w:val="0"/>
      <w:divBdr>
        <w:top w:val="none" w:sz="0" w:space="0" w:color="auto"/>
        <w:left w:val="none" w:sz="0" w:space="0" w:color="auto"/>
        <w:bottom w:val="none" w:sz="0" w:space="0" w:color="auto"/>
        <w:right w:val="none" w:sz="0" w:space="0" w:color="auto"/>
      </w:divBdr>
    </w:div>
    <w:div w:id="105124908">
      <w:bodyDiv w:val="1"/>
      <w:marLeft w:val="0"/>
      <w:marRight w:val="0"/>
      <w:marTop w:val="0"/>
      <w:marBottom w:val="0"/>
      <w:divBdr>
        <w:top w:val="none" w:sz="0" w:space="0" w:color="auto"/>
        <w:left w:val="none" w:sz="0" w:space="0" w:color="auto"/>
        <w:bottom w:val="none" w:sz="0" w:space="0" w:color="auto"/>
        <w:right w:val="none" w:sz="0" w:space="0" w:color="auto"/>
      </w:divBdr>
    </w:div>
    <w:div w:id="106392739">
      <w:bodyDiv w:val="1"/>
      <w:marLeft w:val="0"/>
      <w:marRight w:val="0"/>
      <w:marTop w:val="0"/>
      <w:marBottom w:val="0"/>
      <w:divBdr>
        <w:top w:val="none" w:sz="0" w:space="0" w:color="auto"/>
        <w:left w:val="none" w:sz="0" w:space="0" w:color="auto"/>
        <w:bottom w:val="none" w:sz="0" w:space="0" w:color="auto"/>
        <w:right w:val="none" w:sz="0" w:space="0" w:color="auto"/>
      </w:divBdr>
    </w:div>
    <w:div w:id="160197138">
      <w:bodyDiv w:val="1"/>
      <w:marLeft w:val="0"/>
      <w:marRight w:val="0"/>
      <w:marTop w:val="0"/>
      <w:marBottom w:val="0"/>
      <w:divBdr>
        <w:top w:val="none" w:sz="0" w:space="0" w:color="auto"/>
        <w:left w:val="none" w:sz="0" w:space="0" w:color="auto"/>
        <w:bottom w:val="none" w:sz="0" w:space="0" w:color="auto"/>
        <w:right w:val="none" w:sz="0" w:space="0" w:color="auto"/>
      </w:divBdr>
    </w:div>
    <w:div w:id="173224192">
      <w:bodyDiv w:val="1"/>
      <w:marLeft w:val="0"/>
      <w:marRight w:val="0"/>
      <w:marTop w:val="0"/>
      <w:marBottom w:val="0"/>
      <w:divBdr>
        <w:top w:val="none" w:sz="0" w:space="0" w:color="auto"/>
        <w:left w:val="none" w:sz="0" w:space="0" w:color="auto"/>
        <w:bottom w:val="none" w:sz="0" w:space="0" w:color="auto"/>
        <w:right w:val="none" w:sz="0" w:space="0" w:color="auto"/>
      </w:divBdr>
    </w:div>
    <w:div w:id="195849102">
      <w:bodyDiv w:val="1"/>
      <w:marLeft w:val="0"/>
      <w:marRight w:val="0"/>
      <w:marTop w:val="0"/>
      <w:marBottom w:val="0"/>
      <w:divBdr>
        <w:top w:val="none" w:sz="0" w:space="0" w:color="auto"/>
        <w:left w:val="none" w:sz="0" w:space="0" w:color="auto"/>
        <w:bottom w:val="none" w:sz="0" w:space="0" w:color="auto"/>
        <w:right w:val="none" w:sz="0" w:space="0" w:color="auto"/>
      </w:divBdr>
    </w:div>
    <w:div w:id="236524132">
      <w:bodyDiv w:val="1"/>
      <w:marLeft w:val="0"/>
      <w:marRight w:val="0"/>
      <w:marTop w:val="0"/>
      <w:marBottom w:val="0"/>
      <w:divBdr>
        <w:top w:val="none" w:sz="0" w:space="0" w:color="auto"/>
        <w:left w:val="none" w:sz="0" w:space="0" w:color="auto"/>
        <w:bottom w:val="none" w:sz="0" w:space="0" w:color="auto"/>
        <w:right w:val="none" w:sz="0" w:space="0" w:color="auto"/>
      </w:divBdr>
    </w:div>
    <w:div w:id="241181868">
      <w:bodyDiv w:val="1"/>
      <w:marLeft w:val="0"/>
      <w:marRight w:val="0"/>
      <w:marTop w:val="0"/>
      <w:marBottom w:val="0"/>
      <w:divBdr>
        <w:top w:val="none" w:sz="0" w:space="0" w:color="auto"/>
        <w:left w:val="none" w:sz="0" w:space="0" w:color="auto"/>
        <w:bottom w:val="none" w:sz="0" w:space="0" w:color="auto"/>
        <w:right w:val="none" w:sz="0" w:space="0" w:color="auto"/>
      </w:divBdr>
    </w:div>
    <w:div w:id="243271335">
      <w:bodyDiv w:val="1"/>
      <w:marLeft w:val="0"/>
      <w:marRight w:val="0"/>
      <w:marTop w:val="0"/>
      <w:marBottom w:val="0"/>
      <w:divBdr>
        <w:top w:val="none" w:sz="0" w:space="0" w:color="auto"/>
        <w:left w:val="none" w:sz="0" w:space="0" w:color="auto"/>
        <w:bottom w:val="none" w:sz="0" w:space="0" w:color="auto"/>
        <w:right w:val="none" w:sz="0" w:space="0" w:color="auto"/>
      </w:divBdr>
    </w:div>
    <w:div w:id="361133139">
      <w:bodyDiv w:val="1"/>
      <w:marLeft w:val="0"/>
      <w:marRight w:val="0"/>
      <w:marTop w:val="0"/>
      <w:marBottom w:val="0"/>
      <w:divBdr>
        <w:top w:val="none" w:sz="0" w:space="0" w:color="auto"/>
        <w:left w:val="none" w:sz="0" w:space="0" w:color="auto"/>
        <w:bottom w:val="none" w:sz="0" w:space="0" w:color="auto"/>
        <w:right w:val="none" w:sz="0" w:space="0" w:color="auto"/>
      </w:divBdr>
    </w:div>
    <w:div w:id="399523781">
      <w:bodyDiv w:val="1"/>
      <w:marLeft w:val="0"/>
      <w:marRight w:val="0"/>
      <w:marTop w:val="0"/>
      <w:marBottom w:val="0"/>
      <w:divBdr>
        <w:top w:val="none" w:sz="0" w:space="0" w:color="auto"/>
        <w:left w:val="none" w:sz="0" w:space="0" w:color="auto"/>
        <w:bottom w:val="none" w:sz="0" w:space="0" w:color="auto"/>
        <w:right w:val="none" w:sz="0" w:space="0" w:color="auto"/>
      </w:divBdr>
    </w:div>
    <w:div w:id="401219657">
      <w:bodyDiv w:val="1"/>
      <w:marLeft w:val="0"/>
      <w:marRight w:val="0"/>
      <w:marTop w:val="0"/>
      <w:marBottom w:val="0"/>
      <w:divBdr>
        <w:top w:val="none" w:sz="0" w:space="0" w:color="auto"/>
        <w:left w:val="none" w:sz="0" w:space="0" w:color="auto"/>
        <w:bottom w:val="none" w:sz="0" w:space="0" w:color="auto"/>
        <w:right w:val="none" w:sz="0" w:space="0" w:color="auto"/>
      </w:divBdr>
    </w:div>
    <w:div w:id="441844892">
      <w:bodyDiv w:val="1"/>
      <w:marLeft w:val="0"/>
      <w:marRight w:val="0"/>
      <w:marTop w:val="0"/>
      <w:marBottom w:val="0"/>
      <w:divBdr>
        <w:top w:val="none" w:sz="0" w:space="0" w:color="auto"/>
        <w:left w:val="none" w:sz="0" w:space="0" w:color="auto"/>
        <w:bottom w:val="none" w:sz="0" w:space="0" w:color="auto"/>
        <w:right w:val="none" w:sz="0" w:space="0" w:color="auto"/>
      </w:divBdr>
    </w:div>
    <w:div w:id="535584251">
      <w:bodyDiv w:val="1"/>
      <w:marLeft w:val="0"/>
      <w:marRight w:val="0"/>
      <w:marTop w:val="0"/>
      <w:marBottom w:val="0"/>
      <w:divBdr>
        <w:top w:val="none" w:sz="0" w:space="0" w:color="auto"/>
        <w:left w:val="none" w:sz="0" w:space="0" w:color="auto"/>
        <w:bottom w:val="none" w:sz="0" w:space="0" w:color="auto"/>
        <w:right w:val="none" w:sz="0" w:space="0" w:color="auto"/>
      </w:divBdr>
      <w:divsChild>
        <w:div w:id="1283269662">
          <w:marLeft w:val="0"/>
          <w:marRight w:val="0"/>
          <w:marTop w:val="0"/>
          <w:marBottom w:val="0"/>
          <w:divBdr>
            <w:top w:val="none" w:sz="0" w:space="0" w:color="auto"/>
            <w:left w:val="none" w:sz="0" w:space="0" w:color="auto"/>
            <w:bottom w:val="none" w:sz="0" w:space="0" w:color="auto"/>
            <w:right w:val="none" w:sz="0" w:space="0" w:color="auto"/>
          </w:divBdr>
        </w:div>
      </w:divsChild>
    </w:div>
    <w:div w:id="572739600">
      <w:bodyDiv w:val="1"/>
      <w:marLeft w:val="0"/>
      <w:marRight w:val="0"/>
      <w:marTop w:val="0"/>
      <w:marBottom w:val="0"/>
      <w:divBdr>
        <w:top w:val="none" w:sz="0" w:space="0" w:color="auto"/>
        <w:left w:val="none" w:sz="0" w:space="0" w:color="auto"/>
        <w:bottom w:val="none" w:sz="0" w:space="0" w:color="auto"/>
        <w:right w:val="none" w:sz="0" w:space="0" w:color="auto"/>
      </w:divBdr>
    </w:div>
    <w:div w:id="578053008">
      <w:bodyDiv w:val="1"/>
      <w:marLeft w:val="0"/>
      <w:marRight w:val="0"/>
      <w:marTop w:val="0"/>
      <w:marBottom w:val="0"/>
      <w:divBdr>
        <w:top w:val="none" w:sz="0" w:space="0" w:color="auto"/>
        <w:left w:val="none" w:sz="0" w:space="0" w:color="auto"/>
        <w:bottom w:val="none" w:sz="0" w:space="0" w:color="auto"/>
        <w:right w:val="none" w:sz="0" w:space="0" w:color="auto"/>
      </w:divBdr>
    </w:div>
    <w:div w:id="598756477">
      <w:bodyDiv w:val="1"/>
      <w:marLeft w:val="0"/>
      <w:marRight w:val="0"/>
      <w:marTop w:val="0"/>
      <w:marBottom w:val="0"/>
      <w:divBdr>
        <w:top w:val="none" w:sz="0" w:space="0" w:color="auto"/>
        <w:left w:val="none" w:sz="0" w:space="0" w:color="auto"/>
        <w:bottom w:val="none" w:sz="0" w:space="0" w:color="auto"/>
        <w:right w:val="none" w:sz="0" w:space="0" w:color="auto"/>
      </w:divBdr>
    </w:div>
    <w:div w:id="621809595">
      <w:bodyDiv w:val="1"/>
      <w:marLeft w:val="0"/>
      <w:marRight w:val="0"/>
      <w:marTop w:val="0"/>
      <w:marBottom w:val="0"/>
      <w:divBdr>
        <w:top w:val="none" w:sz="0" w:space="0" w:color="auto"/>
        <w:left w:val="none" w:sz="0" w:space="0" w:color="auto"/>
        <w:bottom w:val="none" w:sz="0" w:space="0" w:color="auto"/>
        <w:right w:val="none" w:sz="0" w:space="0" w:color="auto"/>
      </w:divBdr>
    </w:div>
    <w:div w:id="809637549">
      <w:bodyDiv w:val="1"/>
      <w:marLeft w:val="0"/>
      <w:marRight w:val="0"/>
      <w:marTop w:val="0"/>
      <w:marBottom w:val="0"/>
      <w:divBdr>
        <w:top w:val="none" w:sz="0" w:space="0" w:color="auto"/>
        <w:left w:val="none" w:sz="0" w:space="0" w:color="auto"/>
        <w:bottom w:val="none" w:sz="0" w:space="0" w:color="auto"/>
        <w:right w:val="none" w:sz="0" w:space="0" w:color="auto"/>
      </w:divBdr>
    </w:div>
    <w:div w:id="811288788">
      <w:bodyDiv w:val="1"/>
      <w:marLeft w:val="0"/>
      <w:marRight w:val="0"/>
      <w:marTop w:val="0"/>
      <w:marBottom w:val="0"/>
      <w:divBdr>
        <w:top w:val="none" w:sz="0" w:space="0" w:color="auto"/>
        <w:left w:val="none" w:sz="0" w:space="0" w:color="auto"/>
        <w:bottom w:val="none" w:sz="0" w:space="0" w:color="auto"/>
        <w:right w:val="none" w:sz="0" w:space="0" w:color="auto"/>
      </w:divBdr>
    </w:div>
    <w:div w:id="815344484">
      <w:bodyDiv w:val="1"/>
      <w:marLeft w:val="0"/>
      <w:marRight w:val="0"/>
      <w:marTop w:val="0"/>
      <w:marBottom w:val="0"/>
      <w:divBdr>
        <w:top w:val="none" w:sz="0" w:space="0" w:color="auto"/>
        <w:left w:val="none" w:sz="0" w:space="0" w:color="auto"/>
        <w:bottom w:val="none" w:sz="0" w:space="0" w:color="auto"/>
        <w:right w:val="none" w:sz="0" w:space="0" w:color="auto"/>
      </w:divBdr>
    </w:div>
    <w:div w:id="816723792">
      <w:bodyDiv w:val="1"/>
      <w:marLeft w:val="0"/>
      <w:marRight w:val="0"/>
      <w:marTop w:val="0"/>
      <w:marBottom w:val="0"/>
      <w:divBdr>
        <w:top w:val="none" w:sz="0" w:space="0" w:color="auto"/>
        <w:left w:val="none" w:sz="0" w:space="0" w:color="auto"/>
        <w:bottom w:val="none" w:sz="0" w:space="0" w:color="auto"/>
        <w:right w:val="none" w:sz="0" w:space="0" w:color="auto"/>
      </w:divBdr>
      <w:divsChild>
        <w:div w:id="1773434833">
          <w:marLeft w:val="0"/>
          <w:marRight w:val="0"/>
          <w:marTop w:val="0"/>
          <w:marBottom w:val="0"/>
          <w:divBdr>
            <w:top w:val="none" w:sz="0" w:space="0" w:color="auto"/>
            <w:left w:val="none" w:sz="0" w:space="0" w:color="auto"/>
            <w:bottom w:val="none" w:sz="0" w:space="0" w:color="auto"/>
            <w:right w:val="none" w:sz="0" w:space="0" w:color="auto"/>
          </w:divBdr>
        </w:div>
      </w:divsChild>
    </w:div>
    <w:div w:id="850224950">
      <w:bodyDiv w:val="1"/>
      <w:marLeft w:val="0"/>
      <w:marRight w:val="0"/>
      <w:marTop w:val="0"/>
      <w:marBottom w:val="0"/>
      <w:divBdr>
        <w:top w:val="none" w:sz="0" w:space="0" w:color="auto"/>
        <w:left w:val="none" w:sz="0" w:space="0" w:color="auto"/>
        <w:bottom w:val="none" w:sz="0" w:space="0" w:color="auto"/>
        <w:right w:val="none" w:sz="0" w:space="0" w:color="auto"/>
      </w:divBdr>
      <w:divsChild>
        <w:div w:id="1094280320">
          <w:marLeft w:val="0"/>
          <w:marRight w:val="0"/>
          <w:marTop w:val="0"/>
          <w:marBottom w:val="0"/>
          <w:divBdr>
            <w:top w:val="none" w:sz="0" w:space="0" w:color="auto"/>
            <w:left w:val="none" w:sz="0" w:space="0" w:color="auto"/>
            <w:bottom w:val="none" w:sz="0" w:space="0" w:color="auto"/>
            <w:right w:val="none" w:sz="0" w:space="0" w:color="auto"/>
          </w:divBdr>
        </w:div>
      </w:divsChild>
    </w:div>
    <w:div w:id="876115162">
      <w:bodyDiv w:val="1"/>
      <w:marLeft w:val="0"/>
      <w:marRight w:val="0"/>
      <w:marTop w:val="0"/>
      <w:marBottom w:val="0"/>
      <w:divBdr>
        <w:top w:val="none" w:sz="0" w:space="0" w:color="auto"/>
        <w:left w:val="none" w:sz="0" w:space="0" w:color="auto"/>
        <w:bottom w:val="none" w:sz="0" w:space="0" w:color="auto"/>
        <w:right w:val="none" w:sz="0" w:space="0" w:color="auto"/>
      </w:divBdr>
    </w:div>
    <w:div w:id="905722726">
      <w:bodyDiv w:val="1"/>
      <w:marLeft w:val="0"/>
      <w:marRight w:val="0"/>
      <w:marTop w:val="0"/>
      <w:marBottom w:val="0"/>
      <w:divBdr>
        <w:top w:val="none" w:sz="0" w:space="0" w:color="auto"/>
        <w:left w:val="none" w:sz="0" w:space="0" w:color="auto"/>
        <w:bottom w:val="none" w:sz="0" w:space="0" w:color="auto"/>
        <w:right w:val="none" w:sz="0" w:space="0" w:color="auto"/>
      </w:divBdr>
    </w:div>
    <w:div w:id="925115020">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sChild>
        <w:div w:id="867137636">
          <w:marLeft w:val="0"/>
          <w:marRight w:val="0"/>
          <w:marTop w:val="0"/>
          <w:marBottom w:val="0"/>
          <w:divBdr>
            <w:top w:val="none" w:sz="0" w:space="0" w:color="auto"/>
            <w:left w:val="none" w:sz="0" w:space="0" w:color="auto"/>
            <w:bottom w:val="none" w:sz="0" w:space="0" w:color="auto"/>
            <w:right w:val="none" w:sz="0" w:space="0" w:color="auto"/>
          </w:divBdr>
        </w:div>
        <w:div w:id="959721263">
          <w:marLeft w:val="0"/>
          <w:marRight w:val="0"/>
          <w:marTop w:val="0"/>
          <w:marBottom w:val="0"/>
          <w:divBdr>
            <w:top w:val="none" w:sz="0" w:space="0" w:color="auto"/>
            <w:left w:val="none" w:sz="0" w:space="0" w:color="auto"/>
            <w:bottom w:val="none" w:sz="0" w:space="0" w:color="auto"/>
            <w:right w:val="none" w:sz="0" w:space="0" w:color="auto"/>
          </w:divBdr>
        </w:div>
      </w:divsChild>
    </w:div>
    <w:div w:id="1037973770">
      <w:bodyDiv w:val="1"/>
      <w:marLeft w:val="0"/>
      <w:marRight w:val="0"/>
      <w:marTop w:val="0"/>
      <w:marBottom w:val="0"/>
      <w:divBdr>
        <w:top w:val="none" w:sz="0" w:space="0" w:color="auto"/>
        <w:left w:val="none" w:sz="0" w:space="0" w:color="auto"/>
        <w:bottom w:val="none" w:sz="0" w:space="0" w:color="auto"/>
        <w:right w:val="none" w:sz="0" w:space="0" w:color="auto"/>
      </w:divBdr>
    </w:div>
    <w:div w:id="1077020176">
      <w:bodyDiv w:val="1"/>
      <w:marLeft w:val="0"/>
      <w:marRight w:val="0"/>
      <w:marTop w:val="0"/>
      <w:marBottom w:val="0"/>
      <w:divBdr>
        <w:top w:val="none" w:sz="0" w:space="0" w:color="auto"/>
        <w:left w:val="none" w:sz="0" w:space="0" w:color="auto"/>
        <w:bottom w:val="none" w:sz="0" w:space="0" w:color="auto"/>
        <w:right w:val="none" w:sz="0" w:space="0" w:color="auto"/>
      </w:divBdr>
    </w:div>
    <w:div w:id="1119762649">
      <w:bodyDiv w:val="1"/>
      <w:marLeft w:val="0"/>
      <w:marRight w:val="0"/>
      <w:marTop w:val="0"/>
      <w:marBottom w:val="0"/>
      <w:divBdr>
        <w:top w:val="none" w:sz="0" w:space="0" w:color="auto"/>
        <w:left w:val="none" w:sz="0" w:space="0" w:color="auto"/>
        <w:bottom w:val="none" w:sz="0" w:space="0" w:color="auto"/>
        <w:right w:val="none" w:sz="0" w:space="0" w:color="auto"/>
      </w:divBdr>
    </w:div>
    <w:div w:id="1126973197">
      <w:bodyDiv w:val="1"/>
      <w:marLeft w:val="0"/>
      <w:marRight w:val="0"/>
      <w:marTop w:val="0"/>
      <w:marBottom w:val="0"/>
      <w:divBdr>
        <w:top w:val="none" w:sz="0" w:space="0" w:color="auto"/>
        <w:left w:val="none" w:sz="0" w:space="0" w:color="auto"/>
        <w:bottom w:val="none" w:sz="0" w:space="0" w:color="auto"/>
        <w:right w:val="none" w:sz="0" w:space="0" w:color="auto"/>
      </w:divBdr>
    </w:div>
    <w:div w:id="1154102352">
      <w:bodyDiv w:val="1"/>
      <w:marLeft w:val="0"/>
      <w:marRight w:val="0"/>
      <w:marTop w:val="0"/>
      <w:marBottom w:val="0"/>
      <w:divBdr>
        <w:top w:val="none" w:sz="0" w:space="0" w:color="auto"/>
        <w:left w:val="none" w:sz="0" w:space="0" w:color="auto"/>
        <w:bottom w:val="none" w:sz="0" w:space="0" w:color="auto"/>
        <w:right w:val="none" w:sz="0" w:space="0" w:color="auto"/>
      </w:divBdr>
    </w:div>
    <w:div w:id="1215317537">
      <w:bodyDiv w:val="1"/>
      <w:marLeft w:val="0"/>
      <w:marRight w:val="0"/>
      <w:marTop w:val="0"/>
      <w:marBottom w:val="0"/>
      <w:divBdr>
        <w:top w:val="none" w:sz="0" w:space="0" w:color="auto"/>
        <w:left w:val="none" w:sz="0" w:space="0" w:color="auto"/>
        <w:bottom w:val="none" w:sz="0" w:space="0" w:color="auto"/>
        <w:right w:val="none" w:sz="0" w:space="0" w:color="auto"/>
      </w:divBdr>
    </w:div>
    <w:div w:id="1233781754">
      <w:bodyDiv w:val="1"/>
      <w:marLeft w:val="0"/>
      <w:marRight w:val="0"/>
      <w:marTop w:val="0"/>
      <w:marBottom w:val="0"/>
      <w:divBdr>
        <w:top w:val="none" w:sz="0" w:space="0" w:color="auto"/>
        <w:left w:val="none" w:sz="0" w:space="0" w:color="auto"/>
        <w:bottom w:val="none" w:sz="0" w:space="0" w:color="auto"/>
        <w:right w:val="none" w:sz="0" w:space="0" w:color="auto"/>
      </w:divBdr>
    </w:div>
    <w:div w:id="1248003550">
      <w:bodyDiv w:val="1"/>
      <w:marLeft w:val="0"/>
      <w:marRight w:val="0"/>
      <w:marTop w:val="0"/>
      <w:marBottom w:val="0"/>
      <w:divBdr>
        <w:top w:val="none" w:sz="0" w:space="0" w:color="auto"/>
        <w:left w:val="none" w:sz="0" w:space="0" w:color="auto"/>
        <w:bottom w:val="none" w:sz="0" w:space="0" w:color="auto"/>
        <w:right w:val="none" w:sz="0" w:space="0" w:color="auto"/>
      </w:divBdr>
    </w:div>
    <w:div w:id="1261256812">
      <w:bodyDiv w:val="1"/>
      <w:marLeft w:val="0"/>
      <w:marRight w:val="0"/>
      <w:marTop w:val="0"/>
      <w:marBottom w:val="0"/>
      <w:divBdr>
        <w:top w:val="none" w:sz="0" w:space="0" w:color="auto"/>
        <w:left w:val="none" w:sz="0" w:space="0" w:color="auto"/>
        <w:bottom w:val="none" w:sz="0" w:space="0" w:color="auto"/>
        <w:right w:val="none" w:sz="0" w:space="0" w:color="auto"/>
      </w:divBdr>
    </w:div>
    <w:div w:id="1320188408">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99551650">
      <w:bodyDiv w:val="1"/>
      <w:marLeft w:val="0"/>
      <w:marRight w:val="0"/>
      <w:marTop w:val="0"/>
      <w:marBottom w:val="0"/>
      <w:divBdr>
        <w:top w:val="none" w:sz="0" w:space="0" w:color="auto"/>
        <w:left w:val="none" w:sz="0" w:space="0" w:color="auto"/>
        <w:bottom w:val="none" w:sz="0" w:space="0" w:color="auto"/>
        <w:right w:val="none" w:sz="0" w:space="0" w:color="auto"/>
      </w:divBdr>
    </w:div>
    <w:div w:id="1543901368">
      <w:bodyDiv w:val="1"/>
      <w:marLeft w:val="0"/>
      <w:marRight w:val="0"/>
      <w:marTop w:val="0"/>
      <w:marBottom w:val="0"/>
      <w:divBdr>
        <w:top w:val="none" w:sz="0" w:space="0" w:color="auto"/>
        <w:left w:val="none" w:sz="0" w:space="0" w:color="auto"/>
        <w:bottom w:val="none" w:sz="0" w:space="0" w:color="auto"/>
        <w:right w:val="none" w:sz="0" w:space="0" w:color="auto"/>
      </w:divBdr>
    </w:div>
    <w:div w:id="1561750171">
      <w:bodyDiv w:val="1"/>
      <w:marLeft w:val="0"/>
      <w:marRight w:val="0"/>
      <w:marTop w:val="0"/>
      <w:marBottom w:val="0"/>
      <w:divBdr>
        <w:top w:val="none" w:sz="0" w:space="0" w:color="auto"/>
        <w:left w:val="none" w:sz="0" w:space="0" w:color="auto"/>
        <w:bottom w:val="none" w:sz="0" w:space="0" w:color="auto"/>
        <w:right w:val="none" w:sz="0" w:space="0" w:color="auto"/>
      </w:divBdr>
    </w:div>
    <w:div w:id="1571765828">
      <w:bodyDiv w:val="1"/>
      <w:marLeft w:val="0"/>
      <w:marRight w:val="0"/>
      <w:marTop w:val="0"/>
      <w:marBottom w:val="0"/>
      <w:divBdr>
        <w:top w:val="none" w:sz="0" w:space="0" w:color="auto"/>
        <w:left w:val="none" w:sz="0" w:space="0" w:color="auto"/>
        <w:bottom w:val="none" w:sz="0" w:space="0" w:color="auto"/>
        <w:right w:val="none" w:sz="0" w:space="0" w:color="auto"/>
      </w:divBdr>
    </w:div>
    <w:div w:id="1577670648">
      <w:bodyDiv w:val="1"/>
      <w:marLeft w:val="0"/>
      <w:marRight w:val="0"/>
      <w:marTop w:val="0"/>
      <w:marBottom w:val="0"/>
      <w:divBdr>
        <w:top w:val="none" w:sz="0" w:space="0" w:color="auto"/>
        <w:left w:val="none" w:sz="0" w:space="0" w:color="auto"/>
        <w:bottom w:val="none" w:sz="0" w:space="0" w:color="auto"/>
        <w:right w:val="none" w:sz="0" w:space="0" w:color="auto"/>
      </w:divBdr>
    </w:div>
    <w:div w:id="1586300771">
      <w:bodyDiv w:val="1"/>
      <w:marLeft w:val="0"/>
      <w:marRight w:val="0"/>
      <w:marTop w:val="0"/>
      <w:marBottom w:val="0"/>
      <w:divBdr>
        <w:top w:val="none" w:sz="0" w:space="0" w:color="auto"/>
        <w:left w:val="none" w:sz="0" w:space="0" w:color="auto"/>
        <w:bottom w:val="none" w:sz="0" w:space="0" w:color="auto"/>
        <w:right w:val="none" w:sz="0" w:space="0" w:color="auto"/>
      </w:divBdr>
    </w:div>
    <w:div w:id="1593275867">
      <w:bodyDiv w:val="1"/>
      <w:marLeft w:val="0"/>
      <w:marRight w:val="0"/>
      <w:marTop w:val="0"/>
      <w:marBottom w:val="0"/>
      <w:divBdr>
        <w:top w:val="none" w:sz="0" w:space="0" w:color="auto"/>
        <w:left w:val="none" w:sz="0" w:space="0" w:color="auto"/>
        <w:bottom w:val="none" w:sz="0" w:space="0" w:color="auto"/>
        <w:right w:val="none" w:sz="0" w:space="0" w:color="auto"/>
      </w:divBdr>
    </w:div>
    <w:div w:id="1617172271">
      <w:bodyDiv w:val="1"/>
      <w:marLeft w:val="0"/>
      <w:marRight w:val="0"/>
      <w:marTop w:val="0"/>
      <w:marBottom w:val="0"/>
      <w:divBdr>
        <w:top w:val="none" w:sz="0" w:space="0" w:color="auto"/>
        <w:left w:val="none" w:sz="0" w:space="0" w:color="auto"/>
        <w:bottom w:val="none" w:sz="0" w:space="0" w:color="auto"/>
        <w:right w:val="none" w:sz="0" w:space="0" w:color="auto"/>
      </w:divBdr>
    </w:div>
    <w:div w:id="1667391532">
      <w:bodyDiv w:val="1"/>
      <w:marLeft w:val="0"/>
      <w:marRight w:val="0"/>
      <w:marTop w:val="0"/>
      <w:marBottom w:val="0"/>
      <w:divBdr>
        <w:top w:val="none" w:sz="0" w:space="0" w:color="auto"/>
        <w:left w:val="none" w:sz="0" w:space="0" w:color="auto"/>
        <w:bottom w:val="none" w:sz="0" w:space="0" w:color="auto"/>
        <w:right w:val="none" w:sz="0" w:space="0" w:color="auto"/>
      </w:divBdr>
    </w:div>
    <w:div w:id="1703094983">
      <w:bodyDiv w:val="1"/>
      <w:marLeft w:val="0"/>
      <w:marRight w:val="0"/>
      <w:marTop w:val="0"/>
      <w:marBottom w:val="0"/>
      <w:divBdr>
        <w:top w:val="none" w:sz="0" w:space="0" w:color="auto"/>
        <w:left w:val="none" w:sz="0" w:space="0" w:color="auto"/>
        <w:bottom w:val="none" w:sz="0" w:space="0" w:color="auto"/>
        <w:right w:val="none" w:sz="0" w:space="0" w:color="auto"/>
      </w:divBdr>
    </w:div>
    <w:div w:id="1802770173">
      <w:bodyDiv w:val="1"/>
      <w:marLeft w:val="0"/>
      <w:marRight w:val="0"/>
      <w:marTop w:val="0"/>
      <w:marBottom w:val="0"/>
      <w:divBdr>
        <w:top w:val="none" w:sz="0" w:space="0" w:color="auto"/>
        <w:left w:val="none" w:sz="0" w:space="0" w:color="auto"/>
        <w:bottom w:val="none" w:sz="0" w:space="0" w:color="auto"/>
        <w:right w:val="none" w:sz="0" w:space="0" w:color="auto"/>
      </w:divBdr>
    </w:div>
    <w:div w:id="1804539587">
      <w:bodyDiv w:val="1"/>
      <w:marLeft w:val="0"/>
      <w:marRight w:val="0"/>
      <w:marTop w:val="0"/>
      <w:marBottom w:val="0"/>
      <w:divBdr>
        <w:top w:val="none" w:sz="0" w:space="0" w:color="auto"/>
        <w:left w:val="none" w:sz="0" w:space="0" w:color="auto"/>
        <w:bottom w:val="none" w:sz="0" w:space="0" w:color="auto"/>
        <w:right w:val="none" w:sz="0" w:space="0" w:color="auto"/>
      </w:divBdr>
    </w:div>
    <w:div w:id="1836023479">
      <w:bodyDiv w:val="1"/>
      <w:marLeft w:val="0"/>
      <w:marRight w:val="0"/>
      <w:marTop w:val="0"/>
      <w:marBottom w:val="0"/>
      <w:divBdr>
        <w:top w:val="none" w:sz="0" w:space="0" w:color="auto"/>
        <w:left w:val="none" w:sz="0" w:space="0" w:color="auto"/>
        <w:bottom w:val="none" w:sz="0" w:space="0" w:color="auto"/>
        <w:right w:val="none" w:sz="0" w:space="0" w:color="auto"/>
      </w:divBdr>
    </w:div>
    <w:div w:id="1851674397">
      <w:bodyDiv w:val="1"/>
      <w:marLeft w:val="0"/>
      <w:marRight w:val="0"/>
      <w:marTop w:val="0"/>
      <w:marBottom w:val="0"/>
      <w:divBdr>
        <w:top w:val="none" w:sz="0" w:space="0" w:color="auto"/>
        <w:left w:val="none" w:sz="0" w:space="0" w:color="auto"/>
        <w:bottom w:val="none" w:sz="0" w:space="0" w:color="auto"/>
        <w:right w:val="none" w:sz="0" w:space="0" w:color="auto"/>
      </w:divBdr>
    </w:div>
    <w:div w:id="1924340328">
      <w:bodyDiv w:val="1"/>
      <w:marLeft w:val="0"/>
      <w:marRight w:val="0"/>
      <w:marTop w:val="0"/>
      <w:marBottom w:val="0"/>
      <w:divBdr>
        <w:top w:val="none" w:sz="0" w:space="0" w:color="auto"/>
        <w:left w:val="none" w:sz="0" w:space="0" w:color="auto"/>
        <w:bottom w:val="none" w:sz="0" w:space="0" w:color="auto"/>
        <w:right w:val="none" w:sz="0" w:space="0" w:color="auto"/>
      </w:divBdr>
      <w:divsChild>
        <w:div w:id="1846702775">
          <w:marLeft w:val="0"/>
          <w:marRight w:val="0"/>
          <w:marTop w:val="0"/>
          <w:marBottom w:val="0"/>
          <w:divBdr>
            <w:top w:val="none" w:sz="0" w:space="0" w:color="auto"/>
            <w:left w:val="none" w:sz="0" w:space="0" w:color="auto"/>
            <w:bottom w:val="none" w:sz="0" w:space="0" w:color="auto"/>
            <w:right w:val="none" w:sz="0" w:space="0" w:color="auto"/>
          </w:divBdr>
        </w:div>
        <w:div w:id="1924676225">
          <w:marLeft w:val="0"/>
          <w:marRight w:val="0"/>
          <w:marTop w:val="0"/>
          <w:marBottom w:val="0"/>
          <w:divBdr>
            <w:top w:val="none" w:sz="0" w:space="0" w:color="auto"/>
            <w:left w:val="none" w:sz="0" w:space="0" w:color="auto"/>
            <w:bottom w:val="none" w:sz="0" w:space="0" w:color="auto"/>
            <w:right w:val="none" w:sz="0" w:space="0" w:color="auto"/>
          </w:divBdr>
        </w:div>
      </w:divsChild>
    </w:div>
    <w:div w:id="1927419320">
      <w:bodyDiv w:val="1"/>
      <w:marLeft w:val="0"/>
      <w:marRight w:val="0"/>
      <w:marTop w:val="0"/>
      <w:marBottom w:val="0"/>
      <w:divBdr>
        <w:top w:val="none" w:sz="0" w:space="0" w:color="auto"/>
        <w:left w:val="none" w:sz="0" w:space="0" w:color="auto"/>
        <w:bottom w:val="none" w:sz="0" w:space="0" w:color="auto"/>
        <w:right w:val="none" w:sz="0" w:space="0" w:color="auto"/>
      </w:divBdr>
    </w:div>
    <w:div w:id="2031836471">
      <w:bodyDiv w:val="1"/>
      <w:marLeft w:val="0"/>
      <w:marRight w:val="0"/>
      <w:marTop w:val="0"/>
      <w:marBottom w:val="0"/>
      <w:divBdr>
        <w:top w:val="none" w:sz="0" w:space="0" w:color="auto"/>
        <w:left w:val="none" w:sz="0" w:space="0" w:color="auto"/>
        <w:bottom w:val="none" w:sz="0" w:space="0" w:color="auto"/>
        <w:right w:val="none" w:sz="0" w:space="0" w:color="auto"/>
      </w:divBdr>
    </w:div>
    <w:div w:id="20353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324" Type="http://schemas.openxmlformats.org/officeDocument/2006/relationships/header" Target="header157.xml"/><Relationship Id="rId366" Type="http://schemas.openxmlformats.org/officeDocument/2006/relationships/header" Target="header177.xml"/><Relationship Id="rId170" Type="http://schemas.openxmlformats.org/officeDocument/2006/relationships/footer" Target="footer79.xml"/><Relationship Id="rId226" Type="http://schemas.openxmlformats.org/officeDocument/2006/relationships/header" Target="header108.xml"/><Relationship Id="rId107" Type="http://schemas.openxmlformats.org/officeDocument/2006/relationships/footer" Target="footer48.xml"/><Relationship Id="rId268" Type="http://schemas.openxmlformats.org/officeDocument/2006/relationships/header" Target="header129.xml"/><Relationship Id="rId289" Type="http://schemas.openxmlformats.org/officeDocument/2006/relationships/header" Target="header140.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footer" Target="footer151.xml"/><Relationship Id="rId335" Type="http://schemas.openxmlformats.org/officeDocument/2006/relationships/footer" Target="footer162.xml"/><Relationship Id="rId356" Type="http://schemas.openxmlformats.org/officeDocument/2006/relationships/header" Target="header172.xml"/><Relationship Id="rId377" Type="http://schemas.openxmlformats.org/officeDocument/2006/relationships/footer" Target="footer182.xml"/><Relationship Id="rId398"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3.xml"/><Relationship Id="rId258" Type="http://schemas.openxmlformats.org/officeDocument/2006/relationships/header" Target="header124.xml"/><Relationship Id="rId279" Type="http://schemas.openxmlformats.org/officeDocument/2006/relationships/footer" Target="footer134.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25" Type="http://schemas.openxmlformats.org/officeDocument/2006/relationships/header" Target="header158.xml"/><Relationship Id="rId346" Type="http://schemas.openxmlformats.org/officeDocument/2006/relationships/header" Target="header168.xml"/><Relationship Id="rId367" Type="http://schemas.openxmlformats.org/officeDocument/2006/relationships/footer" Target="footer177.xml"/><Relationship Id="rId388" Type="http://schemas.openxmlformats.org/officeDocument/2006/relationships/footer" Target="footer187.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footer" Target="footer118.xml"/><Relationship Id="rId269" Type="http://schemas.openxmlformats.org/officeDocument/2006/relationships/footer" Target="foot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315" Type="http://schemas.openxmlformats.org/officeDocument/2006/relationships/footer" Target="footer152.xml"/><Relationship Id="rId336" Type="http://schemas.openxmlformats.org/officeDocument/2006/relationships/header" Target="header163.xml"/><Relationship Id="rId357" Type="http://schemas.openxmlformats.org/officeDocument/2006/relationships/header" Target="header173.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378" Type="http://schemas.openxmlformats.org/officeDocument/2006/relationships/header" Target="header183.xml"/><Relationship Id="rId399"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eader" Target="header114.xml"/><Relationship Id="rId259" Type="http://schemas.openxmlformats.org/officeDocument/2006/relationships/header" Target="header125.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291" Type="http://schemas.openxmlformats.org/officeDocument/2006/relationships/footer" Target="footer140.xml"/><Relationship Id="rId305" Type="http://schemas.openxmlformats.org/officeDocument/2006/relationships/footer" Target="footer147.xml"/><Relationship Id="rId326" Type="http://schemas.openxmlformats.org/officeDocument/2006/relationships/footer" Target="footer157.xml"/><Relationship Id="rId347" Type="http://schemas.openxmlformats.org/officeDocument/2006/relationships/footer" Target="foot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368" Type="http://schemas.openxmlformats.org/officeDocument/2006/relationships/header" Target="header178.xml"/><Relationship Id="rId389" Type="http://schemas.openxmlformats.org/officeDocument/2006/relationships/footer" Target="footer188.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281" Type="http://schemas.openxmlformats.org/officeDocument/2006/relationships/footer" Target="footer135.xml"/><Relationship Id="rId316" Type="http://schemas.openxmlformats.org/officeDocument/2006/relationships/header" Target="header153.xml"/><Relationship Id="rId337" Type="http://schemas.openxmlformats.org/officeDocument/2006/relationships/header" Target="header164.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390" Type="http://schemas.openxmlformats.org/officeDocument/2006/relationships/header" Target="header189.xml"/><Relationship Id="rId250" Type="http://schemas.openxmlformats.org/officeDocument/2006/relationships/header" Target="header120.xml"/><Relationship Id="rId271" Type="http://schemas.openxmlformats.org/officeDocument/2006/relationships/header" Target="header131.xml"/><Relationship Id="rId292" Type="http://schemas.openxmlformats.org/officeDocument/2006/relationships/header" Target="header141.xml"/><Relationship Id="rId306" Type="http://schemas.openxmlformats.org/officeDocument/2006/relationships/header" Target="header148.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8.xml"/><Relationship Id="rId348" Type="http://schemas.openxmlformats.org/officeDocument/2006/relationships/hyperlink" Target="http://www.dados.gov.pt/" TargetMode="External"/><Relationship Id="rId369" Type="http://schemas.openxmlformats.org/officeDocument/2006/relationships/header" Target="header179.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10.xml"/><Relationship Id="rId380" Type="http://schemas.openxmlformats.org/officeDocument/2006/relationships/header" Target="header184.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17" Type="http://schemas.openxmlformats.org/officeDocument/2006/relationships/footer" Target="footer153.xml"/><Relationship Id="rId338" Type="http://schemas.openxmlformats.org/officeDocument/2006/relationships/footer" Target="footer163.xml"/><Relationship Id="rId359" Type="http://schemas.openxmlformats.org/officeDocument/2006/relationships/footer" Target="footer173.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370" Type="http://schemas.openxmlformats.org/officeDocument/2006/relationships/footer" Target="footer178.xml"/><Relationship Id="rId391" Type="http://schemas.openxmlformats.org/officeDocument/2006/relationships/footer" Target="footer189.xml"/><Relationship Id="rId230" Type="http://schemas.openxmlformats.org/officeDocument/2006/relationships/footer" Target="footer109.xml"/><Relationship Id="rId251" Type="http://schemas.openxmlformats.org/officeDocument/2006/relationships/footer" Target="foot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footer" Target="footer130.xml"/><Relationship Id="rId293" Type="http://schemas.openxmlformats.org/officeDocument/2006/relationships/footer" Target="footer141.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hyperlink" Target="http://www.dados.gov.pt/" TargetMode="Externa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header" Target="header174.xml"/><Relationship Id="rId381" Type="http://schemas.openxmlformats.org/officeDocument/2006/relationships/header" Target="header185.xml"/><Relationship Id="rId220" Type="http://schemas.openxmlformats.org/officeDocument/2006/relationships/header" Target="header105.xml"/><Relationship Id="rId241" Type="http://schemas.openxmlformats.org/officeDocument/2006/relationships/header" Target="header116.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header" Target="header137.xml"/><Relationship Id="rId318" Type="http://schemas.openxmlformats.org/officeDocument/2006/relationships/header" Target="header154.xml"/><Relationship Id="rId339" Type="http://schemas.openxmlformats.org/officeDocument/2006/relationships/footer" Target="footer164.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350" Type="http://schemas.openxmlformats.org/officeDocument/2006/relationships/header" Target="header169.xml"/><Relationship Id="rId371" Type="http://schemas.openxmlformats.org/officeDocument/2006/relationships/footer" Target="footer179.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header" Target="header190.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header" Target="header165.xml"/><Relationship Id="rId361" Type="http://schemas.openxmlformats.org/officeDocument/2006/relationships/footer" Target="footer174.xml"/><Relationship Id="rId196" Type="http://schemas.openxmlformats.org/officeDocument/2006/relationships/header" Target="header93.xml"/><Relationship Id="rId200" Type="http://schemas.openxmlformats.org/officeDocument/2006/relationships/footer" Target="footer94.xml"/><Relationship Id="rId382" Type="http://schemas.openxmlformats.org/officeDocument/2006/relationships/footer" Target="footer184.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header" Target="header155.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footer" Target="footer165.xml"/><Relationship Id="rId362" Type="http://schemas.openxmlformats.org/officeDocument/2006/relationships/header" Target="header175.xml"/><Relationship Id="rId383" Type="http://schemas.openxmlformats.org/officeDocument/2006/relationships/footer" Target="footer185.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363" Type="http://schemas.openxmlformats.org/officeDocument/2006/relationships/header" Target="header176.xml"/><Relationship Id="rId384" Type="http://schemas.openxmlformats.org/officeDocument/2006/relationships/header" Target="header18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364" Type="http://schemas.openxmlformats.org/officeDocument/2006/relationships/footer" Target="footer175.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354" Type="http://schemas.openxmlformats.org/officeDocument/2006/relationships/header" Target="header17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header" Target="header162.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303" Type="http://schemas.openxmlformats.org/officeDocument/2006/relationships/footer" Target="footer146.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header" Target="header188.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default/files/1_en_act_part1_v8_0.pdf" TargetMode="External"/><Relationship Id="rId2" Type="http://schemas.openxmlformats.org/officeDocument/2006/relationships/hyperlink" Target="https://ec.europa.eu/social/main.jsp?catId=738&amp;langId=en&amp;pubId=8376&amp;furtherPubs=yes" TargetMode="External"/><Relationship Id="rId1" Type="http://schemas.openxmlformats.org/officeDocument/2006/relationships/hyperlink" Target="https://www.un.org/development/desa/disabilities/convention-on-the-rights-of-persons-with-disabilities.html" TargetMode="External"/><Relationship Id="rId6" Type="http://schemas.openxmlformats.org/officeDocument/2006/relationships/hyperlink" Target="https://dre.pt/application/conteudo/114152782" TargetMode="External"/><Relationship Id="rId5" Type="http://schemas.openxmlformats.org/officeDocument/2006/relationships/hyperlink" Target="https://ec.europa.eu/social/main.jsp?catId=738&amp;langId=en&amp;pubId=8376&amp;furtherPubs=yes" TargetMode="External"/><Relationship Id="rId4"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4" ma:contentTypeDescription="Create a new document." ma:contentTypeScope="" ma:versionID="d5c93e900a119563f43978a987300fc7">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85f4798ebd1fb622dfcd08e6552ffd30"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0e2cb7-5117-486c-a80c-66d1b02d57f7}"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B2E4-4F53-4AE7-B83B-C398AE08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22E18-3AF3-486E-B96C-EC2FE3E7B271}">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3.xml><?xml version="1.0" encoding="utf-8"?>
<ds:datastoreItem xmlns:ds="http://schemas.openxmlformats.org/officeDocument/2006/customXml" ds:itemID="{617F86BA-8C30-4316-ABCD-3480C5FB9AD1}">
  <ds:schemaRefs>
    <ds:schemaRef ds:uri="http://schemas.microsoft.com/sharepoint/v3/contenttype/forms"/>
  </ds:schemaRefs>
</ds:datastoreItem>
</file>

<file path=customXml/itemProps4.xml><?xml version="1.0" encoding="utf-8"?>
<ds:datastoreItem xmlns:ds="http://schemas.openxmlformats.org/officeDocument/2006/customXml" ds:itemID="{C10ACAE2-A688-45F9-8752-04CFFA0F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89282</Words>
  <Characters>508911</Characters>
  <Application>Microsoft Office Word</Application>
  <DocSecurity>0</DocSecurity>
  <Lines>4240</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597000</CharactersWithSpaces>
  <SharedDoc>false</SharedDoc>
  <HLinks>
    <vt:vector size="48" baseType="variant">
      <vt:variant>
        <vt:i4>1441861</vt:i4>
      </vt:variant>
      <vt:variant>
        <vt:i4>3</vt:i4>
      </vt:variant>
      <vt:variant>
        <vt:i4>0</vt:i4>
      </vt:variant>
      <vt:variant>
        <vt:i4>5</vt:i4>
      </vt:variant>
      <vt:variant>
        <vt:lpwstr>http://www.dados.gov.pt/</vt:lpwstr>
      </vt:variant>
      <vt:variant>
        <vt:lpwstr/>
      </vt:variant>
      <vt:variant>
        <vt:i4>1441861</vt:i4>
      </vt:variant>
      <vt:variant>
        <vt:i4>0</vt:i4>
      </vt:variant>
      <vt:variant>
        <vt:i4>0</vt:i4>
      </vt:variant>
      <vt:variant>
        <vt:i4>5</vt:i4>
      </vt:variant>
      <vt:variant>
        <vt:lpwstr>http://www.dados.gov.pt/</vt:lpwstr>
      </vt:variant>
      <vt:variant>
        <vt:lpwstr/>
      </vt:variant>
      <vt:variant>
        <vt:i4>917587</vt:i4>
      </vt:variant>
      <vt:variant>
        <vt:i4>15</vt:i4>
      </vt:variant>
      <vt:variant>
        <vt:i4>0</vt:i4>
      </vt:variant>
      <vt:variant>
        <vt:i4>5</vt:i4>
      </vt:variant>
      <vt:variant>
        <vt:lpwstr>https://dre.pt/application/conteudo/114152782</vt:lpwstr>
      </vt:variant>
      <vt:variant>
        <vt:lpwstr/>
      </vt:variant>
      <vt:variant>
        <vt:i4>3145826</vt:i4>
      </vt:variant>
      <vt:variant>
        <vt:i4>12</vt:i4>
      </vt:variant>
      <vt:variant>
        <vt:i4>0</vt:i4>
      </vt:variant>
      <vt:variant>
        <vt:i4>5</vt:i4>
      </vt:variant>
      <vt:variant>
        <vt:lpwstr>https://ec.europa.eu/social/main.jsp?catId=738&amp;langId=en&amp;pubId=8376&amp;furtherPubs=yes</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6094896</vt:i4>
      </vt:variant>
      <vt:variant>
        <vt:i4>6</vt:i4>
      </vt:variant>
      <vt:variant>
        <vt:i4>0</vt:i4>
      </vt:variant>
      <vt:variant>
        <vt:i4>5</vt:i4>
      </vt:variant>
      <vt:variant>
        <vt:lpwstr>https://ec.europa.eu/info/sites/default/files/1_en_act_part1_v8_0.pdf</vt:lpwstr>
      </vt:variant>
      <vt:variant>
        <vt:lpwstr/>
      </vt:variant>
      <vt:variant>
        <vt:i4>3145826</vt:i4>
      </vt:variant>
      <vt:variant>
        <vt:i4>3</vt:i4>
      </vt:variant>
      <vt:variant>
        <vt:i4>0</vt:i4>
      </vt:variant>
      <vt:variant>
        <vt:i4>5</vt:i4>
      </vt:variant>
      <vt:variant>
        <vt:lpwstr>https://ec.europa.eu/social/main.jsp?catId=738&amp;langId=en&amp;pubId=8376&amp;furtherPubs=yes</vt:lpwstr>
      </vt:variant>
      <vt:variant>
        <vt:lpwstr/>
      </vt:variant>
      <vt:variant>
        <vt:i4>3604583</vt:i4>
      </vt:variant>
      <vt:variant>
        <vt:i4>0</vt:i4>
      </vt:variant>
      <vt:variant>
        <vt:i4>0</vt:i4>
      </vt:variant>
      <vt:variant>
        <vt:i4>5</vt:i4>
      </vt:variant>
      <vt:variant>
        <vt:lpwstr>https://www.un.org/development/desa/disabilities/convention-on-the-rights-of-persons-with-disabilities.html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2023-08-31T11:47:00Z</cp:lastPrinted>
  <dcterms:created xsi:type="dcterms:W3CDTF">2023-09-21T10:28:00Z</dcterms:created>
  <dcterms:modified xsi:type="dcterms:W3CDTF">2023-09-28T13:09:00Z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0x01010062094E9F29D6C04F85860C631ABC812A</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ContentBits">
    <vt:lpwstr>0</vt:lpwstr>
  </property>
  <property fmtid="{D5CDD505-2E9C-101B-9397-08002B2CF9AE}" pid="9" name="MSIP_Label_6bd9ddd1-4d20-43f6-abfa-fc3c07406f94_SetDate">
    <vt:lpwstr>2023-08-31T13:23:57Z</vt:lpwstr>
  </property>
  <property fmtid="{D5CDD505-2E9C-101B-9397-08002B2CF9AE}" pid="10" name="MSIP_Label_6bd9ddd1-4d20-43f6-abfa-fc3c07406f94_ActionId">
    <vt:lpwstr>f5076d1a-b32f-4968-9989-8cc7bc3a3494</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